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Borders>
          <w:insideH w:val="single" w:sz="4" w:space="0" w:color="auto"/>
        </w:tblBorders>
        <w:tblLayout w:type="fixed"/>
        <w:tblLook w:val="01E0" w:firstRow="1" w:lastRow="1" w:firstColumn="1" w:lastColumn="1" w:noHBand="0" w:noVBand="0"/>
      </w:tblPr>
      <w:tblGrid>
        <w:gridCol w:w="2988"/>
        <w:gridCol w:w="6300"/>
      </w:tblGrid>
      <w:tr w:rsidR="00E2500A" w:rsidRPr="004A0129" w:rsidTr="00D903D9">
        <w:tc>
          <w:tcPr>
            <w:tcW w:w="2988" w:type="dxa"/>
          </w:tcPr>
          <w:p w:rsidR="00E2500A" w:rsidRPr="002D132A" w:rsidRDefault="00E2500A" w:rsidP="003F2BE5">
            <w:pPr>
              <w:pStyle w:val="NoSpacing"/>
              <w:rPr>
                <w:b/>
                <w:sz w:val="24"/>
                <w:szCs w:val="24"/>
              </w:rPr>
            </w:pPr>
            <w:r w:rsidRPr="00E2500A">
              <w:br w:type="page"/>
            </w:r>
            <w:r w:rsidRPr="00E2500A">
              <w:br w:type="page"/>
            </w:r>
            <w:r w:rsidRPr="00E2500A">
              <w:br w:type="page"/>
            </w:r>
            <w:r w:rsidRPr="00E2500A">
              <w:br w:type="page"/>
            </w:r>
            <w:r w:rsidR="002D132A">
              <w:t xml:space="preserve">       </w:t>
            </w:r>
            <w:r w:rsidRPr="002D132A">
              <w:rPr>
                <w:b/>
                <w:sz w:val="24"/>
                <w:szCs w:val="24"/>
              </w:rPr>
              <w:t>BỘ TÀI CHÍNH</w:t>
            </w:r>
          </w:p>
          <w:p w:rsidR="00E2500A" w:rsidRDefault="00512D72" w:rsidP="00E2500A">
            <w:pPr>
              <w:spacing w:after="0" w:line="240" w:lineRule="atLeast"/>
              <w:jc w:val="both"/>
              <w:rPr>
                <w:rFonts w:eastAsia="Times New Roman"/>
                <w:sz w:val="24"/>
                <w:szCs w:val="24"/>
              </w:rPr>
            </w:pPr>
            <w:r>
              <w:rPr>
                <w:rFonts w:eastAsia="Times New Roman"/>
                <w:noProof/>
                <w:sz w:val="24"/>
                <w:szCs w:val="24"/>
              </w:rPr>
              <mc:AlternateContent>
                <mc:Choice Requires="wps">
                  <w:drawing>
                    <wp:anchor distT="4294967295" distB="4294967295" distL="114300" distR="114300" simplePos="0" relativeHeight="251656704" behindDoc="0" locked="0" layoutInCell="1" allowOverlap="1">
                      <wp:simplePos x="0" y="0"/>
                      <wp:positionH relativeFrom="column">
                        <wp:posOffset>655955</wp:posOffset>
                      </wp:positionH>
                      <wp:positionV relativeFrom="paragraph">
                        <wp:posOffset>29209</wp:posOffset>
                      </wp:positionV>
                      <wp:extent cx="388620" cy="0"/>
                      <wp:effectExtent l="0" t="0" r="1143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1.65pt;margin-top:2.3pt;width:30.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ynHgIAADo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"/>
                  </w:pict>
                </mc:Fallback>
              </mc:AlternateContent>
            </w:r>
            <w:r w:rsidR="00E2500A" w:rsidRPr="004A0129">
              <w:rPr>
                <w:rFonts w:eastAsia="Times New Roman"/>
                <w:sz w:val="24"/>
                <w:szCs w:val="24"/>
              </w:rPr>
              <w:t xml:space="preserve">          </w:t>
            </w:r>
          </w:p>
          <w:p w:rsidR="00D903D9" w:rsidRPr="00D903D9" w:rsidRDefault="00D903D9" w:rsidP="00E2500A">
            <w:pPr>
              <w:spacing w:after="0" w:line="240" w:lineRule="atLeast"/>
              <w:jc w:val="both"/>
              <w:rPr>
                <w:rFonts w:eastAsia="Times New Roman"/>
                <w:sz w:val="32"/>
                <w:szCs w:val="24"/>
              </w:rPr>
            </w:pPr>
          </w:p>
          <w:p w:rsidR="00E2500A" w:rsidRPr="004A0129" w:rsidRDefault="00E2500A" w:rsidP="00E2500A">
            <w:pPr>
              <w:spacing w:after="0" w:line="240" w:lineRule="atLeast"/>
              <w:jc w:val="center"/>
              <w:rPr>
                <w:rFonts w:eastAsia="Times New Roman"/>
                <w:szCs w:val="28"/>
              </w:rPr>
            </w:pPr>
            <w:r w:rsidRPr="004A0129">
              <w:rPr>
                <w:rFonts w:eastAsia="Times New Roman"/>
                <w:szCs w:val="28"/>
              </w:rPr>
              <w:t xml:space="preserve">Số: </w:t>
            </w:r>
            <w:r w:rsidR="00DC672C">
              <w:rPr>
                <w:rFonts w:eastAsia="Times New Roman"/>
                <w:szCs w:val="28"/>
              </w:rPr>
              <w:t>20</w:t>
            </w:r>
            <w:r w:rsidRPr="004A0129">
              <w:rPr>
                <w:rFonts w:eastAsia="Times New Roman"/>
                <w:szCs w:val="28"/>
              </w:rPr>
              <w:t>/201</w:t>
            </w:r>
            <w:r w:rsidR="00107B4F">
              <w:rPr>
                <w:rFonts w:eastAsia="Times New Roman"/>
                <w:szCs w:val="28"/>
              </w:rPr>
              <w:t>9</w:t>
            </w:r>
            <w:r w:rsidRPr="004A0129">
              <w:rPr>
                <w:rFonts w:eastAsia="Times New Roman"/>
                <w:szCs w:val="28"/>
              </w:rPr>
              <w:t>/TT- BTC</w:t>
            </w:r>
          </w:p>
          <w:p w:rsidR="00E2500A" w:rsidRPr="004A0129" w:rsidRDefault="00E2500A" w:rsidP="00E2500A">
            <w:pPr>
              <w:spacing w:after="0" w:line="240" w:lineRule="atLeast"/>
              <w:jc w:val="both"/>
              <w:rPr>
                <w:rFonts w:eastAsia="Times New Roman"/>
                <w:b/>
                <w:iCs/>
                <w:sz w:val="22"/>
              </w:rPr>
            </w:pPr>
            <w:r w:rsidRPr="004A0129">
              <w:rPr>
                <w:rFonts w:eastAsia="Times New Roman"/>
                <w:b/>
                <w:iCs/>
                <w:sz w:val="22"/>
              </w:rPr>
              <w:t xml:space="preserve">   </w:t>
            </w:r>
          </w:p>
        </w:tc>
        <w:tc>
          <w:tcPr>
            <w:tcW w:w="6300" w:type="dxa"/>
          </w:tcPr>
          <w:p w:rsidR="00E2500A" w:rsidRPr="004A0129" w:rsidRDefault="00E2500A" w:rsidP="00E2500A">
            <w:pPr>
              <w:spacing w:after="0" w:line="240" w:lineRule="atLeast"/>
              <w:jc w:val="center"/>
              <w:rPr>
                <w:rFonts w:eastAsia="Times New Roman"/>
                <w:b/>
                <w:bCs/>
                <w:sz w:val="24"/>
                <w:szCs w:val="24"/>
              </w:rPr>
            </w:pPr>
            <w:r w:rsidRPr="004A0129">
              <w:rPr>
                <w:rFonts w:eastAsia="Times New Roman"/>
                <w:b/>
                <w:bCs/>
                <w:sz w:val="24"/>
                <w:szCs w:val="24"/>
              </w:rPr>
              <w:t xml:space="preserve">CỘNG HOÀ XÃ HỘI CHỦ NGHĨA VIỆT </w:t>
            </w:r>
            <w:smartTag w:uri="urn:schemas-microsoft-com:office:smarttags" w:element="place">
              <w:smartTag w:uri="urn:schemas-microsoft-com:office:smarttags" w:element="country-region">
                <w:r w:rsidRPr="004A0129">
                  <w:rPr>
                    <w:rFonts w:eastAsia="Times New Roman"/>
                    <w:b/>
                    <w:bCs/>
                    <w:sz w:val="24"/>
                    <w:szCs w:val="24"/>
                  </w:rPr>
                  <w:t>NAM</w:t>
                </w:r>
              </w:smartTag>
            </w:smartTag>
          </w:p>
          <w:p w:rsidR="00E2500A" w:rsidRPr="004A0129" w:rsidRDefault="00E2500A" w:rsidP="00E2500A">
            <w:pPr>
              <w:spacing w:after="0" w:line="240" w:lineRule="atLeast"/>
              <w:jc w:val="center"/>
              <w:rPr>
                <w:rFonts w:eastAsia="Times New Roman"/>
                <w:b/>
                <w:bCs/>
                <w:szCs w:val="28"/>
              </w:rPr>
            </w:pPr>
            <w:r w:rsidRPr="004A0129">
              <w:rPr>
                <w:rFonts w:eastAsia="Times New Roman"/>
                <w:b/>
                <w:bCs/>
                <w:szCs w:val="28"/>
              </w:rPr>
              <w:t>Độc lập - Tự do - Hạnh phúc</w:t>
            </w:r>
          </w:p>
          <w:p w:rsidR="00D903D9" w:rsidRDefault="00512D72" w:rsidP="00D903D9">
            <w:pPr>
              <w:spacing w:after="0" w:line="240" w:lineRule="atLeast"/>
              <w:jc w:val="center"/>
              <w:rPr>
                <w:rFonts w:eastAsia="Times New Roman"/>
                <w:i/>
                <w:iCs/>
                <w:szCs w:val="28"/>
              </w:rPr>
            </w:pPr>
            <w:r>
              <w:rPr>
                <w:rFonts w:eastAsia="Times New Roman"/>
                <w:b/>
                <w:bCs/>
                <w:noProof/>
                <w:szCs w:val="28"/>
              </w:rPr>
              <mc:AlternateContent>
                <mc:Choice Requires="wps">
                  <w:drawing>
                    <wp:anchor distT="0" distB="0" distL="114300" distR="114300" simplePos="0" relativeHeight="251657728" behindDoc="0" locked="0" layoutInCell="1" allowOverlap="1">
                      <wp:simplePos x="0" y="0"/>
                      <wp:positionH relativeFrom="column">
                        <wp:posOffset>1194435</wp:posOffset>
                      </wp:positionH>
                      <wp:positionV relativeFrom="paragraph">
                        <wp:posOffset>15875</wp:posOffset>
                      </wp:positionV>
                      <wp:extent cx="1543050" cy="635"/>
                      <wp:effectExtent l="0" t="0" r="1905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05pt;margin-top:1.25pt;width:12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Qh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"/>
                  </w:pict>
                </mc:Fallback>
              </mc:AlternateContent>
            </w:r>
          </w:p>
          <w:p w:rsidR="00E2500A" w:rsidRPr="00D903D9" w:rsidRDefault="00F46DD3" w:rsidP="00D903D9">
            <w:pPr>
              <w:spacing w:after="0" w:line="240" w:lineRule="atLeast"/>
              <w:jc w:val="center"/>
              <w:rPr>
                <w:rFonts w:eastAsia="Times New Roman"/>
                <w:b/>
                <w:bCs/>
                <w:sz w:val="46"/>
                <w:szCs w:val="28"/>
              </w:rPr>
            </w:pPr>
            <w:r w:rsidRPr="00DC672C">
              <w:rPr>
                <w:rFonts w:eastAsia="Times New Roman"/>
                <w:i/>
                <w:iCs/>
                <w:szCs w:val="28"/>
              </w:rPr>
              <w:t xml:space="preserve">   </w:t>
            </w:r>
            <w:r w:rsidR="00E2500A" w:rsidRPr="00DC672C">
              <w:rPr>
                <w:rFonts w:eastAsia="Times New Roman"/>
                <w:i/>
                <w:iCs/>
                <w:szCs w:val="28"/>
              </w:rPr>
              <w:t>Hà Nội, ngày</w:t>
            </w:r>
            <w:r w:rsidR="00DC672C" w:rsidRPr="00DC672C">
              <w:rPr>
                <w:rFonts w:eastAsia="Times New Roman"/>
                <w:i/>
                <w:iCs/>
                <w:szCs w:val="28"/>
              </w:rPr>
              <w:t xml:space="preserve"> 09</w:t>
            </w:r>
            <w:r w:rsidR="00CA7832" w:rsidRPr="00DC672C">
              <w:rPr>
                <w:rFonts w:eastAsia="Times New Roman"/>
                <w:i/>
                <w:iCs/>
                <w:szCs w:val="28"/>
              </w:rPr>
              <w:t xml:space="preserve"> </w:t>
            </w:r>
            <w:r w:rsidR="00DC672C" w:rsidRPr="00DC672C">
              <w:rPr>
                <w:rFonts w:eastAsia="Times New Roman"/>
                <w:i/>
                <w:iCs/>
                <w:szCs w:val="28"/>
              </w:rPr>
              <w:t>t</w:t>
            </w:r>
            <w:r w:rsidR="00E2500A" w:rsidRPr="00DC672C">
              <w:rPr>
                <w:rFonts w:eastAsia="Times New Roman"/>
                <w:i/>
                <w:iCs/>
                <w:szCs w:val="28"/>
              </w:rPr>
              <w:t xml:space="preserve">háng </w:t>
            </w:r>
            <w:r w:rsidR="00DC672C" w:rsidRPr="00DC672C">
              <w:rPr>
                <w:rFonts w:eastAsia="Times New Roman"/>
                <w:i/>
                <w:iCs/>
                <w:szCs w:val="28"/>
              </w:rPr>
              <w:t>4</w:t>
            </w:r>
            <w:r w:rsidR="00CA7832" w:rsidRPr="00DC672C">
              <w:rPr>
                <w:rFonts w:eastAsia="Times New Roman"/>
                <w:i/>
                <w:iCs/>
                <w:szCs w:val="28"/>
              </w:rPr>
              <w:t xml:space="preserve"> </w:t>
            </w:r>
            <w:r w:rsidR="00E2500A" w:rsidRPr="00DC672C">
              <w:rPr>
                <w:rFonts w:eastAsia="Times New Roman"/>
                <w:i/>
                <w:iCs/>
                <w:szCs w:val="28"/>
              </w:rPr>
              <w:t>năm 201</w:t>
            </w:r>
            <w:r w:rsidR="00107B4F" w:rsidRPr="00DC672C">
              <w:rPr>
                <w:rFonts w:eastAsia="Times New Roman"/>
                <w:i/>
                <w:iCs/>
                <w:szCs w:val="28"/>
              </w:rPr>
              <w:t>9</w:t>
            </w:r>
          </w:p>
        </w:tc>
      </w:tr>
    </w:tbl>
    <w:p w:rsidR="00400800" w:rsidRPr="000F36B0" w:rsidRDefault="00400800" w:rsidP="00124089">
      <w:pPr>
        <w:keepNext/>
        <w:spacing w:before="120" w:after="120" w:line="240" w:lineRule="auto"/>
        <w:jc w:val="center"/>
        <w:rPr>
          <w:b/>
          <w:sz w:val="8"/>
          <w:szCs w:val="28"/>
          <w:lang w:val="nl-NL"/>
        </w:rPr>
      </w:pPr>
    </w:p>
    <w:p w:rsidR="00966979" w:rsidRPr="004A0129" w:rsidRDefault="00966979" w:rsidP="00124089">
      <w:pPr>
        <w:keepNext/>
        <w:spacing w:before="120" w:after="120" w:line="240" w:lineRule="auto"/>
        <w:jc w:val="center"/>
        <w:rPr>
          <w:b/>
          <w:szCs w:val="28"/>
          <w:lang w:val="nl-NL"/>
        </w:rPr>
      </w:pPr>
      <w:r w:rsidRPr="004A0129">
        <w:rPr>
          <w:b/>
          <w:szCs w:val="28"/>
          <w:lang w:val="nl-NL"/>
        </w:rPr>
        <w:t>T</w:t>
      </w:r>
      <w:r w:rsidR="00DB1935" w:rsidRPr="004A0129">
        <w:rPr>
          <w:b/>
          <w:szCs w:val="28"/>
          <w:lang w:val="nl-NL"/>
        </w:rPr>
        <w:t>HÔNG TƯ</w:t>
      </w:r>
    </w:p>
    <w:p w:rsidR="00966979" w:rsidRPr="004A0129" w:rsidRDefault="00107B4F" w:rsidP="00124089">
      <w:pPr>
        <w:keepNext/>
        <w:spacing w:before="120" w:after="120" w:line="240" w:lineRule="auto"/>
        <w:jc w:val="center"/>
        <w:rPr>
          <w:b/>
          <w:bCs/>
          <w:szCs w:val="28"/>
          <w:lang w:val="nl-NL"/>
        </w:rPr>
      </w:pPr>
      <w:r>
        <w:rPr>
          <w:b/>
          <w:szCs w:val="28"/>
          <w:lang w:val="nl-NL"/>
        </w:rPr>
        <w:t>Sửa đổi, bổ sung một số điều của Thông tư số 301/2016/TT-BTC ngày 15 tháng 11 năm</w:t>
      </w:r>
      <w:r w:rsidR="00AA6866">
        <w:rPr>
          <w:b/>
          <w:szCs w:val="28"/>
          <w:lang w:val="nl-NL"/>
        </w:rPr>
        <w:t xml:space="preserve"> 2016</w:t>
      </w:r>
      <w:r>
        <w:rPr>
          <w:b/>
          <w:szCs w:val="28"/>
          <w:lang w:val="nl-NL"/>
        </w:rPr>
        <w:t xml:space="preserve"> hướng dẫn về lệ phí trước bạ</w:t>
      </w:r>
    </w:p>
    <w:p w:rsidR="00924360" w:rsidRDefault="00512D72" w:rsidP="000F36B0">
      <w:pPr>
        <w:keepNext/>
        <w:spacing w:before="120" w:after="120" w:line="240" w:lineRule="auto"/>
        <w:ind w:firstLine="720"/>
        <w:jc w:val="both"/>
        <w:rPr>
          <w:bCs/>
          <w:i/>
          <w:sz w:val="2"/>
          <w:szCs w:val="28"/>
          <w:lang w:val="nl-NL"/>
        </w:rPr>
      </w:pPr>
      <w:r>
        <w:rPr>
          <w:bCs/>
          <w:noProof/>
          <w:szCs w:val="28"/>
        </w:rPr>
        <mc:AlternateContent>
          <mc:Choice Requires="wps">
            <w:drawing>
              <wp:anchor distT="4294967295" distB="4294967295" distL="114300" distR="114300" simplePos="0" relativeHeight="251658752" behindDoc="0" locked="0" layoutInCell="1" allowOverlap="1">
                <wp:simplePos x="0" y="0"/>
                <wp:positionH relativeFrom="column">
                  <wp:posOffset>2310765</wp:posOffset>
                </wp:positionH>
                <wp:positionV relativeFrom="paragraph">
                  <wp:posOffset>40004</wp:posOffset>
                </wp:positionV>
                <wp:extent cx="12192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1.95pt;margin-top:3.15pt;width:9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76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Sxb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"/>
            </w:pict>
          </mc:Fallback>
        </mc:AlternateContent>
      </w:r>
    </w:p>
    <w:p w:rsidR="000F36B0" w:rsidRDefault="000F36B0" w:rsidP="000F36B0">
      <w:pPr>
        <w:keepNext/>
        <w:spacing w:before="120" w:after="120" w:line="240" w:lineRule="auto"/>
        <w:ind w:firstLine="720"/>
        <w:jc w:val="both"/>
        <w:rPr>
          <w:bCs/>
          <w:i/>
          <w:sz w:val="2"/>
          <w:szCs w:val="28"/>
          <w:lang w:val="nl-NL"/>
        </w:rPr>
      </w:pPr>
    </w:p>
    <w:p w:rsidR="009E7E72" w:rsidRPr="000F36B0" w:rsidRDefault="009E7E72" w:rsidP="00512D72">
      <w:pPr>
        <w:spacing w:beforeLines="40" w:before="96" w:afterLines="40" w:after="96" w:line="240" w:lineRule="auto"/>
        <w:ind w:firstLine="720"/>
        <w:jc w:val="both"/>
        <w:rPr>
          <w:bCs/>
          <w:i/>
          <w:sz w:val="4"/>
          <w:szCs w:val="28"/>
          <w:lang w:val="nl-NL"/>
        </w:rPr>
      </w:pPr>
    </w:p>
    <w:p w:rsidR="003D19B8" w:rsidRPr="00834A5E" w:rsidRDefault="003D19B8" w:rsidP="00512D72">
      <w:pPr>
        <w:spacing w:beforeLines="30" w:before="72" w:afterLines="30" w:after="72" w:line="240" w:lineRule="auto"/>
        <w:ind w:firstLine="720"/>
        <w:jc w:val="both"/>
        <w:rPr>
          <w:bCs/>
          <w:i/>
          <w:szCs w:val="28"/>
          <w:lang w:val="nl-NL"/>
        </w:rPr>
      </w:pPr>
      <w:r w:rsidRPr="00834A5E">
        <w:rPr>
          <w:bCs/>
          <w:i/>
          <w:szCs w:val="28"/>
          <w:lang w:val="nl-NL"/>
        </w:rPr>
        <w:t xml:space="preserve">Căn cứ Luật Phí và lệ phí số 97/2015/QH13 </w:t>
      </w:r>
      <w:r w:rsidR="003E39BD">
        <w:rPr>
          <w:bCs/>
          <w:i/>
          <w:szCs w:val="28"/>
          <w:lang w:val="nl-NL"/>
        </w:rPr>
        <w:t>ngày 25 tháng 11 năm 2015</w:t>
      </w:r>
      <w:r w:rsidRPr="00834A5E">
        <w:rPr>
          <w:bCs/>
          <w:i/>
          <w:szCs w:val="28"/>
          <w:lang w:val="nl-NL"/>
        </w:rPr>
        <w:t>;</w:t>
      </w:r>
    </w:p>
    <w:p w:rsidR="00C83523" w:rsidRPr="004A0129" w:rsidRDefault="00C83523" w:rsidP="00512D72">
      <w:pPr>
        <w:spacing w:beforeLines="30" w:before="72" w:afterLines="30" w:after="72" w:line="240" w:lineRule="auto"/>
        <w:ind w:firstLine="720"/>
        <w:jc w:val="both"/>
        <w:rPr>
          <w:bCs/>
          <w:i/>
          <w:szCs w:val="28"/>
          <w:lang w:val="nl-NL"/>
        </w:rPr>
      </w:pPr>
      <w:r w:rsidRPr="004A0129">
        <w:rPr>
          <w:bCs/>
          <w:i/>
          <w:szCs w:val="28"/>
          <w:lang w:val="nl-NL"/>
        </w:rPr>
        <w:t xml:space="preserve">Căn cứ </w:t>
      </w:r>
      <w:r w:rsidR="00107B4F">
        <w:rPr>
          <w:bCs/>
          <w:i/>
          <w:szCs w:val="28"/>
          <w:lang w:val="nl-NL"/>
        </w:rPr>
        <w:t>Nghị định số 140/2016/NĐ-CP ngày 10 tháng 10 năm 2016 của Chính phủ về lệ phí trước bạ</w:t>
      </w:r>
      <w:r w:rsidRPr="004A0129">
        <w:rPr>
          <w:bCs/>
          <w:i/>
          <w:szCs w:val="28"/>
          <w:lang w:val="nl-NL"/>
        </w:rPr>
        <w:t>;</w:t>
      </w:r>
    </w:p>
    <w:p w:rsidR="00C83523" w:rsidRPr="004A0129" w:rsidRDefault="00C83523" w:rsidP="00512D72">
      <w:pPr>
        <w:spacing w:beforeLines="30" w:before="72" w:afterLines="30" w:after="72" w:line="240" w:lineRule="auto"/>
        <w:ind w:firstLine="720"/>
        <w:jc w:val="both"/>
        <w:rPr>
          <w:bCs/>
          <w:i/>
          <w:szCs w:val="28"/>
          <w:lang w:val="nl-NL"/>
        </w:rPr>
      </w:pPr>
      <w:r w:rsidRPr="004A0129">
        <w:rPr>
          <w:bCs/>
          <w:i/>
          <w:szCs w:val="28"/>
          <w:lang w:val="nl-NL"/>
        </w:rPr>
        <w:t xml:space="preserve">Căn cứ </w:t>
      </w:r>
      <w:r w:rsidR="00107B4F">
        <w:rPr>
          <w:bCs/>
          <w:i/>
          <w:szCs w:val="28"/>
          <w:lang w:val="nl-NL"/>
        </w:rPr>
        <w:t xml:space="preserve">Nghị định số 20/2019/NĐ-CP ngày 21 tháng 02 năm 2019 của Chính phủ sửa đổi, bổ sung một số điều của Nghị định số 140/2016/NĐ-CP </w:t>
      </w:r>
      <w:r w:rsidR="00107B4F" w:rsidRPr="00107B4F">
        <w:rPr>
          <w:bCs/>
          <w:i/>
          <w:szCs w:val="28"/>
          <w:lang w:val="nl-NL"/>
        </w:rPr>
        <w:t>ngày 10 tháng 10 năm 2016 của Chính phủ về lệ phí trước bạ</w:t>
      </w:r>
      <w:r w:rsidRPr="004A0129">
        <w:rPr>
          <w:bCs/>
          <w:i/>
          <w:szCs w:val="28"/>
          <w:lang w:val="nl-NL"/>
        </w:rPr>
        <w:t>;</w:t>
      </w:r>
    </w:p>
    <w:p w:rsidR="00C83523" w:rsidRPr="004A0129" w:rsidRDefault="00B11E01" w:rsidP="00512D72">
      <w:pPr>
        <w:spacing w:beforeLines="30" w:before="72" w:afterLines="30" w:after="72" w:line="240" w:lineRule="auto"/>
        <w:ind w:firstLine="720"/>
        <w:jc w:val="both"/>
        <w:rPr>
          <w:bCs/>
          <w:i/>
          <w:szCs w:val="28"/>
          <w:lang w:val="nl-NL"/>
        </w:rPr>
      </w:pPr>
      <w:r w:rsidRPr="004A0129">
        <w:rPr>
          <w:bCs/>
          <w:i/>
          <w:szCs w:val="28"/>
          <w:lang w:val="nl-NL"/>
        </w:rPr>
        <w:t xml:space="preserve">Căn cứ </w:t>
      </w:r>
      <w:r w:rsidR="00107B4F">
        <w:rPr>
          <w:bCs/>
          <w:i/>
          <w:szCs w:val="28"/>
          <w:lang w:val="nl-NL"/>
        </w:rPr>
        <w:t xml:space="preserve">Nghị định số 87/2017/NĐ-CP ngày </w:t>
      </w:r>
      <w:r w:rsidR="001A7B90">
        <w:rPr>
          <w:bCs/>
          <w:i/>
          <w:szCs w:val="28"/>
          <w:lang w:val="nl-NL"/>
        </w:rPr>
        <w:t xml:space="preserve"> ngày 26 tháng 07 năm </w:t>
      </w:r>
      <w:r w:rsidR="00107B4F">
        <w:rPr>
          <w:bCs/>
          <w:i/>
          <w:szCs w:val="28"/>
          <w:lang w:val="nl-NL"/>
        </w:rPr>
        <w:t>2017 của Chính phủ quy định chức năng, nhiệm vụ, quyền hạn và cơ cấu tổ chức của Bộ Tài chính</w:t>
      </w:r>
      <w:r w:rsidR="00C83523" w:rsidRPr="004A0129">
        <w:rPr>
          <w:bCs/>
          <w:i/>
          <w:szCs w:val="28"/>
          <w:lang w:val="nl-NL"/>
        </w:rPr>
        <w:t>;</w:t>
      </w:r>
    </w:p>
    <w:p w:rsidR="00C83523" w:rsidRPr="004A0129" w:rsidRDefault="00C83523" w:rsidP="00512D72">
      <w:pPr>
        <w:spacing w:beforeLines="30" w:before="72" w:afterLines="30" w:after="72" w:line="240" w:lineRule="auto"/>
        <w:ind w:firstLine="720"/>
        <w:jc w:val="both"/>
        <w:rPr>
          <w:bCs/>
          <w:i/>
          <w:szCs w:val="28"/>
          <w:lang w:val="nl-NL"/>
        </w:rPr>
      </w:pPr>
      <w:r w:rsidRPr="004A0129">
        <w:rPr>
          <w:bCs/>
          <w:i/>
          <w:szCs w:val="28"/>
          <w:lang w:val="nl-NL"/>
        </w:rPr>
        <w:t>Theo đề nghị của Tổng cục trưởng Tổng cục Thuế</w:t>
      </w:r>
      <w:r w:rsidR="00423B29">
        <w:rPr>
          <w:bCs/>
          <w:i/>
          <w:szCs w:val="28"/>
          <w:lang w:val="nl-NL"/>
        </w:rPr>
        <w:t>;</w:t>
      </w:r>
    </w:p>
    <w:p w:rsidR="00C83523" w:rsidRPr="004A0129" w:rsidRDefault="00C83523" w:rsidP="00512D72">
      <w:pPr>
        <w:spacing w:beforeLines="30" w:before="72" w:afterLines="30" w:after="72" w:line="240" w:lineRule="auto"/>
        <w:ind w:firstLine="720"/>
        <w:jc w:val="both"/>
        <w:rPr>
          <w:bCs/>
          <w:i/>
          <w:sz w:val="24"/>
          <w:szCs w:val="24"/>
          <w:lang w:val="nl-NL"/>
        </w:rPr>
      </w:pPr>
      <w:r w:rsidRPr="004A0129">
        <w:rPr>
          <w:bCs/>
          <w:i/>
          <w:szCs w:val="28"/>
          <w:lang w:val="nl-NL"/>
        </w:rPr>
        <w:t xml:space="preserve">Bộ trưởng Bộ Tài chính ban hành Thông tư </w:t>
      </w:r>
      <w:r w:rsidR="002251A0">
        <w:rPr>
          <w:bCs/>
          <w:i/>
          <w:szCs w:val="28"/>
          <w:lang w:val="nl-NL"/>
        </w:rPr>
        <w:t>s</w:t>
      </w:r>
      <w:r w:rsidR="002251A0" w:rsidRPr="002251A0">
        <w:rPr>
          <w:bCs/>
          <w:i/>
          <w:szCs w:val="28"/>
          <w:lang w:val="nl-NL"/>
        </w:rPr>
        <w:t>ửa đổi, bổ sung một số điều của Thông tư số 301/2016/TT-BTC ngày 15 tháng 11 năm 2016 hướng dẫn về lệ phí trước bạ</w:t>
      </w:r>
      <w:r w:rsidRPr="004A0129">
        <w:rPr>
          <w:bCs/>
          <w:i/>
          <w:szCs w:val="28"/>
          <w:lang w:val="nl-NL"/>
        </w:rPr>
        <w:t xml:space="preserve"> như sau:</w:t>
      </w:r>
      <w:r w:rsidR="00793DB9">
        <w:rPr>
          <w:bCs/>
          <w:i/>
          <w:szCs w:val="28"/>
          <w:lang w:val="nl-NL"/>
        </w:rPr>
        <w:t xml:space="preserve"> </w:t>
      </w:r>
    </w:p>
    <w:p w:rsidR="00924360" w:rsidRPr="006E24FA" w:rsidRDefault="00924360" w:rsidP="00512D72">
      <w:pPr>
        <w:tabs>
          <w:tab w:val="left" w:pos="4560"/>
        </w:tabs>
        <w:spacing w:beforeLines="50" w:before="120" w:afterLines="50" w:after="120" w:line="240" w:lineRule="auto"/>
        <w:ind w:firstLine="720"/>
        <w:jc w:val="both"/>
        <w:rPr>
          <w:b/>
          <w:sz w:val="8"/>
          <w:szCs w:val="28"/>
          <w:lang w:val="nl-NL"/>
        </w:rPr>
      </w:pPr>
    </w:p>
    <w:p w:rsidR="00490C73" w:rsidRPr="006E24FA" w:rsidRDefault="00490C73" w:rsidP="00512D72">
      <w:pPr>
        <w:tabs>
          <w:tab w:val="left" w:pos="4560"/>
        </w:tabs>
        <w:spacing w:beforeLines="30" w:before="72" w:afterLines="30" w:after="72" w:line="240" w:lineRule="auto"/>
        <w:ind w:firstLine="720"/>
        <w:jc w:val="both"/>
        <w:rPr>
          <w:b/>
          <w:szCs w:val="28"/>
          <w:lang w:val="nl-NL"/>
        </w:rPr>
      </w:pPr>
      <w:r w:rsidRPr="006E24FA">
        <w:rPr>
          <w:b/>
          <w:szCs w:val="28"/>
          <w:lang w:val="nl-NL"/>
        </w:rPr>
        <w:t xml:space="preserve">Điều 1. Sửa đổi, bổ sung một số điều của Thông tư số 301/2016/TT-BTC ngày 15 tháng 11 năm 2016 của Bộ </w:t>
      </w:r>
      <w:r w:rsidR="00443AE1" w:rsidRPr="006E24FA">
        <w:rPr>
          <w:b/>
          <w:szCs w:val="28"/>
          <w:lang w:val="nl-NL"/>
        </w:rPr>
        <w:t xml:space="preserve">trưởng Bộ </w:t>
      </w:r>
      <w:r w:rsidRPr="006E24FA">
        <w:rPr>
          <w:b/>
          <w:szCs w:val="28"/>
          <w:lang w:val="nl-NL"/>
        </w:rPr>
        <w:t>Tài chính hướng dẫn về lệ phí trước</w:t>
      </w:r>
      <w:r w:rsidR="00443AE1" w:rsidRPr="006E24FA">
        <w:rPr>
          <w:b/>
          <w:szCs w:val="28"/>
          <w:lang w:val="nl-NL"/>
        </w:rPr>
        <w:t xml:space="preserve"> bạ</w:t>
      </w:r>
      <w:r w:rsidRPr="006E24FA">
        <w:rPr>
          <w:b/>
          <w:szCs w:val="28"/>
          <w:lang w:val="nl-NL"/>
        </w:rPr>
        <w:t xml:space="preserve"> </w:t>
      </w:r>
    </w:p>
    <w:p w:rsidR="00A7789B" w:rsidRDefault="00A7789B" w:rsidP="00512D72">
      <w:pPr>
        <w:spacing w:beforeLines="30" w:before="72" w:afterLines="30" w:after="72" w:line="240" w:lineRule="auto"/>
        <w:ind w:firstLine="720"/>
        <w:jc w:val="both"/>
        <w:rPr>
          <w:szCs w:val="28"/>
          <w:lang w:val="nl-NL"/>
        </w:rPr>
      </w:pPr>
      <w:r>
        <w:rPr>
          <w:szCs w:val="28"/>
          <w:lang w:val="nl-NL"/>
        </w:rPr>
        <w:t>1. Điều 1 được sửa đổi, bổ sung như sau:</w:t>
      </w:r>
    </w:p>
    <w:p w:rsidR="00A7789B" w:rsidRDefault="00A7789B" w:rsidP="00512D72">
      <w:pPr>
        <w:spacing w:beforeLines="30" w:before="72" w:afterLines="30" w:after="72" w:line="240" w:lineRule="auto"/>
        <w:ind w:firstLine="720"/>
        <w:jc w:val="both"/>
        <w:rPr>
          <w:szCs w:val="28"/>
          <w:lang w:val="nl-NL"/>
        </w:rPr>
      </w:pPr>
      <w:r>
        <w:rPr>
          <w:szCs w:val="28"/>
          <w:lang w:val="nl-NL"/>
        </w:rPr>
        <w:t>“</w:t>
      </w:r>
      <w:r w:rsidRPr="00A7789B">
        <w:rPr>
          <w:szCs w:val="28"/>
          <w:lang w:val="nl-NL"/>
        </w:rPr>
        <w:t>Thông tư này hướng dẫn về đối tượng chịu lệ phí trước bạ, giá tính lệ phí trước bạ, mức thu lệ phí trước bạ, miễn lệ phí trước bạ</w:t>
      </w:r>
      <w:r w:rsidR="00615AE4">
        <w:rPr>
          <w:szCs w:val="28"/>
          <w:lang w:val="nl-NL"/>
        </w:rPr>
        <w:t>.”</w:t>
      </w:r>
    </w:p>
    <w:p w:rsidR="00615AE4" w:rsidRDefault="00615AE4" w:rsidP="00512D72">
      <w:pPr>
        <w:spacing w:beforeLines="30" w:before="72" w:afterLines="30" w:after="72" w:line="240" w:lineRule="auto"/>
        <w:ind w:firstLine="720"/>
        <w:jc w:val="both"/>
        <w:rPr>
          <w:szCs w:val="28"/>
          <w:lang w:val="nl-NL"/>
        </w:rPr>
      </w:pPr>
      <w:r>
        <w:rPr>
          <w:szCs w:val="28"/>
          <w:lang w:val="nl-NL"/>
        </w:rPr>
        <w:t>2. Điểm a khoản 2</w:t>
      </w:r>
      <w:r w:rsidR="00C9497A">
        <w:rPr>
          <w:szCs w:val="28"/>
          <w:lang w:val="nl-NL"/>
        </w:rPr>
        <w:t>, đ</w:t>
      </w:r>
      <w:r w:rsidR="00C9497A" w:rsidRPr="00D35B48">
        <w:rPr>
          <w:szCs w:val="28"/>
          <w:lang w:val="nl-NL"/>
        </w:rPr>
        <w:t>iểm b khoản 3</w:t>
      </w:r>
      <w:r>
        <w:rPr>
          <w:szCs w:val="28"/>
          <w:lang w:val="nl-NL"/>
        </w:rPr>
        <w:t xml:space="preserve"> </w:t>
      </w:r>
      <w:r w:rsidR="00C9497A">
        <w:rPr>
          <w:szCs w:val="28"/>
          <w:lang w:val="nl-NL"/>
        </w:rPr>
        <w:t xml:space="preserve">và điểm d khoản 3 </w:t>
      </w:r>
      <w:r>
        <w:rPr>
          <w:szCs w:val="28"/>
          <w:lang w:val="nl-NL"/>
        </w:rPr>
        <w:t>Điều 3 được sửa đổi, bổ sung như sau:</w:t>
      </w:r>
    </w:p>
    <w:p w:rsidR="0072617F" w:rsidRDefault="00615AE4" w:rsidP="00512D72">
      <w:pPr>
        <w:spacing w:beforeLines="30" w:before="72" w:afterLines="30" w:after="72" w:line="240" w:lineRule="auto"/>
        <w:ind w:firstLine="720"/>
        <w:jc w:val="both"/>
        <w:rPr>
          <w:szCs w:val="28"/>
          <w:lang w:val="nl-NL"/>
        </w:rPr>
      </w:pPr>
      <w:r>
        <w:rPr>
          <w:szCs w:val="28"/>
          <w:lang w:val="nl-NL"/>
        </w:rPr>
        <w:t>“</w:t>
      </w:r>
      <w:r w:rsidR="0072617F" w:rsidRPr="0072617F">
        <w:rPr>
          <w:szCs w:val="28"/>
          <w:lang w:val="nl-NL"/>
        </w:rPr>
        <w:t>2. Giá tính lệ phí trước bạ đối với nhà</w:t>
      </w:r>
    </w:p>
    <w:p w:rsidR="00615AE4" w:rsidRPr="00615AE4" w:rsidRDefault="00615AE4" w:rsidP="00512D72">
      <w:pPr>
        <w:spacing w:beforeLines="30" w:before="72" w:afterLines="30" w:after="72" w:line="240" w:lineRule="auto"/>
        <w:ind w:firstLine="720"/>
        <w:jc w:val="both"/>
        <w:rPr>
          <w:szCs w:val="28"/>
          <w:lang w:val="nl-NL"/>
        </w:rPr>
      </w:pPr>
      <w:r w:rsidRPr="00615AE4">
        <w:rPr>
          <w:szCs w:val="28"/>
          <w:lang w:val="nl-NL"/>
        </w:rPr>
        <w:t>a) Giá tính lệ phí trước bạ đối với nhà là giá do Ủy ban nhân dân cấp tỉnh ban hành theo quy định của pháp luật về xây dựng tại thời điểm kê khai lệ phí trước bạ.</w:t>
      </w:r>
    </w:p>
    <w:p w:rsidR="00615AE4" w:rsidRDefault="00615AE4" w:rsidP="00512D72">
      <w:pPr>
        <w:spacing w:beforeLines="30" w:before="72" w:afterLines="30" w:after="72" w:line="240" w:lineRule="auto"/>
        <w:ind w:firstLine="720"/>
        <w:jc w:val="both"/>
        <w:rPr>
          <w:szCs w:val="28"/>
          <w:lang w:val="nl-NL"/>
        </w:rPr>
      </w:pPr>
      <w:r w:rsidRPr="00615AE4">
        <w:rPr>
          <w:szCs w:val="28"/>
          <w:lang w:val="nl-NL"/>
        </w:rPr>
        <w:t xml:space="preserve">Sở Tài chính chủ trì phối hợp với Sở Xây dựng và các cơ quan liên quan tại địa phương căn cứ quy định tại </w:t>
      </w:r>
      <w:r w:rsidR="00B1196A" w:rsidRPr="00B1196A">
        <w:rPr>
          <w:szCs w:val="28"/>
          <w:lang w:val="nl-NL"/>
        </w:rPr>
        <w:t>điểm b khoản 1 Điều 6 Nghị định số 140/2016/NĐ-</w:t>
      </w:r>
      <w:r w:rsidR="00B1196A" w:rsidRPr="00B1196A">
        <w:rPr>
          <w:szCs w:val="28"/>
          <w:lang w:val="nl-NL"/>
        </w:rPr>
        <w:lastRenderedPageBreak/>
        <w:t>CP ngày 10/10/2016 của Chính phủ</w:t>
      </w:r>
      <w:r w:rsidR="00B1196A">
        <w:rPr>
          <w:szCs w:val="28"/>
          <w:lang w:val="nl-NL"/>
        </w:rPr>
        <w:t xml:space="preserve"> về lệ phí trước bạ, được sửa đổi, bổ sung tại </w:t>
      </w:r>
      <w:r>
        <w:rPr>
          <w:szCs w:val="28"/>
          <w:lang w:val="nl-NL"/>
        </w:rPr>
        <w:t>khoản 1 Điều 1 Nghị định số 20/2019/NĐ-CP ngày 21 tháng 02 năm 2019</w:t>
      </w:r>
      <w:r w:rsidRPr="00615AE4">
        <w:rPr>
          <w:szCs w:val="28"/>
          <w:lang w:val="nl-NL"/>
        </w:rPr>
        <w:t xml:space="preserve"> của Chính phủ và hướng dẫn tại khoản 2 Điều này để xây dựng giá tính lệ phí trước bạ đối với nhà trình Ủy ban nhân dân cấp tỉnh ban hành Bảng giá tính lệ phí trước bạ đối với nhà áp dụng tại địa phương.</w:t>
      </w:r>
    </w:p>
    <w:p w:rsidR="0072617F" w:rsidRDefault="0072617F" w:rsidP="00512D72">
      <w:pPr>
        <w:spacing w:beforeLines="30" w:before="72" w:afterLines="30" w:after="72" w:line="240" w:lineRule="auto"/>
        <w:ind w:firstLine="720"/>
        <w:jc w:val="both"/>
        <w:rPr>
          <w:szCs w:val="28"/>
          <w:lang w:val="nl-NL"/>
        </w:rPr>
      </w:pPr>
      <w:r w:rsidRPr="0072617F">
        <w:rPr>
          <w:szCs w:val="28"/>
          <w:lang w:val="nl-NL"/>
        </w:rPr>
        <w:t>3. Giá tính lệ phí trước bạ đối với tài sản khác</w:t>
      </w:r>
    </w:p>
    <w:p w:rsidR="00D35B48" w:rsidRPr="00D35B48" w:rsidRDefault="0072617F" w:rsidP="00512D72">
      <w:pPr>
        <w:spacing w:beforeLines="30" w:before="72" w:afterLines="30" w:after="72" w:line="240" w:lineRule="auto"/>
        <w:ind w:firstLine="720"/>
        <w:jc w:val="both"/>
        <w:rPr>
          <w:szCs w:val="28"/>
          <w:lang w:val="nl-NL"/>
        </w:rPr>
      </w:pPr>
      <w:r>
        <w:rPr>
          <w:szCs w:val="28"/>
          <w:lang w:val="nl-NL"/>
        </w:rPr>
        <w:t xml:space="preserve">b) </w:t>
      </w:r>
      <w:r w:rsidR="00D35B48" w:rsidRPr="00D35B48">
        <w:rPr>
          <w:szCs w:val="28"/>
          <w:lang w:val="nl-NL"/>
        </w:rPr>
        <w:t>Giá tính lệ phí trước bạ đối với tài sản là ô tô, các loại xe tương tự (sau đây gọi chung là ô tô) và xe máy quy định tại khoản 6, khoản 7 Điề</w:t>
      </w:r>
      <w:r w:rsidR="006A067E">
        <w:rPr>
          <w:szCs w:val="28"/>
          <w:lang w:val="nl-NL"/>
        </w:rPr>
        <w:t>u 2</w:t>
      </w:r>
      <w:r w:rsidR="00D35B48" w:rsidRPr="00D35B48">
        <w:rPr>
          <w:szCs w:val="28"/>
          <w:lang w:val="nl-NL"/>
        </w:rPr>
        <w:t xml:space="preserve"> Nghị định số 140/2016/NĐ-CP ngày 10 tháng 10 năm 2016 của Chính phủ về lệ phí trước bạ (trừ rơ moóc hoặc sơ mi rơ moóc được kéo bởi ô tô) là giá tại Quyết định về Bảng giá tính lệ phí trước bạ do Bộ Tài chính ban hành (sau đây gọi là Bảng giá).</w:t>
      </w:r>
    </w:p>
    <w:p w:rsidR="0072617F" w:rsidRPr="0072617F" w:rsidRDefault="0072617F" w:rsidP="00512D72">
      <w:pPr>
        <w:spacing w:beforeLines="30" w:before="72" w:afterLines="30" w:after="72" w:line="240" w:lineRule="auto"/>
        <w:ind w:firstLine="720"/>
        <w:jc w:val="both"/>
        <w:rPr>
          <w:szCs w:val="28"/>
          <w:lang w:val="nl-NL"/>
        </w:rPr>
      </w:pPr>
      <w:r w:rsidRPr="0072617F">
        <w:rPr>
          <w:szCs w:val="28"/>
          <w:lang w:val="nl-NL"/>
        </w:rPr>
        <w:t>Bảng giá được sử dụng làm căn cứ xác định giá tính lệ phí trước bạ đối với ôtô, xe máy mới và được xác định theo các chỉ tiêu loại phương tiện, nhãn hiệu, kiểu loại xe [số loại hoặc tên thương mại; tên thương mại và mã kiểu loại (nếu có) đối với ôtô], thể tích làm việc hoặc công suất động cơ hoặc khối lượng hàng chuyên chở (hoặc kéo theo) cho phép tham gia giao thông (trọng tải), số người cho phép chở (kể cả lái xe), nước sản xuất của ô tô, xe máy trên Giấy chứng nhận chất lượng an toàn kỹ thuật và bảo vệ môi trường hoặc Thông báo miễn kiểm tra chất lượng an toàn kỹ thuật và bảo vệ môi trường hoặc Giấy chứng nhận chất lượng kiểu loại do cơ quan đăng kiểm Việt Nam cấp hoặc Phiếu kiểm tra chất lượng xuất xưởng dùng cho xe cơ giới. Đối với chỉ tiêu thể tích làm việc của ô tô thì đơn vị tính được quy đổi làm tròn</w:t>
      </w:r>
      <w:r w:rsidR="00C944A6">
        <w:rPr>
          <w:szCs w:val="28"/>
          <w:lang w:val="nl-NL"/>
        </w:rPr>
        <w:t xml:space="preserve"> đến một chữ số thập phân như sau: ≥ 5 làm tròn lên, &lt; 5 làm tròn xuống</w:t>
      </w:r>
      <w:r w:rsidRPr="0072617F">
        <w:rPr>
          <w:szCs w:val="28"/>
          <w:lang w:val="nl-NL"/>
        </w:rPr>
        <w:t>.</w:t>
      </w:r>
    </w:p>
    <w:p w:rsidR="0072617F" w:rsidRPr="0072617F" w:rsidRDefault="0072617F" w:rsidP="00512D72">
      <w:pPr>
        <w:spacing w:beforeLines="30" w:before="72" w:afterLines="30" w:after="72" w:line="240" w:lineRule="auto"/>
        <w:ind w:firstLine="720"/>
        <w:jc w:val="both"/>
        <w:rPr>
          <w:szCs w:val="28"/>
          <w:lang w:val="nl-NL"/>
        </w:rPr>
      </w:pPr>
      <w:r w:rsidRPr="0072617F">
        <w:rPr>
          <w:szCs w:val="28"/>
          <w:lang w:val="nl-NL"/>
        </w:rPr>
        <w:t>Trường hợp phát sinh loại ô tô, xe máy mới mà tại thời điểm nộp tờ khai lệ phí trước bạ chưa có trong Bảng giá thì Cơ quan thuế căn cứ vào cơ sở dữ liệu theo quy định tại khoản 1 Điều 1 Nghị định số 20/2019/NĐ-CP ngày 21/02/2019 của Chính phủ quyết định giá tính lệ phí trước bạ của từng loại ô tô, xe máy mới phát sinh (đối với ô tô là theo kiểu loại xe). Cục Thuế thông báo cho các Chi cục Thuế giá tính lệ phí trước bạ áp dụng thống nhất trên địa bàn trong thời hạn 03 (ba) ngày làm việc kể từ ngày tiếp nhận hồ sơ khai lệ phí trước bạ hợp lệ.</w:t>
      </w:r>
    </w:p>
    <w:p w:rsidR="003E306B" w:rsidRPr="00AA6866" w:rsidRDefault="0072617F" w:rsidP="00512D72">
      <w:pPr>
        <w:spacing w:beforeLines="30" w:before="72" w:afterLines="30" w:after="72" w:line="240" w:lineRule="auto"/>
        <w:ind w:firstLine="720"/>
        <w:jc w:val="both"/>
        <w:rPr>
          <w:strike/>
          <w:szCs w:val="28"/>
          <w:highlight w:val="yellow"/>
          <w:lang w:val="nl-NL"/>
        </w:rPr>
      </w:pPr>
      <w:r w:rsidRPr="0072617F">
        <w:rPr>
          <w:szCs w:val="28"/>
          <w:lang w:val="nl-NL"/>
        </w:rPr>
        <w:t>Ôtô, xe máy chưa có trong Bảng giá là ôtô, xe máy có một trong các chỉ tiêu quy định tại điểm này không trùng với các chỉ tiêu có trong Bảng giá.</w:t>
      </w:r>
      <w:r w:rsidR="00D35B48" w:rsidRPr="00D35B48">
        <w:rPr>
          <w:szCs w:val="28"/>
          <w:lang w:val="nl-NL"/>
        </w:rPr>
        <w:t xml:space="preserve"> </w:t>
      </w:r>
      <w:r w:rsidR="003C642E" w:rsidRPr="00AA6866">
        <w:rPr>
          <w:rFonts w:eastAsia="Times New Roman"/>
          <w:spacing w:val="2"/>
          <w:szCs w:val="28"/>
          <w:lang w:val="pt-BR"/>
        </w:rPr>
        <w:t xml:space="preserve"> </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 xml:space="preserve">d) Đối với tài sản thuộc đối tượng chịu lệ phí trước bạ đã qua sử dụng (trừ nhà, đất và tài sản đã qua sử dụng </w:t>
      </w:r>
      <w:r w:rsidR="00301BC0">
        <w:rPr>
          <w:szCs w:val="28"/>
          <w:lang w:val="nl-NL"/>
        </w:rPr>
        <w:t xml:space="preserve">được </w:t>
      </w:r>
      <w:r w:rsidRPr="0072617F">
        <w:rPr>
          <w:szCs w:val="28"/>
          <w:lang w:val="nl-NL"/>
        </w:rPr>
        <w:t xml:space="preserve">nhập khẩu </w:t>
      </w:r>
      <w:r w:rsidR="00301BC0">
        <w:rPr>
          <w:szCs w:val="28"/>
          <w:lang w:val="nl-NL"/>
        </w:rPr>
        <w:t xml:space="preserve">và </w:t>
      </w:r>
      <w:r w:rsidRPr="0072617F">
        <w:rPr>
          <w:szCs w:val="28"/>
          <w:lang w:val="nl-NL"/>
        </w:rPr>
        <w:t xml:space="preserve">đăng ký </w:t>
      </w:r>
      <w:r w:rsidR="00301BC0">
        <w:rPr>
          <w:szCs w:val="28"/>
          <w:lang w:val="nl-NL"/>
        </w:rPr>
        <w:t>sở hữu</w:t>
      </w:r>
      <w:r w:rsidRPr="0072617F">
        <w:rPr>
          <w:szCs w:val="28"/>
          <w:lang w:val="nl-NL"/>
        </w:rPr>
        <w:t xml:space="preserve"> lần đầu </w:t>
      </w:r>
      <w:r w:rsidR="00301BC0">
        <w:rPr>
          <w:szCs w:val="28"/>
          <w:lang w:val="nl-NL"/>
        </w:rPr>
        <w:t xml:space="preserve">có </w:t>
      </w:r>
      <w:r w:rsidRPr="0072617F">
        <w:rPr>
          <w:szCs w:val="28"/>
          <w:lang w:val="nl-NL"/>
        </w:rPr>
        <w:t xml:space="preserve"> giá tính lệ phí trước bạ được xác định căn cứ vào cơ sở dữ liệu đối với tài sản nhập khẩu theo quy định tại khoản 1 Điều 1 Nghị định số 20/2019/NĐ-CP ngày 21 tháng 02 năm 2019 của Chính phủ) thì giá tính lệ phí trước bạ là giá trị còn lại tính theo thời gian sử dụng của tài sản. </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Giá trị còn lại của tài sản bằng giá trị tài sản mới nhân với (x) tỷ lệ phần trăm chất lượng còn lại của tài sản, trong đó:</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lastRenderedPageBreak/>
        <w:t xml:space="preserve">d.1) Giá trị tài sản mới xác định theo hướng dẫn tại khoản 2 Điều 6 Nghị định số 140/2016/NĐ-CP ngày 10/10/2016 của Chính phủ về lệ phí trước bạ, được sửa đổi, bổ sung tại khoản 1 Điều 1 Nghị định số 20/2019/NĐ-CP ngày 21 tháng 02 năm 2019 của Chính phủ và điểm b khoản này. </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 xml:space="preserve">d.2) Tỷ lệ (%) chất lượng còn lại của tài sản trước bạ được xác định như sau:        </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 Tài sản mới: 100%.</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 Thời gian đã sử dụng trong 1 năm: 90%</w:t>
      </w:r>
      <w:r w:rsidRPr="0072617F">
        <w:rPr>
          <w:szCs w:val="28"/>
          <w:lang w:val="nl-NL"/>
        </w:rPr>
        <w:tab/>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 Thời gian đã sử dụng từ trên 1 đến  3 năm:  70%</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 Thời gian đã sử dụng từ trên 3 đến 6  năm:  50%</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 Thời gian đã sử dụng từ trên 6 đến 10  năm:  30%</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 Thời gian đã sử dụng trên 10 năm:  20%</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Đối với tài sản đã qua sử dụng, thời gian đã sử dụng được tính từ năm sản xuất đến năm kê khai lệ phí trước bạ.</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d.3)  Đối với ô tô, xe máy đã qua sử dụng mà chưa có trong Bảng giá thì giá tính lệ phí trước bạ là giá trị sử dụng còn lại của kiểu loại xe tương đương có giá tính lệ phí trước bạ trong nhóm kiểu loại xe đã có trong Bảng giá.</w:t>
      </w:r>
    </w:p>
    <w:p w:rsidR="0072617F" w:rsidRPr="0072617F"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 xml:space="preserve"> Kiểu loại xe tương đương được xác định như sau: ô tô, xe máy cùng nguồn gốc xuất xứ, cùng nhãn hiệu, cùng thể tích làm việc hoặc công suất động cơ, cùng số người cho phép chở (kể cả lái xe) và kiểu loại xe có các ký tự tương đương với kiểu loại xe của ô tô, xe máy đã có trong Bảng giá. </w:t>
      </w:r>
    </w:p>
    <w:p w:rsidR="003C5EDB" w:rsidRDefault="0072617F" w:rsidP="00512D72">
      <w:pPr>
        <w:tabs>
          <w:tab w:val="left" w:pos="851"/>
          <w:tab w:val="left" w:pos="1276"/>
        </w:tabs>
        <w:spacing w:beforeLines="30" w:before="72" w:afterLines="30" w:after="72" w:line="240" w:lineRule="auto"/>
        <w:ind w:firstLine="720"/>
        <w:jc w:val="both"/>
        <w:rPr>
          <w:szCs w:val="28"/>
          <w:lang w:val="nl-NL"/>
        </w:rPr>
      </w:pPr>
      <w:r w:rsidRPr="0072617F">
        <w:rPr>
          <w:szCs w:val="28"/>
          <w:lang w:val="nl-NL"/>
        </w:rPr>
        <w:t>Trường hợp trong Bảng giá có nhiều kiểu loại xe tương đương thì cơ quan thuế xác định giá tính lệ phí trước bạ theo nguyên tắc lấy theo giá tính lệ phí trước bạ cao nhất.</w:t>
      </w:r>
    </w:p>
    <w:p w:rsidR="0072617F" w:rsidRPr="000F1EAE" w:rsidRDefault="003C5EDB" w:rsidP="00512D72">
      <w:pPr>
        <w:tabs>
          <w:tab w:val="left" w:pos="851"/>
          <w:tab w:val="left" w:pos="1276"/>
        </w:tabs>
        <w:spacing w:beforeLines="30" w:before="72" w:afterLines="30" w:after="72" w:line="240" w:lineRule="auto"/>
        <w:ind w:firstLine="720"/>
        <w:jc w:val="both"/>
        <w:rPr>
          <w:rFonts w:eastAsia="Times New Roman"/>
          <w:spacing w:val="2"/>
          <w:szCs w:val="28"/>
          <w:lang w:val="pt-BR"/>
        </w:rPr>
      </w:pPr>
      <w:r>
        <w:rPr>
          <w:szCs w:val="28"/>
          <w:lang w:val="nl-NL"/>
        </w:rPr>
        <w:t xml:space="preserve">Đối với ô tô, xe máy đã qua sử dụng mà chưa có trong Bảng giá và không xác định được kiểu loại xe tương đương thì cơ quan thuế căn cứ </w:t>
      </w:r>
      <w:r w:rsidR="00301BC0">
        <w:rPr>
          <w:szCs w:val="28"/>
          <w:lang w:val="nl-NL"/>
        </w:rPr>
        <w:t>vào cơ sở dữ liệu theo quy định tại khoản 1 Điều 1 Nghị định số 20/2019/NĐ-CP ngày 21 tháng 2 năm 2019 của Chính phủ để xác định giá tính lệ phí trước bạ.</w:t>
      </w:r>
      <w:r w:rsidR="00D35B48" w:rsidRPr="00D35B48">
        <w:rPr>
          <w:szCs w:val="28"/>
          <w:lang w:val="nl-NL"/>
        </w:rPr>
        <w:t xml:space="preserve">” </w:t>
      </w:r>
    </w:p>
    <w:p w:rsidR="0049552A" w:rsidRDefault="000F1EAE" w:rsidP="00512D72">
      <w:pPr>
        <w:spacing w:beforeLines="30" w:before="72" w:afterLines="30" w:after="72" w:line="240" w:lineRule="auto"/>
        <w:ind w:firstLine="720"/>
        <w:jc w:val="both"/>
        <w:rPr>
          <w:szCs w:val="28"/>
          <w:lang w:val="nl-NL"/>
        </w:rPr>
      </w:pPr>
      <w:r>
        <w:rPr>
          <w:szCs w:val="28"/>
          <w:lang w:val="nl-NL"/>
        </w:rPr>
        <w:t>3</w:t>
      </w:r>
      <w:r w:rsidR="0049552A">
        <w:rPr>
          <w:szCs w:val="28"/>
          <w:lang w:val="nl-NL"/>
        </w:rPr>
        <w:t>. Khoản 5</w:t>
      </w:r>
      <w:r w:rsidR="00182DB1">
        <w:rPr>
          <w:szCs w:val="28"/>
          <w:lang w:val="nl-NL"/>
        </w:rPr>
        <w:t xml:space="preserve"> và khoản 6</w:t>
      </w:r>
      <w:r w:rsidR="0049552A">
        <w:rPr>
          <w:szCs w:val="28"/>
          <w:lang w:val="nl-NL"/>
        </w:rPr>
        <w:t xml:space="preserve"> Điều 4 được sửa đổi, bổ sung như sau:</w:t>
      </w:r>
    </w:p>
    <w:p w:rsidR="000F1EAE" w:rsidRDefault="0049552A" w:rsidP="00512D72">
      <w:pPr>
        <w:spacing w:beforeLines="30" w:before="72" w:afterLines="30" w:after="72" w:line="240" w:lineRule="auto"/>
        <w:ind w:firstLine="720"/>
        <w:jc w:val="both"/>
        <w:rPr>
          <w:szCs w:val="28"/>
          <w:lang w:val="nl-NL"/>
        </w:rPr>
      </w:pPr>
      <w:r>
        <w:rPr>
          <w:szCs w:val="28"/>
          <w:lang w:val="nl-NL"/>
        </w:rPr>
        <w:t>“</w:t>
      </w:r>
      <w:r w:rsidR="000F1EAE" w:rsidRPr="00BD0C41">
        <w:rPr>
          <w:b/>
          <w:szCs w:val="28"/>
          <w:lang w:val="nl-NL"/>
        </w:rPr>
        <w:t>Điều 4. Mức thu lệ phí trước bạ theo tỷ lệ (%)</w:t>
      </w:r>
    </w:p>
    <w:p w:rsidR="0049552A" w:rsidRPr="0049552A" w:rsidRDefault="0049552A" w:rsidP="00512D72">
      <w:pPr>
        <w:spacing w:beforeLines="30" w:before="72" w:afterLines="30" w:after="72" w:line="240" w:lineRule="auto"/>
        <w:ind w:firstLine="720"/>
        <w:jc w:val="both"/>
        <w:rPr>
          <w:szCs w:val="28"/>
          <w:lang w:val="nl-NL"/>
        </w:rPr>
      </w:pPr>
      <w:r w:rsidRPr="0049552A">
        <w:rPr>
          <w:szCs w:val="28"/>
          <w:lang w:val="nl-NL"/>
        </w:rPr>
        <w:t>5. Ô tô, rơ moóc hoặc sơ mi rơ moóc được kéo bởi ô tô, các loại xe tương tự</w:t>
      </w:r>
      <w:r w:rsidR="000F1EAE">
        <w:rPr>
          <w:szCs w:val="28"/>
          <w:lang w:val="nl-NL"/>
        </w:rPr>
        <w:t>, ô</w:t>
      </w:r>
      <w:r w:rsidR="000F1EAE" w:rsidRPr="000F1EAE">
        <w:rPr>
          <w:szCs w:val="28"/>
          <w:lang w:val="nl-NL"/>
        </w:rPr>
        <w:t xml:space="preserve"> tô chở người từ 09 chỗ ngồi trở xuống</w:t>
      </w:r>
      <w:r w:rsidR="000F1EAE">
        <w:rPr>
          <w:szCs w:val="28"/>
          <w:lang w:val="nl-NL"/>
        </w:rPr>
        <w:t>, ô tô tải VAN và ô</w:t>
      </w:r>
      <w:r w:rsidR="000F1EAE" w:rsidRPr="000F1EAE">
        <w:rPr>
          <w:szCs w:val="28"/>
          <w:lang w:val="nl-NL"/>
        </w:rPr>
        <w:t xml:space="preserve"> tô vừa chở người, vừa chở hàng (Ô tô pick-up chở hàng)</w:t>
      </w:r>
      <w:r w:rsidR="00DC1DC8">
        <w:rPr>
          <w:szCs w:val="28"/>
          <w:lang w:val="nl-NL"/>
        </w:rPr>
        <w:t>: mức thu đối với các xe này thực hiện theo quy định tại khoản 2 Điều 1 Nghị định số 20/2019/NĐ-CP ngày 21 tháng 02 năm 2019 của Chính phủ</w:t>
      </w:r>
      <w:r w:rsidRPr="0049552A">
        <w:rPr>
          <w:szCs w:val="28"/>
          <w:lang w:val="nl-NL"/>
        </w:rPr>
        <w:t>.</w:t>
      </w:r>
    </w:p>
    <w:p w:rsidR="0049552A" w:rsidRDefault="0049552A" w:rsidP="00512D72">
      <w:pPr>
        <w:spacing w:beforeLines="30" w:before="72" w:afterLines="30" w:after="72" w:line="240" w:lineRule="auto"/>
        <w:ind w:firstLine="720"/>
        <w:jc w:val="both"/>
        <w:rPr>
          <w:szCs w:val="28"/>
          <w:lang w:val="nl-NL"/>
        </w:rPr>
      </w:pPr>
      <w:r w:rsidRPr="0049552A">
        <w:rPr>
          <w:szCs w:val="28"/>
          <w:lang w:val="nl-NL"/>
        </w:rPr>
        <w:t>Căn cứ vào loại phương tiện</w:t>
      </w:r>
      <w:r w:rsidR="00291159">
        <w:rPr>
          <w:szCs w:val="28"/>
          <w:lang w:val="nl-NL"/>
        </w:rPr>
        <w:t>, khối lượng chuyên chở</w:t>
      </w:r>
      <w:r w:rsidRPr="0049552A">
        <w:rPr>
          <w:szCs w:val="28"/>
          <w:lang w:val="nl-NL"/>
        </w:rPr>
        <w:t xml:space="preserve"> ghi tại Giấy chứng nhận chất lượng an toàn kỹ thuật và bảo vệ môi trường do cơ quan đăng kiểm Việt Nam cấ</w:t>
      </w:r>
      <w:r w:rsidR="00B3253C">
        <w:rPr>
          <w:szCs w:val="28"/>
          <w:lang w:val="nl-NL"/>
        </w:rPr>
        <w:t>p, Cơ quan t</w:t>
      </w:r>
      <w:r w:rsidRPr="0049552A">
        <w:rPr>
          <w:szCs w:val="28"/>
          <w:lang w:val="nl-NL"/>
        </w:rPr>
        <w:t xml:space="preserve">huế xác định mức thu lệ phí trước bạ đối với ô tô, rơ moóc </w:t>
      </w:r>
      <w:r w:rsidRPr="0049552A">
        <w:rPr>
          <w:szCs w:val="28"/>
          <w:lang w:val="nl-NL"/>
        </w:rPr>
        <w:lastRenderedPageBreak/>
        <w:t>hoặc sơ mi rơ moóc được kéo bởi ô tô, các loại xe tương tự theo quy định tại khoản này.</w:t>
      </w:r>
    </w:p>
    <w:p w:rsidR="0049552A" w:rsidRPr="0049552A" w:rsidRDefault="00B3253C" w:rsidP="00512D72">
      <w:pPr>
        <w:spacing w:beforeLines="30" w:before="72" w:afterLines="30" w:after="72" w:line="240" w:lineRule="auto"/>
        <w:ind w:firstLine="720"/>
        <w:jc w:val="both"/>
        <w:rPr>
          <w:szCs w:val="28"/>
          <w:lang w:val="nl-NL"/>
        </w:rPr>
      </w:pPr>
      <w:r>
        <w:rPr>
          <w:szCs w:val="28"/>
          <w:lang w:val="nl-NL"/>
        </w:rPr>
        <w:t>Cơ quan t</w:t>
      </w:r>
      <w:r w:rsidR="0049552A" w:rsidRPr="0049552A">
        <w:rPr>
          <w:szCs w:val="28"/>
          <w:lang w:val="nl-NL"/>
        </w:rPr>
        <w:t>huế xác định mức thu lệ phí trước bạ xe ô tô trên cơ sở:</w:t>
      </w:r>
    </w:p>
    <w:p w:rsidR="0049552A" w:rsidRDefault="0049552A" w:rsidP="00512D72">
      <w:pPr>
        <w:spacing w:beforeLines="30" w:before="72" w:afterLines="30" w:after="72" w:line="240" w:lineRule="auto"/>
        <w:ind w:firstLine="720"/>
        <w:jc w:val="both"/>
        <w:rPr>
          <w:szCs w:val="28"/>
          <w:lang w:val="nl-NL"/>
        </w:rPr>
      </w:pPr>
      <w:r w:rsidRPr="0049552A">
        <w:rPr>
          <w:szCs w:val="28"/>
          <w:lang w:val="nl-NL"/>
        </w:rPr>
        <w:t>- Số chỗ ngồi trên xe ôtô được xác định theo thiết kế của nhà sản xuất.</w:t>
      </w:r>
    </w:p>
    <w:p w:rsidR="00291159" w:rsidRPr="0049552A" w:rsidRDefault="00291159" w:rsidP="00512D72">
      <w:pPr>
        <w:spacing w:beforeLines="30" w:before="72" w:afterLines="30" w:after="72" w:line="240" w:lineRule="auto"/>
        <w:ind w:firstLine="720"/>
        <w:jc w:val="both"/>
        <w:rPr>
          <w:szCs w:val="28"/>
          <w:lang w:val="nl-NL"/>
        </w:rPr>
      </w:pPr>
      <w:r>
        <w:rPr>
          <w:szCs w:val="28"/>
          <w:lang w:val="nl-NL"/>
        </w:rPr>
        <w:t>- Khối lượng chuyên chở.</w:t>
      </w:r>
    </w:p>
    <w:p w:rsidR="0049552A" w:rsidRPr="0049552A" w:rsidRDefault="0049552A" w:rsidP="00512D72">
      <w:pPr>
        <w:spacing w:beforeLines="30" w:before="72" w:afterLines="30" w:after="72" w:line="240" w:lineRule="auto"/>
        <w:ind w:firstLine="720"/>
        <w:jc w:val="both"/>
        <w:rPr>
          <w:szCs w:val="28"/>
          <w:lang w:val="nl-NL"/>
        </w:rPr>
      </w:pPr>
      <w:r w:rsidRPr="0049552A">
        <w:rPr>
          <w:szCs w:val="28"/>
          <w:lang w:val="nl-NL"/>
        </w:rPr>
        <w:t>- Loại xe được xác định như sau:</w:t>
      </w:r>
    </w:p>
    <w:p w:rsidR="0049552A" w:rsidRPr="0049552A" w:rsidRDefault="0049552A" w:rsidP="00512D72">
      <w:pPr>
        <w:spacing w:beforeLines="30" w:before="72" w:afterLines="30" w:after="72" w:line="240" w:lineRule="auto"/>
        <w:ind w:firstLine="720"/>
        <w:jc w:val="both"/>
        <w:rPr>
          <w:szCs w:val="28"/>
          <w:lang w:val="nl-NL"/>
        </w:rPr>
      </w:pPr>
      <w:r w:rsidRPr="0049552A">
        <w:rPr>
          <w:szCs w:val="28"/>
          <w:lang w:val="nl-NL"/>
        </w:rPr>
        <w:t>Trường hợp xe nhập khẩu căn cứ xác định của cơ quan Đăng kiểm ghi tại mục “Loại phương tiện” của Giấy chứng nhận chất lượng an toàn kỹ thuật và bảo vệ môi trường xe cơ giới nhập khẩu hoặc Thông báo miễn kiểm tra chất lượng an toàn kỹ thuật và bảo vệ môi trường đối với xe cơ giới nhập khẩu do cơ quan đăng kiểm Việt Nam cấp;</w:t>
      </w:r>
    </w:p>
    <w:p w:rsidR="0049552A" w:rsidRPr="0049552A" w:rsidRDefault="0049552A" w:rsidP="00512D72">
      <w:pPr>
        <w:spacing w:beforeLines="30" w:before="72" w:afterLines="30" w:after="72" w:line="240" w:lineRule="auto"/>
        <w:ind w:firstLine="720"/>
        <w:jc w:val="both"/>
        <w:rPr>
          <w:szCs w:val="28"/>
          <w:lang w:val="nl-NL"/>
        </w:rPr>
      </w:pPr>
      <w:r w:rsidRPr="0049552A">
        <w:rPr>
          <w:szCs w:val="28"/>
          <w:lang w:val="nl-NL"/>
        </w:rPr>
        <w:t>Trường hợp xe sản xuất, lắp ráp trong nước thì căn cứ vào mục “Loại phương tiện” ghi tại Giấy chứng nhận chất lượng an toàn kỹ thuật và bảo vệ môi trường ô tô sản xuất, lắp ráp hoặc Phiếu kiểm tra chất lượng xuất xưởng dùng cho xe cơ giới.</w:t>
      </w:r>
    </w:p>
    <w:p w:rsidR="0049552A" w:rsidRPr="0049552A" w:rsidRDefault="0049552A" w:rsidP="00512D72">
      <w:pPr>
        <w:spacing w:beforeLines="30" w:before="72" w:afterLines="30" w:after="72" w:line="240" w:lineRule="auto"/>
        <w:ind w:firstLine="720"/>
        <w:jc w:val="both"/>
        <w:rPr>
          <w:szCs w:val="28"/>
          <w:lang w:val="nl-NL"/>
        </w:rPr>
      </w:pPr>
      <w:r w:rsidRPr="0049552A">
        <w:rPr>
          <w:szCs w:val="28"/>
          <w:lang w:val="nl-NL"/>
        </w:rPr>
        <w:t>Trường hợp tại mục “Loại phương tiện” (loại xe) của các giấy tờ nêu trên không xác định là xe ô tô tải thì áp dụng tỷ lệ thu lệ phí trước bạ đối với xe ô tô chở người.</w:t>
      </w:r>
    </w:p>
    <w:p w:rsidR="00DC1DC8" w:rsidRDefault="0049552A" w:rsidP="00512D72">
      <w:pPr>
        <w:spacing w:beforeLines="30" w:before="72" w:afterLines="30" w:after="72" w:line="240" w:lineRule="auto"/>
        <w:ind w:firstLine="720"/>
        <w:jc w:val="both"/>
        <w:rPr>
          <w:szCs w:val="28"/>
          <w:lang w:val="nl-NL"/>
        </w:rPr>
      </w:pPr>
      <w:r w:rsidRPr="0049552A">
        <w:rPr>
          <w:szCs w:val="28"/>
          <w:lang w:val="nl-NL"/>
        </w:rPr>
        <w:t>Cơ quan Công an cấp biển số đăng ký xe kiểm tra loại xe, nếu phát hiện Giấy chứng nhận chất lượng an toàn kỹ thuật và bảo vệ môi trường, Thông báo miễn kiểm tra chất lượng an toàn kỹ thuật và bảo vệ môi trường đối với xe cơ giới nhập khẩu do cơ quan đăng kiểm Việt Nam cấp hoặc Phiếu kiểm tra chất lượng xuất xưởng dùng cho xe cơ giới ghi chưa đúng loại xe ô tô tải hoặc ô tô chở người dẫn đến việc áp dụng mức thu lệ phí trước bạ xe chưa phù hợp thì thông báo kịp thời với cơ quan Đăng kiểm để xác định lại loại phương tiện trước khi cấp biển số. Trường hợp cơ quan Đăng kiểm xác định lại loại phương tiện dẫn đến phải tính lại mức thu lệ phí trước bạ thì cơ quan Công an chuyển hồ sơ kèm tài liệu xác minh sang cơ quan thuế để phát hành thông báo thu lệ phí trước bạ theo đúng quy định.</w:t>
      </w:r>
    </w:p>
    <w:p w:rsidR="001B7335" w:rsidRPr="001B7335" w:rsidRDefault="001B7335" w:rsidP="00512D72">
      <w:pPr>
        <w:spacing w:beforeLines="30" w:before="72" w:afterLines="30" w:after="72" w:line="240" w:lineRule="auto"/>
        <w:ind w:firstLine="720"/>
        <w:jc w:val="both"/>
        <w:rPr>
          <w:szCs w:val="28"/>
          <w:lang w:val="nl-NL"/>
        </w:rPr>
      </w:pPr>
      <w:r w:rsidRPr="001B7335">
        <w:rPr>
          <w:szCs w:val="28"/>
          <w:lang w:val="nl-NL"/>
        </w:rPr>
        <w:t>6. Đối với các loại xe ô tô biển số ngoại giao, biển số nước ngoài và biển số quốc tế của các tổ chức, cá nhân nước ngoài quy định tại khoản 2, Điều 9 Nghị định số 140/2016/NĐ-CP ngày 10/10/2016 của Chính phủ chuyển nhượng cho các tổ chức, cá nhân khác tại Việt Nam (không thuộc đối tượng quy định khoản 2, Điều 9 Nghị định 140/2016/NĐ-CP ngày 10/10/2016 của Chính phủ) thì tổ chức, cá nhân nhận chuyển nhượng làm thủ tục kê khai, nộp thuế nhập khẩu, thuế tiêu thụ đặc biệt, thuế giá trị gia tăng theo quy định và nộp lệ phí trước bạ với mức thu lần đầu theo quy định của Hội đồng nhân dân tỉnh, thành phố trực thuộc Trung ương. Giá tính lệ phí trước bạ đối với trường hợp này là giá trị còn lại của tài sản được xác định tại thời điểm kê khai lệ phí trước bạ theo hướng dẫ</w:t>
      </w:r>
      <w:r w:rsidR="00DC1DC8">
        <w:rPr>
          <w:szCs w:val="28"/>
          <w:lang w:val="nl-NL"/>
        </w:rPr>
        <w:t>n</w:t>
      </w:r>
      <w:r w:rsidRPr="001B7335">
        <w:rPr>
          <w:szCs w:val="28"/>
          <w:lang w:val="nl-NL"/>
        </w:rPr>
        <w:t xml:space="preserve"> </w:t>
      </w:r>
      <w:r w:rsidR="0093560B">
        <w:rPr>
          <w:szCs w:val="28"/>
          <w:lang w:val="nl-NL"/>
        </w:rPr>
        <w:t xml:space="preserve">tại </w:t>
      </w:r>
      <w:r w:rsidR="002B08BF">
        <w:rPr>
          <w:szCs w:val="28"/>
          <w:lang w:val="nl-NL"/>
        </w:rPr>
        <w:t>điểm d.3 khoản 3 Điều 3 Thông tư này</w:t>
      </w:r>
      <w:r w:rsidRPr="001B7335">
        <w:rPr>
          <w:szCs w:val="28"/>
          <w:lang w:val="nl-NL"/>
        </w:rPr>
        <w:t>.</w:t>
      </w:r>
    </w:p>
    <w:p w:rsidR="00182DB1" w:rsidRDefault="001B7335" w:rsidP="00512D72">
      <w:pPr>
        <w:spacing w:beforeLines="30" w:before="72" w:afterLines="30" w:after="72" w:line="240" w:lineRule="auto"/>
        <w:ind w:firstLine="720"/>
        <w:jc w:val="both"/>
        <w:rPr>
          <w:szCs w:val="28"/>
          <w:lang w:val="nl-NL"/>
        </w:rPr>
      </w:pPr>
      <w:r w:rsidRPr="001B7335">
        <w:rPr>
          <w:szCs w:val="28"/>
          <w:lang w:val="nl-NL"/>
        </w:rPr>
        <w:lastRenderedPageBreak/>
        <w:t>Đối với các loại xe ô tô biển số nước ngoài mà chủ xe là người nước ngoài (không thuộc đối tượng quy định tại khoản 2 Điều 9 Nghị định 140/2016/NĐ-CP ngày 10/10/2016 của Chính phủ) đã kê khai và nộp lệ phí trước bạ theo mức thu lần đầu, trường hợp người nước ngoài chuyển nhượng tài sản cho các tổ chức, cá nhân khác tại Việt Nam thì tổ chức, cá nhân nhận chuyển nhượng phải kê khai, nộp lệ phí trước bạ khi đăng ký quyền sở hữu, sử dụng theo mức thu 2%.”</w:t>
      </w:r>
    </w:p>
    <w:p w:rsidR="00AC34B0" w:rsidRDefault="00182DB1" w:rsidP="00512D72">
      <w:pPr>
        <w:spacing w:beforeLines="30" w:before="72" w:afterLines="30" w:after="72" w:line="240" w:lineRule="auto"/>
        <w:ind w:firstLine="720"/>
        <w:jc w:val="both"/>
        <w:rPr>
          <w:szCs w:val="28"/>
          <w:lang w:val="nl-NL"/>
        </w:rPr>
      </w:pPr>
      <w:r>
        <w:rPr>
          <w:szCs w:val="28"/>
          <w:lang w:val="nl-NL"/>
        </w:rPr>
        <w:t>4</w:t>
      </w:r>
      <w:r w:rsidR="00AC34B0" w:rsidRPr="00AC34B0">
        <w:rPr>
          <w:szCs w:val="28"/>
          <w:lang w:val="nl-NL"/>
        </w:rPr>
        <w:t xml:space="preserve">. </w:t>
      </w:r>
      <w:r>
        <w:rPr>
          <w:szCs w:val="28"/>
          <w:lang w:val="nl-NL"/>
        </w:rPr>
        <w:t>Điểm c k</w:t>
      </w:r>
      <w:r w:rsidR="00177C08">
        <w:rPr>
          <w:szCs w:val="28"/>
          <w:lang w:val="nl-NL"/>
        </w:rPr>
        <w:t xml:space="preserve">hoản 3, khoản 15, điểm c khoản 16, khoản 21 </w:t>
      </w:r>
      <w:r w:rsidR="00AC34B0">
        <w:rPr>
          <w:szCs w:val="28"/>
          <w:lang w:val="nl-NL"/>
        </w:rPr>
        <w:t xml:space="preserve">Điều 5 </w:t>
      </w:r>
      <w:r w:rsidR="00735E51">
        <w:rPr>
          <w:szCs w:val="28"/>
          <w:lang w:val="nl-NL"/>
        </w:rPr>
        <w:t>được sửa đổi</w:t>
      </w:r>
      <w:r w:rsidR="002D132A">
        <w:rPr>
          <w:szCs w:val="28"/>
          <w:lang w:val="nl-NL"/>
        </w:rPr>
        <w:t>, bổ sung</w:t>
      </w:r>
      <w:r w:rsidR="00735E51">
        <w:rPr>
          <w:szCs w:val="28"/>
          <w:lang w:val="nl-NL"/>
        </w:rPr>
        <w:t xml:space="preserve"> </w:t>
      </w:r>
      <w:r w:rsidR="00AC34B0">
        <w:rPr>
          <w:szCs w:val="28"/>
          <w:lang w:val="nl-NL"/>
        </w:rPr>
        <w:t>như sau:</w:t>
      </w:r>
    </w:p>
    <w:p w:rsidR="0068753A" w:rsidRDefault="0068753A" w:rsidP="00512D72">
      <w:pPr>
        <w:spacing w:beforeLines="30" w:before="72" w:afterLines="30" w:after="72" w:line="240" w:lineRule="auto"/>
        <w:ind w:firstLine="720"/>
        <w:jc w:val="both"/>
        <w:rPr>
          <w:szCs w:val="28"/>
          <w:lang w:val="nl-NL"/>
        </w:rPr>
      </w:pPr>
      <w:r>
        <w:rPr>
          <w:szCs w:val="28"/>
          <w:lang w:val="nl-NL"/>
        </w:rPr>
        <w:t>“</w:t>
      </w:r>
      <w:r w:rsidRPr="00BD0C41">
        <w:rPr>
          <w:b/>
          <w:szCs w:val="28"/>
          <w:lang w:val="nl-NL"/>
        </w:rPr>
        <w:t>Điều 5. Miễn lệ phí trước bạ</w:t>
      </w:r>
    </w:p>
    <w:p w:rsidR="00833539" w:rsidRDefault="00833539" w:rsidP="00512D72">
      <w:pPr>
        <w:spacing w:beforeLines="30" w:before="72" w:afterLines="30" w:after="72" w:line="240" w:lineRule="auto"/>
        <w:ind w:firstLine="720"/>
        <w:jc w:val="both"/>
        <w:rPr>
          <w:szCs w:val="28"/>
          <w:lang w:val="nl-NL"/>
        </w:rPr>
      </w:pPr>
      <w:r w:rsidRPr="00833539">
        <w:rPr>
          <w:szCs w:val="28"/>
          <w:lang w:val="nl-NL"/>
        </w:rPr>
        <w:t>Miễn lệ phí trước bạ thực hiện theo quy định tại Điều 9 Nghị định số</w:t>
      </w:r>
      <w:r w:rsidR="00F0435B">
        <w:rPr>
          <w:szCs w:val="28"/>
          <w:lang w:val="nl-NL"/>
        </w:rPr>
        <w:t xml:space="preserve"> 140/2016/NĐ-CP ngày 10/10/2016</w:t>
      </w:r>
      <w:r w:rsidRPr="00833539">
        <w:rPr>
          <w:szCs w:val="28"/>
          <w:lang w:val="nl-NL"/>
        </w:rPr>
        <w:t xml:space="preserve"> </w:t>
      </w:r>
      <w:r w:rsidR="007A01EE">
        <w:rPr>
          <w:szCs w:val="28"/>
          <w:lang w:val="nl-NL"/>
        </w:rPr>
        <w:t xml:space="preserve">của Chính phủ </w:t>
      </w:r>
      <w:r w:rsidRPr="00833539">
        <w:rPr>
          <w:szCs w:val="28"/>
          <w:lang w:val="nl-NL"/>
        </w:rPr>
        <w:t>về lệ phí trước bạ</w:t>
      </w:r>
      <w:r w:rsidR="00F0435B">
        <w:rPr>
          <w:szCs w:val="28"/>
          <w:lang w:val="nl-NL"/>
        </w:rPr>
        <w:t>,</w:t>
      </w:r>
      <w:r>
        <w:rPr>
          <w:szCs w:val="28"/>
          <w:lang w:val="nl-NL"/>
        </w:rPr>
        <w:t xml:space="preserve"> </w:t>
      </w:r>
      <w:r w:rsidR="00F0435B">
        <w:rPr>
          <w:szCs w:val="28"/>
          <w:lang w:val="nl-NL"/>
        </w:rPr>
        <w:t xml:space="preserve">được sửa đổi, bổ sung tại </w:t>
      </w:r>
      <w:r>
        <w:rPr>
          <w:szCs w:val="28"/>
          <w:lang w:val="nl-NL"/>
        </w:rPr>
        <w:t xml:space="preserve">khoản 3 Điều 1 Nghị định số 20/2019/NĐ-CP ngày 21 tháng 02 năm 2019 </w:t>
      </w:r>
      <w:r w:rsidRPr="00833539">
        <w:rPr>
          <w:szCs w:val="28"/>
          <w:lang w:val="nl-NL"/>
        </w:rPr>
        <w:t>của Chính phủ</w:t>
      </w:r>
      <w:r w:rsidR="00177C08">
        <w:rPr>
          <w:szCs w:val="28"/>
          <w:lang w:val="nl-NL"/>
        </w:rPr>
        <w:t>,</w:t>
      </w:r>
      <w:r w:rsidRPr="00833539">
        <w:rPr>
          <w:szCs w:val="28"/>
          <w:lang w:val="nl-NL"/>
        </w:rPr>
        <w:t xml:space="preserve"> </w:t>
      </w:r>
      <w:r w:rsidR="00177C08">
        <w:rPr>
          <w:szCs w:val="28"/>
          <w:lang w:val="nl-NL"/>
        </w:rPr>
        <w:t>cụ thể</w:t>
      </w:r>
      <w:r w:rsidRPr="00833539">
        <w:rPr>
          <w:szCs w:val="28"/>
          <w:lang w:val="nl-NL"/>
        </w:rPr>
        <w:t xml:space="preserve"> như sau: </w:t>
      </w:r>
    </w:p>
    <w:p w:rsidR="00563219" w:rsidRPr="00563219" w:rsidRDefault="00563219" w:rsidP="00512D72">
      <w:pPr>
        <w:spacing w:beforeLines="30" w:before="72" w:afterLines="30" w:after="72" w:line="240" w:lineRule="auto"/>
        <w:ind w:firstLine="720"/>
        <w:jc w:val="both"/>
        <w:rPr>
          <w:szCs w:val="28"/>
          <w:lang w:val="nl-NL"/>
        </w:rPr>
      </w:pPr>
      <w:r w:rsidRPr="00563219">
        <w:rPr>
          <w:szCs w:val="28"/>
          <w:lang w:val="nl-NL"/>
        </w:rPr>
        <w:t>3. Đất được Nhà nước giao hoặc cho thuê theo hình thức trả tiền thuê đất một lần cho cả thời gian thuê sử dụng vào các mục đích sau đây:</w:t>
      </w:r>
    </w:p>
    <w:p w:rsidR="00563219" w:rsidRDefault="00563219" w:rsidP="00512D72">
      <w:pPr>
        <w:spacing w:beforeLines="30" w:before="72" w:afterLines="30" w:after="72" w:line="240" w:lineRule="auto"/>
        <w:ind w:firstLine="720"/>
        <w:jc w:val="both"/>
        <w:rPr>
          <w:szCs w:val="28"/>
          <w:lang w:val="nl-NL"/>
        </w:rPr>
      </w:pPr>
      <w:r w:rsidRPr="00563219">
        <w:rPr>
          <w:szCs w:val="28"/>
          <w:lang w:val="nl-NL"/>
        </w:rPr>
        <w:t>c) Đầu tư xây dựng kết cấu hạ tầng (không phân biệt đất trong hay ngoài khu công nghiệp, khu chế xuất), đầu tư xây dựng nhà để chuyển nhượng, bao gồm cả trường hợp tổ chức, cá nhân nhận chuyển nhượng để tiếp tục đầu tư xây dựng kết cấu hạ tầng hoặc xây dựng nhà để chuyển nhượng. Các trường hợp này nếu đăng ký quyền sở hữu, quyền sử dụng để cho thuê hoặc tự sử dụng thì phải nộp lệ phí trước bạ</w:t>
      </w:r>
      <w:r>
        <w:rPr>
          <w:szCs w:val="28"/>
          <w:lang w:val="nl-NL"/>
        </w:rPr>
        <w:t>.</w:t>
      </w:r>
    </w:p>
    <w:p w:rsidR="003C642E" w:rsidRDefault="003C642E" w:rsidP="00512D72">
      <w:pPr>
        <w:spacing w:beforeLines="30" w:before="72" w:afterLines="30" w:after="72" w:line="240" w:lineRule="auto"/>
        <w:ind w:firstLine="720"/>
        <w:jc w:val="both"/>
        <w:rPr>
          <w:szCs w:val="28"/>
          <w:lang w:val="nl-NL"/>
        </w:rPr>
      </w:pPr>
      <w:r w:rsidRPr="003C642E">
        <w:rPr>
          <w:szCs w:val="28"/>
          <w:lang w:val="nl-NL"/>
        </w:rPr>
        <w:t>15. Nhà, đất được bồi thường</w:t>
      </w:r>
      <w:r>
        <w:rPr>
          <w:szCs w:val="28"/>
          <w:lang w:val="nl-NL"/>
        </w:rPr>
        <w:t>, tái định cư</w:t>
      </w:r>
      <w:r w:rsidRPr="003C642E">
        <w:rPr>
          <w:szCs w:val="28"/>
          <w:lang w:val="nl-NL"/>
        </w:rPr>
        <w:t xml:space="preserve"> (kể cả nhà, đất mua bằng tiền được bồi thường, hỗ trợ) khi nhà nước thu hồi nhà, đất theo quy định của pháp luật mà tổ chức, cá nhân bị thu hồi nhà, đất đã nộp lệ phí trước bạ (hoặc không phải nộp, hoặc được miễn lệ phí trước bạ hoặc đã khấu trừ lệ phí trước bạ phải nộp khi tính tiền bồi thường nhà đất bị thu hồi theo quy định của pháp luật).</w:t>
      </w:r>
    </w:p>
    <w:p w:rsidR="00D903D9" w:rsidRDefault="00D903D9" w:rsidP="00512D72">
      <w:pPr>
        <w:spacing w:beforeLines="30" w:before="72" w:afterLines="30" w:after="72" w:line="240" w:lineRule="auto"/>
        <w:ind w:firstLine="720"/>
        <w:jc w:val="both"/>
        <w:rPr>
          <w:szCs w:val="28"/>
          <w:lang w:val="nl-NL"/>
        </w:rPr>
      </w:pPr>
      <w:r w:rsidRPr="00D903D9">
        <w:rPr>
          <w:szCs w:val="28"/>
          <w:lang w:val="nl-NL"/>
        </w:rPr>
        <w:t>Việc miễn lệ phí trước bạ quy định tại khoản này được áp dụng đối với đối tượng bị thu hồi nhà, đất.</w:t>
      </w:r>
    </w:p>
    <w:p w:rsidR="00833539" w:rsidRDefault="00833539" w:rsidP="00512D72">
      <w:pPr>
        <w:spacing w:beforeLines="30" w:before="72" w:afterLines="30" w:after="72" w:line="240" w:lineRule="auto"/>
        <w:ind w:firstLine="720"/>
        <w:jc w:val="both"/>
        <w:rPr>
          <w:szCs w:val="28"/>
          <w:lang w:val="nl-NL"/>
        </w:rPr>
      </w:pPr>
      <w:r w:rsidRPr="00833539">
        <w:rPr>
          <w:szCs w:val="28"/>
          <w:lang w:val="nl-NL"/>
        </w:rPr>
        <w:t xml:space="preserve">16. Tài sản của tổ chức, cá nhân đã được cấp giấy chứng nhận quyền sở hữu, sử dụng khi đăng ký lại quyền sở hữu, sử dụng được miễn nộp lệ phí trước bạ trong những trường hợp sau đây: </w:t>
      </w:r>
    </w:p>
    <w:p w:rsidR="00AC34B0" w:rsidRPr="00AC34B0" w:rsidRDefault="00AC34B0" w:rsidP="00512D72">
      <w:pPr>
        <w:spacing w:beforeLines="30" w:before="72" w:afterLines="30" w:after="72" w:line="240" w:lineRule="auto"/>
        <w:ind w:firstLine="720"/>
        <w:jc w:val="both"/>
        <w:rPr>
          <w:szCs w:val="28"/>
          <w:lang w:val="nl-NL"/>
        </w:rPr>
      </w:pPr>
      <w:r w:rsidRPr="00AC34B0">
        <w:rPr>
          <w:szCs w:val="28"/>
          <w:lang w:val="nl-NL"/>
        </w:rPr>
        <w:t xml:space="preserve">c) Tài sản đã được cấp giấy chứng nhận quyền sở hữu, sử dụng của hộ gia đình do một người trong hộ gia đình đứng tên (bao gồm cả đồng sở hữu tài sản), khi phân chia tài sản đó </w:t>
      </w:r>
      <w:r w:rsidR="00AB1885" w:rsidRPr="001A6CA3">
        <w:rPr>
          <w:szCs w:val="28"/>
          <w:lang w:val="nl-NL"/>
        </w:rPr>
        <w:t xml:space="preserve">theo quy định của pháp luật </w:t>
      </w:r>
      <w:r w:rsidRPr="00AC34B0">
        <w:rPr>
          <w:szCs w:val="28"/>
          <w:lang w:val="nl-NL"/>
        </w:rPr>
        <w:t>cho các thành viên hộ gia đình đăng ký lạ</w:t>
      </w:r>
      <w:r>
        <w:rPr>
          <w:szCs w:val="28"/>
          <w:lang w:val="nl-NL"/>
        </w:rPr>
        <w:t>i;</w:t>
      </w:r>
    </w:p>
    <w:p w:rsidR="00AC34B0" w:rsidRPr="00AC34B0" w:rsidRDefault="00AC34B0" w:rsidP="00512D72">
      <w:pPr>
        <w:spacing w:beforeLines="30" w:before="72" w:afterLines="30" w:after="72" w:line="240" w:lineRule="auto"/>
        <w:ind w:firstLine="720"/>
        <w:jc w:val="both"/>
        <w:rPr>
          <w:szCs w:val="28"/>
          <w:lang w:val="nl-NL"/>
        </w:rPr>
      </w:pPr>
      <w:r w:rsidRPr="00AC34B0">
        <w:rPr>
          <w:szCs w:val="28"/>
          <w:lang w:val="nl-NL"/>
        </w:rPr>
        <w:t>Thành viên hộ gia đình phải là người có quan hệ gia đình theo quy định của Luật Hôn nhân và gia đình và cùng hộ khẩu thường trú với người đứng tên trên giấy chứng nhận quyền sở hữu, sử dụng.</w:t>
      </w:r>
    </w:p>
    <w:p w:rsidR="00B679AF" w:rsidRDefault="00B679AF" w:rsidP="00512D72">
      <w:pPr>
        <w:spacing w:beforeLines="30" w:before="72" w:afterLines="30" w:after="72" w:line="240" w:lineRule="auto"/>
        <w:ind w:firstLine="720"/>
        <w:jc w:val="both"/>
        <w:rPr>
          <w:szCs w:val="28"/>
          <w:lang w:val="nl-NL"/>
        </w:rPr>
      </w:pPr>
      <w:r w:rsidRPr="00B679AF">
        <w:rPr>
          <w:szCs w:val="28"/>
          <w:lang w:val="nl-NL"/>
        </w:rPr>
        <w:lastRenderedPageBreak/>
        <w:t xml:space="preserve">21. Xe cứu hỏa, xe cứu thương, xe chiếu chụp X-quang, xe cứu hộ (bao gồm cả xe kéo xe, xe chở xe); xe chở rác, xe phun nước, xe tưới nước, xe xi téc phun nước, xe quét đường, xe hút </w:t>
      </w:r>
      <w:r>
        <w:rPr>
          <w:szCs w:val="28"/>
          <w:lang w:val="nl-NL"/>
        </w:rPr>
        <w:t>chất thải</w:t>
      </w:r>
      <w:r w:rsidRPr="00B679AF">
        <w:rPr>
          <w:szCs w:val="28"/>
          <w:lang w:val="nl-NL"/>
        </w:rPr>
        <w:t>, xe hút bụi; xe chuyên dùng cho thương binh, bệnh binh, người tàn tật đăng ký quyền sở hữu tên thương binh, bệnh binh, người tàn tật.</w:t>
      </w:r>
      <w:r>
        <w:rPr>
          <w:szCs w:val="28"/>
          <w:lang w:val="nl-NL"/>
        </w:rPr>
        <w:t>”</w:t>
      </w:r>
    </w:p>
    <w:p w:rsidR="007E6712" w:rsidRPr="007E6712" w:rsidRDefault="007E6712" w:rsidP="00512D72">
      <w:pPr>
        <w:spacing w:beforeLines="30" w:before="72" w:afterLines="30" w:after="72" w:line="240" w:lineRule="auto"/>
        <w:ind w:firstLine="720"/>
        <w:jc w:val="both"/>
        <w:rPr>
          <w:b/>
          <w:szCs w:val="28"/>
          <w:lang w:val="nl-NL"/>
        </w:rPr>
      </w:pPr>
      <w:r w:rsidRPr="007E6712">
        <w:rPr>
          <w:b/>
          <w:szCs w:val="28"/>
          <w:lang w:val="nl-NL"/>
        </w:rPr>
        <w:t xml:space="preserve">Điều 2. Bãi bỏ một số quy định tại Thông tư số 301/2016/TT-BTC ngày 15 tháng 11 năm 2016 hướng dẫn về lệ phí trước bạ </w:t>
      </w:r>
    </w:p>
    <w:p w:rsidR="007E6712" w:rsidRPr="007E6712" w:rsidRDefault="007E6712" w:rsidP="00512D72">
      <w:pPr>
        <w:spacing w:beforeLines="30" w:before="72" w:afterLines="30" w:after="72" w:line="240" w:lineRule="auto"/>
        <w:ind w:firstLine="720"/>
        <w:jc w:val="both"/>
        <w:rPr>
          <w:szCs w:val="28"/>
          <w:lang w:val="nl-NL"/>
        </w:rPr>
      </w:pPr>
      <w:r w:rsidRPr="007E6712">
        <w:rPr>
          <w:szCs w:val="28"/>
          <w:lang w:val="nl-NL"/>
        </w:rPr>
        <w:t>1. Điểm c.4 khoản 1, điểm c.2 khoản 2, điểm a khoản 3 của Điều 3.</w:t>
      </w:r>
    </w:p>
    <w:p w:rsidR="006F76AC" w:rsidRPr="00071853" w:rsidRDefault="007E6712" w:rsidP="00512D72">
      <w:pPr>
        <w:spacing w:beforeLines="30" w:before="72" w:afterLines="30" w:after="72" w:line="240" w:lineRule="auto"/>
        <w:ind w:firstLine="720"/>
        <w:jc w:val="both"/>
        <w:rPr>
          <w:b/>
          <w:i/>
          <w:szCs w:val="28"/>
          <w:lang w:val="nl-NL"/>
        </w:rPr>
      </w:pPr>
      <w:r w:rsidRPr="007E6712">
        <w:rPr>
          <w:szCs w:val="28"/>
          <w:lang w:val="nl-NL"/>
        </w:rPr>
        <w:t xml:space="preserve">2. </w:t>
      </w:r>
      <w:bookmarkStart w:id="0" w:name="_GoBack"/>
      <w:r w:rsidR="003C642E">
        <w:rPr>
          <w:szCs w:val="28"/>
          <w:lang w:val="nl-NL"/>
        </w:rPr>
        <w:t>Đ</w:t>
      </w:r>
      <w:r w:rsidR="007A1BDD">
        <w:rPr>
          <w:szCs w:val="28"/>
          <w:lang w:val="nl-NL"/>
        </w:rPr>
        <w:t>iểm b và điểm d khoản 16</w:t>
      </w:r>
      <w:r w:rsidRPr="007E6712">
        <w:rPr>
          <w:szCs w:val="28"/>
          <w:lang w:val="nl-NL"/>
        </w:rPr>
        <w:t>, khoản 23 và khoản 25 của Điề</w:t>
      </w:r>
      <w:r>
        <w:rPr>
          <w:szCs w:val="28"/>
          <w:lang w:val="nl-NL"/>
        </w:rPr>
        <w:t>u 5;</w:t>
      </w:r>
      <w:r w:rsidR="007F2FEF">
        <w:rPr>
          <w:szCs w:val="28"/>
          <w:lang w:val="nl-NL"/>
        </w:rPr>
        <w:t xml:space="preserve"> </w:t>
      </w:r>
      <w:r w:rsidRPr="007E6712">
        <w:rPr>
          <w:szCs w:val="28"/>
          <w:lang w:val="nl-NL"/>
        </w:rPr>
        <w:t xml:space="preserve">Điều 6. </w:t>
      </w:r>
      <w:r w:rsidR="006F76AC">
        <w:rPr>
          <w:szCs w:val="28"/>
          <w:lang w:val="nl-NL"/>
        </w:rPr>
        <w:t xml:space="preserve"> </w:t>
      </w:r>
      <w:bookmarkEnd w:id="0"/>
    </w:p>
    <w:p w:rsidR="00966979" w:rsidRPr="006E24FA" w:rsidRDefault="00966979" w:rsidP="00512D72">
      <w:pPr>
        <w:tabs>
          <w:tab w:val="left" w:pos="4560"/>
        </w:tabs>
        <w:spacing w:beforeLines="30" w:before="72" w:afterLines="30" w:after="72" w:line="240" w:lineRule="auto"/>
        <w:ind w:firstLine="720"/>
        <w:jc w:val="both"/>
        <w:rPr>
          <w:b/>
          <w:szCs w:val="28"/>
          <w:lang w:val="nl-NL"/>
        </w:rPr>
      </w:pPr>
      <w:r w:rsidRPr="006E24FA">
        <w:rPr>
          <w:b/>
          <w:szCs w:val="28"/>
          <w:lang w:val="nl-NL"/>
        </w:rPr>
        <w:t>Điề</w:t>
      </w:r>
      <w:r w:rsidR="00B779CE" w:rsidRPr="006E24FA">
        <w:rPr>
          <w:b/>
          <w:szCs w:val="28"/>
          <w:lang w:val="nl-NL"/>
        </w:rPr>
        <w:t>u 3</w:t>
      </w:r>
      <w:r w:rsidRPr="006E24FA">
        <w:rPr>
          <w:b/>
          <w:szCs w:val="28"/>
          <w:lang w:val="nl-NL"/>
        </w:rPr>
        <w:t xml:space="preserve">. </w:t>
      </w:r>
      <w:r w:rsidR="00FC3E62" w:rsidRPr="006E24FA">
        <w:rPr>
          <w:b/>
          <w:szCs w:val="28"/>
          <w:lang w:val="nl-NL"/>
        </w:rPr>
        <w:t>Hiệu lực thi hành</w:t>
      </w:r>
    </w:p>
    <w:p w:rsidR="00B779CE" w:rsidRDefault="002251A0" w:rsidP="00512D72">
      <w:pPr>
        <w:spacing w:beforeLines="30" w:before="72" w:afterLines="30" w:after="72" w:line="240" w:lineRule="auto"/>
        <w:ind w:firstLine="720"/>
        <w:jc w:val="both"/>
        <w:rPr>
          <w:bCs/>
          <w:szCs w:val="28"/>
          <w:lang w:val="nl-NL"/>
        </w:rPr>
      </w:pPr>
      <w:r>
        <w:rPr>
          <w:bCs/>
          <w:szCs w:val="28"/>
          <w:lang w:val="nl-NL"/>
        </w:rPr>
        <w:t xml:space="preserve">1. </w:t>
      </w:r>
      <w:r w:rsidR="003F324F" w:rsidRPr="004A0129">
        <w:rPr>
          <w:bCs/>
          <w:szCs w:val="28"/>
          <w:lang w:val="nl-NL"/>
        </w:rPr>
        <w:t xml:space="preserve">Thông tư này có hiệu lực thi hành kể từ ngày </w:t>
      </w:r>
      <w:r w:rsidR="00963E2C">
        <w:rPr>
          <w:bCs/>
          <w:szCs w:val="28"/>
          <w:lang w:val="nl-NL"/>
        </w:rPr>
        <w:t>01/6/2019</w:t>
      </w:r>
      <w:r>
        <w:rPr>
          <w:bCs/>
          <w:szCs w:val="28"/>
          <w:lang w:val="nl-NL"/>
        </w:rPr>
        <w:t>.</w:t>
      </w:r>
    </w:p>
    <w:p w:rsidR="003F324F" w:rsidRPr="004A0129" w:rsidRDefault="00FB4D85" w:rsidP="00512D72">
      <w:pPr>
        <w:spacing w:beforeLines="30" w:before="72" w:afterLines="30" w:after="72" w:line="240" w:lineRule="auto"/>
        <w:ind w:firstLine="720"/>
        <w:jc w:val="both"/>
        <w:rPr>
          <w:bCs/>
          <w:szCs w:val="28"/>
          <w:lang w:val="nl-NL"/>
        </w:rPr>
      </w:pPr>
      <w:r>
        <w:rPr>
          <w:bCs/>
          <w:szCs w:val="28"/>
          <w:lang w:val="nl-NL"/>
        </w:rPr>
        <w:t>2</w:t>
      </w:r>
      <w:r w:rsidR="002251A0">
        <w:rPr>
          <w:bCs/>
          <w:szCs w:val="28"/>
          <w:lang w:val="nl-NL"/>
        </w:rPr>
        <w:t xml:space="preserve">. </w:t>
      </w:r>
      <w:r w:rsidR="00D24FE8" w:rsidRPr="001A6CA3">
        <w:rPr>
          <w:bCs/>
          <w:szCs w:val="28"/>
          <w:lang w:val="nl-NL"/>
        </w:rPr>
        <w:t>Trong quá trình thực hiện</w:t>
      </w:r>
      <w:r w:rsidR="00D24FE8">
        <w:rPr>
          <w:bCs/>
          <w:szCs w:val="28"/>
          <w:lang w:val="nl-NL"/>
        </w:rPr>
        <w:t>, t</w:t>
      </w:r>
      <w:r w:rsidR="003F324F" w:rsidRPr="004A0129">
        <w:rPr>
          <w:bCs/>
          <w:szCs w:val="28"/>
          <w:lang w:val="nl-NL"/>
        </w:rPr>
        <w:t>r</w:t>
      </w:r>
      <w:r w:rsidR="00400BEB" w:rsidRPr="004A0129">
        <w:rPr>
          <w:bCs/>
          <w:szCs w:val="28"/>
          <w:lang w:val="nl-NL"/>
        </w:rPr>
        <w:t>ường hợp</w:t>
      </w:r>
      <w:r w:rsidR="003F324F" w:rsidRPr="004A0129">
        <w:rPr>
          <w:bCs/>
          <w:szCs w:val="28"/>
          <w:lang w:val="nl-NL"/>
        </w:rPr>
        <w:t xml:space="preserve"> có vướng mắc, đề nghị các tổ chức, cá nhân phản ảnh kịp thời về Bộ Tài chính để nghiên cứu, hướng </w:t>
      </w:r>
      <w:r w:rsidR="003F324F" w:rsidRPr="00B779CE">
        <w:rPr>
          <w:bCs/>
          <w:szCs w:val="28"/>
          <w:lang w:val="nl-NL"/>
        </w:rPr>
        <w:t>dẫn</w:t>
      </w:r>
      <w:r w:rsidR="003F324F" w:rsidRPr="004A0129">
        <w:rPr>
          <w:bCs/>
          <w:szCs w:val="28"/>
          <w:lang w:val="nl-NL"/>
        </w:rPr>
        <w:t>./.</w:t>
      </w:r>
    </w:p>
    <w:p w:rsidR="00AD3D2F" w:rsidRPr="006E24FA" w:rsidRDefault="00AD3D2F" w:rsidP="00DB1935">
      <w:pPr>
        <w:spacing w:before="120" w:after="120" w:line="240" w:lineRule="auto"/>
        <w:rPr>
          <w:lang w:val="nl-NL"/>
        </w:rPr>
      </w:pPr>
    </w:p>
    <w:tbl>
      <w:tblPr>
        <w:tblW w:w="0" w:type="auto"/>
        <w:tblLook w:val="01E0" w:firstRow="1" w:lastRow="1" w:firstColumn="1" w:lastColumn="1" w:noHBand="0" w:noVBand="0"/>
      </w:tblPr>
      <w:tblGrid>
        <w:gridCol w:w="5219"/>
        <w:gridCol w:w="3763"/>
      </w:tblGrid>
      <w:tr w:rsidR="009B63E9" w:rsidRPr="001C297E" w:rsidTr="00791F04">
        <w:trPr>
          <w:trHeight w:val="3835"/>
        </w:trPr>
        <w:tc>
          <w:tcPr>
            <w:tcW w:w="5219" w:type="dxa"/>
          </w:tcPr>
          <w:p w:rsidR="009B63E9" w:rsidRPr="004A0129" w:rsidRDefault="009B63E9" w:rsidP="009B63E9">
            <w:pPr>
              <w:spacing w:after="0" w:line="240" w:lineRule="auto"/>
              <w:rPr>
                <w:rFonts w:eastAsia="Times New Roman"/>
                <w:sz w:val="24"/>
                <w:szCs w:val="24"/>
                <w:lang w:val="vi-VN"/>
              </w:rPr>
            </w:pPr>
            <w:r w:rsidRPr="004A0129">
              <w:rPr>
                <w:rFonts w:eastAsia="Times New Roman"/>
                <w:b/>
                <w:bCs/>
                <w:i/>
                <w:iCs/>
                <w:sz w:val="24"/>
                <w:szCs w:val="24"/>
                <w:lang w:val="vi-VN"/>
              </w:rPr>
              <w:t>Nơi nhận:</w:t>
            </w:r>
          </w:p>
          <w:p w:rsidR="009B63E9" w:rsidRPr="004A0129" w:rsidRDefault="009B63E9" w:rsidP="009B63E9">
            <w:pPr>
              <w:spacing w:after="0" w:line="240" w:lineRule="auto"/>
              <w:rPr>
                <w:rFonts w:eastAsia="Times New Roman"/>
                <w:b/>
                <w:bCs/>
                <w:sz w:val="22"/>
                <w:lang w:val="vi-VN"/>
              </w:rPr>
            </w:pPr>
            <w:r w:rsidRPr="004A0129">
              <w:rPr>
                <w:rFonts w:eastAsia="Times New Roman"/>
                <w:sz w:val="22"/>
                <w:lang w:val="vi-VN"/>
              </w:rPr>
              <w:t>- Văn phòng Trung ương và các Ban của Đảng;</w:t>
            </w:r>
            <w:r w:rsidRPr="004A0129">
              <w:rPr>
                <w:rFonts w:eastAsia="Times New Roman"/>
                <w:b/>
                <w:bCs/>
                <w:sz w:val="22"/>
                <w:lang w:val="vi-VN"/>
              </w:rPr>
              <w:t xml:space="preserve">  </w:t>
            </w:r>
          </w:p>
          <w:p w:rsidR="009B63E9" w:rsidRPr="004A0129" w:rsidRDefault="009B63E9" w:rsidP="009B63E9">
            <w:pPr>
              <w:spacing w:after="0" w:line="240" w:lineRule="auto"/>
              <w:rPr>
                <w:rFonts w:eastAsia="Times New Roman"/>
                <w:sz w:val="22"/>
                <w:lang w:val="vi-VN"/>
              </w:rPr>
            </w:pPr>
            <w:r w:rsidRPr="004A0129">
              <w:rPr>
                <w:rFonts w:eastAsia="Times New Roman"/>
                <w:sz w:val="22"/>
                <w:lang w:val="vi-VN"/>
              </w:rPr>
              <w:t>- Thủ tướng, các Phó Thủ tướng Chính phủ;</w:t>
            </w:r>
          </w:p>
          <w:p w:rsidR="009B63E9" w:rsidRPr="004A0129" w:rsidRDefault="009B63E9" w:rsidP="009B63E9">
            <w:pPr>
              <w:spacing w:after="0" w:line="240" w:lineRule="auto"/>
              <w:rPr>
                <w:rFonts w:eastAsia="Times New Roman"/>
                <w:sz w:val="22"/>
                <w:lang w:val="vi-VN"/>
              </w:rPr>
            </w:pPr>
            <w:r w:rsidRPr="004A0129">
              <w:rPr>
                <w:rFonts w:eastAsia="Times New Roman"/>
                <w:sz w:val="22"/>
                <w:lang w:val="vi-VN"/>
              </w:rPr>
              <w:t>- Văn phòng Chủ tịch nước, Quốc hội;</w:t>
            </w:r>
          </w:p>
          <w:p w:rsidR="009B63E9" w:rsidRPr="004A0129" w:rsidRDefault="009B63E9" w:rsidP="009B63E9">
            <w:pPr>
              <w:spacing w:after="0" w:line="240" w:lineRule="auto"/>
              <w:rPr>
                <w:rFonts w:eastAsia="Times New Roman"/>
                <w:sz w:val="22"/>
                <w:lang w:val="vi-VN"/>
              </w:rPr>
            </w:pPr>
            <w:r w:rsidRPr="004A0129">
              <w:rPr>
                <w:rFonts w:eastAsia="Times New Roman"/>
                <w:sz w:val="22"/>
                <w:lang w:val="vi-VN"/>
              </w:rPr>
              <w:t>- Hội đồng dân tộc và các Ủy ban của Quốc hội;</w:t>
            </w:r>
          </w:p>
          <w:p w:rsidR="009B63E9" w:rsidRPr="004A0129" w:rsidRDefault="009B63E9" w:rsidP="009B63E9">
            <w:pPr>
              <w:spacing w:after="0" w:line="240" w:lineRule="auto"/>
              <w:rPr>
                <w:rFonts w:eastAsia="Times New Roman"/>
                <w:sz w:val="22"/>
                <w:lang w:val="vi-VN"/>
              </w:rPr>
            </w:pPr>
            <w:r w:rsidRPr="004A0129">
              <w:rPr>
                <w:rFonts w:eastAsia="Times New Roman"/>
                <w:sz w:val="22"/>
                <w:lang w:val="vi-VN"/>
              </w:rPr>
              <w:t>- Các Bộ, cơ quan ngang Bộ, cơ quan thuộc Chính phủ;</w:t>
            </w:r>
          </w:p>
          <w:p w:rsidR="009B63E9" w:rsidRPr="004A0129" w:rsidRDefault="009B63E9" w:rsidP="009B63E9">
            <w:pPr>
              <w:spacing w:after="0" w:line="240" w:lineRule="auto"/>
              <w:rPr>
                <w:rFonts w:eastAsia="Times New Roman"/>
                <w:sz w:val="22"/>
                <w:lang w:val="vi-VN"/>
              </w:rPr>
            </w:pPr>
            <w:r w:rsidRPr="004A0129">
              <w:rPr>
                <w:rFonts w:eastAsia="Times New Roman"/>
                <w:sz w:val="22"/>
                <w:lang w:val="vi-VN"/>
              </w:rPr>
              <w:t>- Viện Kiểm sát nhân dân tối cao;</w:t>
            </w:r>
          </w:p>
          <w:p w:rsidR="009B63E9" w:rsidRPr="004A0129" w:rsidRDefault="009B63E9" w:rsidP="009B63E9">
            <w:pPr>
              <w:spacing w:after="0" w:line="240" w:lineRule="auto"/>
              <w:rPr>
                <w:rFonts w:eastAsia="Times New Roman"/>
                <w:sz w:val="22"/>
                <w:lang w:val="vi-VN"/>
              </w:rPr>
            </w:pPr>
            <w:r w:rsidRPr="004A0129">
              <w:rPr>
                <w:rFonts w:eastAsia="Times New Roman"/>
                <w:sz w:val="22"/>
                <w:lang w:val="vi-VN"/>
              </w:rPr>
              <w:t>- Toà án nhân dân tối cao;</w:t>
            </w:r>
          </w:p>
          <w:p w:rsidR="009B63E9" w:rsidRPr="004A0129" w:rsidRDefault="009B63E9" w:rsidP="009B63E9">
            <w:pPr>
              <w:spacing w:after="0" w:line="240" w:lineRule="auto"/>
              <w:rPr>
                <w:rFonts w:eastAsia="Times New Roman"/>
                <w:sz w:val="22"/>
                <w:lang w:val="vi-VN"/>
              </w:rPr>
            </w:pPr>
            <w:r w:rsidRPr="004A0129">
              <w:rPr>
                <w:rFonts w:eastAsia="Times New Roman"/>
                <w:sz w:val="22"/>
                <w:lang w:val="vi-VN"/>
              </w:rPr>
              <w:t>- Kiểm toán nhà nước;</w:t>
            </w:r>
          </w:p>
          <w:p w:rsidR="009B63E9" w:rsidRPr="004A0129" w:rsidRDefault="009B63E9" w:rsidP="009B63E9">
            <w:pPr>
              <w:spacing w:after="0" w:line="240" w:lineRule="auto"/>
              <w:rPr>
                <w:rFonts w:eastAsia="Times New Roman"/>
                <w:snapToGrid w:val="0"/>
                <w:sz w:val="22"/>
                <w:lang w:val="vi-VN"/>
              </w:rPr>
            </w:pPr>
            <w:r w:rsidRPr="004A0129">
              <w:rPr>
                <w:rFonts w:eastAsia="Times New Roman"/>
                <w:sz w:val="22"/>
                <w:lang w:val="vi-VN"/>
              </w:rPr>
              <w:t>- UBTW Mặt trận Tổ quốc Việt Nam;</w:t>
            </w:r>
            <w:r w:rsidRPr="004A0129">
              <w:rPr>
                <w:rFonts w:eastAsia="Times New Roman"/>
                <w:snapToGrid w:val="0"/>
                <w:sz w:val="22"/>
                <w:lang w:val="vi-VN"/>
              </w:rPr>
              <w:t xml:space="preserve">  </w:t>
            </w:r>
          </w:p>
          <w:p w:rsidR="009B63E9" w:rsidRPr="004A0129" w:rsidRDefault="009B63E9" w:rsidP="009B63E9">
            <w:pPr>
              <w:spacing w:after="0" w:line="240" w:lineRule="auto"/>
              <w:rPr>
                <w:rFonts w:eastAsia="Times New Roman"/>
                <w:sz w:val="22"/>
                <w:lang w:val="vi-VN"/>
              </w:rPr>
            </w:pPr>
            <w:r w:rsidRPr="004A0129">
              <w:rPr>
                <w:rFonts w:eastAsia="Times New Roman"/>
                <w:sz w:val="22"/>
                <w:lang w:val="vi-VN"/>
              </w:rPr>
              <w:t xml:space="preserve">- HĐND, UBND, Sở TC, Cục thuế, </w:t>
            </w:r>
            <w:r w:rsidRPr="006E24FA">
              <w:rPr>
                <w:rFonts w:eastAsia="Times New Roman"/>
                <w:sz w:val="22"/>
                <w:lang w:val="vi-VN"/>
              </w:rPr>
              <w:t>KBNN</w:t>
            </w:r>
            <w:r w:rsidRPr="004A0129">
              <w:rPr>
                <w:rFonts w:eastAsia="Times New Roman"/>
                <w:sz w:val="22"/>
                <w:lang w:val="vi-VN"/>
              </w:rPr>
              <w:t xml:space="preserve"> các tỉnh, TP trực thuộc TW;</w:t>
            </w:r>
          </w:p>
          <w:p w:rsidR="009B63E9" w:rsidRPr="006E24FA" w:rsidRDefault="009B63E9" w:rsidP="009B63E9">
            <w:pPr>
              <w:spacing w:after="0" w:line="240" w:lineRule="auto"/>
              <w:rPr>
                <w:rFonts w:eastAsia="Times New Roman"/>
                <w:sz w:val="22"/>
                <w:lang w:val="vi-VN"/>
              </w:rPr>
            </w:pPr>
            <w:r w:rsidRPr="006E24FA">
              <w:rPr>
                <w:rFonts w:eastAsia="Times New Roman"/>
                <w:sz w:val="22"/>
                <w:lang w:val="vi-VN"/>
              </w:rPr>
              <w:t>- Phòng Thương mại và Công nghiệp Việt Nam;</w:t>
            </w:r>
          </w:p>
          <w:p w:rsidR="009B63E9" w:rsidRPr="006E24FA" w:rsidRDefault="009B63E9" w:rsidP="009B63E9">
            <w:pPr>
              <w:spacing w:after="0" w:line="240" w:lineRule="auto"/>
              <w:rPr>
                <w:rFonts w:eastAsia="Times New Roman"/>
                <w:sz w:val="22"/>
                <w:lang w:val="vi-VN"/>
              </w:rPr>
            </w:pPr>
            <w:r w:rsidRPr="004A0129">
              <w:rPr>
                <w:rFonts w:eastAsia="Times New Roman"/>
                <w:sz w:val="22"/>
                <w:lang w:val="vi-VN"/>
              </w:rPr>
              <w:t>- Công báo;</w:t>
            </w:r>
          </w:p>
          <w:p w:rsidR="009B63E9" w:rsidRPr="004A0129" w:rsidRDefault="009B63E9" w:rsidP="009B63E9">
            <w:pPr>
              <w:spacing w:after="0" w:line="240" w:lineRule="auto"/>
              <w:rPr>
                <w:rFonts w:eastAsia="Times New Roman"/>
                <w:spacing w:val="-6"/>
                <w:sz w:val="22"/>
                <w:lang w:val="vi-VN"/>
              </w:rPr>
            </w:pPr>
            <w:r w:rsidRPr="004A0129">
              <w:rPr>
                <w:rFonts w:eastAsia="Times New Roman"/>
                <w:sz w:val="22"/>
                <w:lang w:val="vi-VN"/>
              </w:rPr>
              <w:t xml:space="preserve">- </w:t>
            </w:r>
            <w:r w:rsidRPr="004A0129">
              <w:rPr>
                <w:rFonts w:eastAsia="Times New Roman"/>
                <w:spacing w:val="-6"/>
                <w:sz w:val="22"/>
                <w:lang w:val="vi-VN"/>
              </w:rPr>
              <w:t>Cục Kiểm tra văn bản</w:t>
            </w:r>
            <w:r w:rsidRPr="006E24FA">
              <w:rPr>
                <w:rFonts w:eastAsia="Times New Roman"/>
                <w:spacing w:val="-6"/>
                <w:sz w:val="22"/>
                <w:lang w:val="vi-VN"/>
              </w:rPr>
              <w:t xml:space="preserve"> quy phạm pháp luật</w:t>
            </w:r>
            <w:r w:rsidRPr="004A0129">
              <w:rPr>
                <w:rFonts w:eastAsia="Times New Roman"/>
                <w:spacing w:val="-6"/>
                <w:sz w:val="22"/>
                <w:lang w:val="vi-VN"/>
              </w:rPr>
              <w:t xml:space="preserve"> (Bộ Tư pháp);</w:t>
            </w:r>
          </w:p>
          <w:p w:rsidR="009B63E9" w:rsidRPr="006E24FA" w:rsidRDefault="009B63E9" w:rsidP="009B63E9">
            <w:pPr>
              <w:spacing w:after="0" w:line="240" w:lineRule="auto"/>
              <w:rPr>
                <w:rFonts w:eastAsia="Times New Roman"/>
                <w:sz w:val="22"/>
                <w:lang w:val="vi-VN"/>
              </w:rPr>
            </w:pPr>
            <w:r w:rsidRPr="004A0129">
              <w:rPr>
                <w:rFonts w:eastAsia="Times New Roman"/>
                <w:sz w:val="22"/>
                <w:lang w:val="vi-VN"/>
              </w:rPr>
              <w:t xml:space="preserve">- </w:t>
            </w:r>
            <w:r w:rsidRPr="006E24FA">
              <w:rPr>
                <w:rFonts w:eastAsia="Times New Roman"/>
                <w:sz w:val="22"/>
                <w:lang w:val="vi-VN"/>
              </w:rPr>
              <w:t>Cổng thông tin điện tử: Chính phủ, Bộ Tài chính, Cục Quản lý công sản;</w:t>
            </w:r>
          </w:p>
          <w:p w:rsidR="009B63E9" w:rsidRPr="004A0129" w:rsidRDefault="009B63E9" w:rsidP="009B63E9">
            <w:pPr>
              <w:spacing w:after="0" w:line="240" w:lineRule="auto"/>
              <w:rPr>
                <w:rFonts w:eastAsia="Times New Roman"/>
                <w:sz w:val="22"/>
                <w:lang w:val="vi-VN"/>
              </w:rPr>
            </w:pPr>
            <w:r w:rsidRPr="004A0129">
              <w:rPr>
                <w:rFonts w:eastAsia="Times New Roman"/>
                <w:sz w:val="22"/>
                <w:lang w:val="vi-VN"/>
              </w:rPr>
              <w:t>- Các đơn vị thuộc Bộ;</w:t>
            </w:r>
          </w:p>
          <w:p w:rsidR="009B63E9" w:rsidRPr="006E24FA" w:rsidRDefault="009B63E9" w:rsidP="009B63E9">
            <w:pPr>
              <w:spacing w:after="0" w:line="240" w:lineRule="auto"/>
              <w:jc w:val="both"/>
              <w:rPr>
                <w:rFonts w:eastAsia="Times New Roman"/>
                <w:sz w:val="24"/>
                <w:szCs w:val="24"/>
                <w:lang w:val="vi-VN"/>
              </w:rPr>
            </w:pPr>
            <w:r w:rsidRPr="004A0129">
              <w:rPr>
                <w:rFonts w:eastAsia="Times New Roman"/>
                <w:sz w:val="22"/>
                <w:lang w:val="vi-VN"/>
              </w:rPr>
              <w:t>- Lưu: V</w:t>
            </w:r>
            <w:r w:rsidR="001C297E">
              <w:rPr>
                <w:rFonts w:eastAsia="Times New Roman"/>
                <w:sz w:val="22"/>
              </w:rPr>
              <w:t>T</w:t>
            </w:r>
            <w:r w:rsidRPr="006E24FA">
              <w:rPr>
                <w:rFonts w:eastAsia="Times New Roman"/>
                <w:sz w:val="22"/>
                <w:lang w:val="vi-VN"/>
              </w:rPr>
              <w:t xml:space="preserve"> (2b),</w:t>
            </w:r>
            <w:r w:rsidRPr="004A0129">
              <w:rPr>
                <w:rFonts w:eastAsia="Times New Roman"/>
                <w:sz w:val="22"/>
                <w:lang w:val="vi-VN"/>
              </w:rPr>
              <w:t xml:space="preserve"> </w:t>
            </w:r>
            <w:r w:rsidRPr="006E24FA">
              <w:rPr>
                <w:rFonts w:eastAsia="Times New Roman"/>
                <w:sz w:val="22"/>
                <w:lang w:val="vi-VN"/>
              </w:rPr>
              <w:t>TCT (VT,CS)</w:t>
            </w:r>
            <w:r w:rsidRPr="004A0129">
              <w:rPr>
                <w:rFonts w:eastAsia="Times New Roman"/>
                <w:sz w:val="22"/>
                <w:lang w:val="vi-VN"/>
              </w:rPr>
              <w:t>.</w:t>
            </w:r>
          </w:p>
        </w:tc>
        <w:tc>
          <w:tcPr>
            <w:tcW w:w="3763" w:type="dxa"/>
          </w:tcPr>
          <w:p w:rsidR="009B63E9" w:rsidRPr="004A0129" w:rsidRDefault="009B63E9" w:rsidP="009B63E9">
            <w:pPr>
              <w:spacing w:after="0" w:line="240" w:lineRule="auto"/>
              <w:jc w:val="center"/>
              <w:rPr>
                <w:rFonts w:eastAsia="Times New Roman"/>
                <w:b/>
                <w:sz w:val="24"/>
                <w:szCs w:val="24"/>
                <w:lang w:val="vi-VN"/>
              </w:rPr>
            </w:pPr>
            <w:r w:rsidRPr="004A0129">
              <w:rPr>
                <w:rFonts w:eastAsia="Times New Roman"/>
                <w:b/>
                <w:sz w:val="24"/>
                <w:szCs w:val="24"/>
                <w:lang w:val="vi-VN"/>
              </w:rPr>
              <w:t>KT. BỘ TRƯỞNG</w:t>
            </w:r>
          </w:p>
          <w:p w:rsidR="009B63E9" w:rsidRPr="004A0129" w:rsidRDefault="009B63E9" w:rsidP="009B63E9">
            <w:pPr>
              <w:keepNext/>
              <w:tabs>
                <w:tab w:val="left" w:pos="3572"/>
              </w:tabs>
              <w:spacing w:after="0" w:line="240" w:lineRule="auto"/>
              <w:jc w:val="center"/>
              <w:outlineLvl w:val="3"/>
              <w:rPr>
                <w:rFonts w:eastAsia="Times New Roman"/>
                <w:b/>
                <w:sz w:val="24"/>
                <w:szCs w:val="24"/>
                <w:lang w:val="vi-VN"/>
              </w:rPr>
            </w:pPr>
            <w:r w:rsidRPr="004A0129">
              <w:rPr>
                <w:rFonts w:eastAsia="Times New Roman"/>
                <w:b/>
                <w:sz w:val="24"/>
                <w:szCs w:val="24"/>
                <w:lang w:val="vi-VN"/>
              </w:rPr>
              <w:t>THỨ TRƯỞNG</w:t>
            </w:r>
          </w:p>
          <w:p w:rsidR="009B63E9" w:rsidRPr="004A0129" w:rsidRDefault="009B63E9" w:rsidP="009B63E9">
            <w:pPr>
              <w:spacing w:after="0" w:line="240" w:lineRule="auto"/>
              <w:jc w:val="center"/>
              <w:rPr>
                <w:rFonts w:eastAsia="Times New Roman"/>
                <w:sz w:val="24"/>
                <w:szCs w:val="24"/>
                <w:lang w:val="vi-VN"/>
              </w:rPr>
            </w:pPr>
          </w:p>
          <w:p w:rsidR="009B63E9" w:rsidRPr="004A0129" w:rsidRDefault="009B63E9" w:rsidP="009B63E9">
            <w:pPr>
              <w:spacing w:after="0" w:line="240" w:lineRule="auto"/>
              <w:jc w:val="center"/>
              <w:rPr>
                <w:rFonts w:eastAsia="Times New Roman"/>
                <w:sz w:val="24"/>
                <w:szCs w:val="24"/>
                <w:lang w:val="vi-VN"/>
              </w:rPr>
            </w:pPr>
          </w:p>
          <w:p w:rsidR="009B63E9" w:rsidRPr="004A0129" w:rsidRDefault="009B63E9" w:rsidP="009B63E9">
            <w:pPr>
              <w:spacing w:after="0" w:line="240" w:lineRule="auto"/>
              <w:jc w:val="center"/>
              <w:rPr>
                <w:rFonts w:eastAsia="Times New Roman"/>
                <w:sz w:val="24"/>
                <w:szCs w:val="24"/>
                <w:lang w:val="vi-VN"/>
              </w:rPr>
            </w:pPr>
          </w:p>
          <w:p w:rsidR="009B63E9" w:rsidRPr="006E24FA" w:rsidRDefault="009B63E9" w:rsidP="009B63E9">
            <w:pPr>
              <w:spacing w:after="0" w:line="240" w:lineRule="auto"/>
              <w:jc w:val="center"/>
              <w:rPr>
                <w:rFonts w:eastAsia="Times New Roman"/>
                <w:sz w:val="24"/>
                <w:szCs w:val="24"/>
                <w:lang w:val="vi-VN"/>
              </w:rPr>
            </w:pPr>
          </w:p>
          <w:p w:rsidR="009B63E9" w:rsidRPr="006E24FA" w:rsidRDefault="009B63E9" w:rsidP="009B63E9">
            <w:pPr>
              <w:spacing w:after="0" w:line="240" w:lineRule="auto"/>
              <w:jc w:val="center"/>
              <w:rPr>
                <w:rFonts w:eastAsia="Times New Roman"/>
                <w:sz w:val="24"/>
                <w:szCs w:val="24"/>
                <w:lang w:val="vi-VN"/>
              </w:rPr>
            </w:pPr>
          </w:p>
          <w:p w:rsidR="009B63E9" w:rsidRPr="004A0129" w:rsidRDefault="009B63E9" w:rsidP="009B63E9">
            <w:pPr>
              <w:spacing w:after="0" w:line="240" w:lineRule="auto"/>
              <w:jc w:val="center"/>
              <w:rPr>
                <w:rFonts w:eastAsia="Times New Roman"/>
                <w:sz w:val="24"/>
                <w:szCs w:val="24"/>
                <w:lang w:val="vi-VN"/>
              </w:rPr>
            </w:pPr>
          </w:p>
          <w:p w:rsidR="009B63E9" w:rsidRPr="004A0129" w:rsidRDefault="009B63E9" w:rsidP="009B63E9">
            <w:pPr>
              <w:spacing w:after="0" w:line="240" w:lineRule="auto"/>
              <w:jc w:val="center"/>
              <w:rPr>
                <w:rFonts w:eastAsia="Times New Roman"/>
                <w:sz w:val="24"/>
                <w:szCs w:val="24"/>
                <w:lang w:val="vi-VN"/>
              </w:rPr>
            </w:pPr>
          </w:p>
          <w:p w:rsidR="009B63E9" w:rsidRPr="006E24FA" w:rsidRDefault="009B63E9" w:rsidP="005277AF">
            <w:pPr>
              <w:spacing w:after="0" w:line="240" w:lineRule="auto"/>
              <w:jc w:val="center"/>
              <w:rPr>
                <w:rFonts w:eastAsia="Times New Roman"/>
                <w:b/>
                <w:szCs w:val="28"/>
                <w:lang w:val="vi-VN"/>
              </w:rPr>
            </w:pPr>
            <w:r w:rsidRPr="006E24FA">
              <w:rPr>
                <w:rFonts w:eastAsia="Times New Roman"/>
                <w:szCs w:val="28"/>
                <w:lang w:val="vi-VN"/>
              </w:rPr>
              <w:t xml:space="preserve">  </w:t>
            </w:r>
            <w:r w:rsidR="005277AF" w:rsidRPr="006E24FA">
              <w:rPr>
                <w:rFonts w:eastAsia="Times New Roman"/>
                <w:b/>
                <w:szCs w:val="28"/>
                <w:lang w:val="vi-VN"/>
              </w:rPr>
              <w:t>Trần Xuân Hà</w:t>
            </w:r>
          </w:p>
        </w:tc>
      </w:tr>
    </w:tbl>
    <w:p w:rsidR="00923D93" w:rsidRPr="006E24FA" w:rsidRDefault="00923D93" w:rsidP="00DB1935">
      <w:pPr>
        <w:spacing w:before="120" w:after="120" w:line="240" w:lineRule="auto"/>
        <w:rPr>
          <w:lang w:val="vi-VN"/>
        </w:rPr>
      </w:pPr>
    </w:p>
    <w:sectPr w:rsidR="00923D93" w:rsidRPr="006E24FA" w:rsidSect="0060534B">
      <w:headerReference w:type="default" r:id="rId8"/>
      <w:footerReference w:type="default" r:id="rId9"/>
      <w:pgSz w:w="11909" w:h="16834" w:code="9"/>
      <w:pgMar w:top="1134" w:right="1134" w:bottom="1134"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610" w:rsidRDefault="00ED0610" w:rsidP="00966979">
      <w:pPr>
        <w:spacing w:after="0" w:line="240" w:lineRule="auto"/>
      </w:pPr>
      <w:r>
        <w:separator/>
      </w:r>
    </w:p>
  </w:endnote>
  <w:endnote w:type="continuationSeparator" w:id="0">
    <w:p w:rsidR="00ED0610" w:rsidRDefault="00ED0610" w:rsidP="0096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155" w:rsidRDefault="00051155">
    <w:pPr>
      <w:pStyle w:val="Footer"/>
      <w:jc w:val="right"/>
    </w:pPr>
  </w:p>
  <w:p w:rsidR="001A7A31" w:rsidRPr="00F50737" w:rsidRDefault="001A7A31" w:rsidP="001A7A31">
    <w:pPr>
      <w:pStyle w:val="Footer"/>
      <w:spacing w:after="0" w:line="24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610" w:rsidRDefault="00ED0610" w:rsidP="00966979">
      <w:pPr>
        <w:spacing w:after="0" w:line="240" w:lineRule="auto"/>
      </w:pPr>
      <w:r>
        <w:separator/>
      </w:r>
    </w:p>
  </w:footnote>
  <w:footnote w:type="continuationSeparator" w:id="0">
    <w:p w:rsidR="00ED0610" w:rsidRDefault="00ED0610" w:rsidP="00966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657"/>
      <w:docPartObj>
        <w:docPartGallery w:val="Page Numbers (Top of Page)"/>
        <w:docPartUnique/>
      </w:docPartObj>
    </w:sdtPr>
    <w:sdtEndPr/>
    <w:sdtContent>
      <w:p w:rsidR="001C297E" w:rsidRDefault="00ED0610">
        <w:pPr>
          <w:pStyle w:val="Header"/>
          <w:jc w:val="center"/>
        </w:pPr>
        <w:r>
          <w:fldChar w:fldCharType="begin"/>
        </w:r>
        <w:r>
          <w:instrText xml:space="preserve"> PAGE   \* MERGEFORMAT </w:instrText>
        </w:r>
        <w:r>
          <w:fldChar w:fldCharType="separate"/>
        </w:r>
        <w:r w:rsidR="00512D72">
          <w:rPr>
            <w:noProof/>
          </w:rPr>
          <w:t>5</w:t>
        </w:r>
        <w:r>
          <w:rPr>
            <w:noProof/>
          </w:rPr>
          <w:fldChar w:fldCharType="end"/>
        </w:r>
      </w:p>
    </w:sdtContent>
  </w:sdt>
  <w:p w:rsidR="006E24FA" w:rsidRDefault="006E2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979"/>
    <w:rsid w:val="00000EDD"/>
    <w:rsid w:val="000024EC"/>
    <w:rsid w:val="00003F26"/>
    <w:rsid w:val="00010305"/>
    <w:rsid w:val="0001544B"/>
    <w:rsid w:val="00020C0A"/>
    <w:rsid w:val="00034C41"/>
    <w:rsid w:val="00036685"/>
    <w:rsid w:val="00040A45"/>
    <w:rsid w:val="00043CBE"/>
    <w:rsid w:val="00051155"/>
    <w:rsid w:val="000627ED"/>
    <w:rsid w:val="00064A63"/>
    <w:rsid w:val="000657E3"/>
    <w:rsid w:val="00067E80"/>
    <w:rsid w:val="00080270"/>
    <w:rsid w:val="000819EC"/>
    <w:rsid w:val="00081E22"/>
    <w:rsid w:val="000823F1"/>
    <w:rsid w:val="00082940"/>
    <w:rsid w:val="0009058F"/>
    <w:rsid w:val="000A0944"/>
    <w:rsid w:val="000A287C"/>
    <w:rsid w:val="000A39AA"/>
    <w:rsid w:val="000A59EA"/>
    <w:rsid w:val="000B2BD5"/>
    <w:rsid w:val="000B2C2F"/>
    <w:rsid w:val="000B2D18"/>
    <w:rsid w:val="000B5B56"/>
    <w:rsid w:val="000B7647"/>
    <w:rsid w:val="000C0BCB"/>
    <w:rsid w:val="000C56B4"/>
    <w:rsid w:val="000D444F"/>
    <w:rsid w:val="000E1E00"/>
    <w:rsid w:val="000E39B6"/>
    <w:rsid w:val="000F1EAE"/>
    <w:rsid w:val="000F36B0"/>
    <w:rsid w:val="001028CF"/>
    <w:rsid w:val="00103FD6"/>
    <w:rsid w:val="001061D0"/>
    <w:rsid w:val="0010684B"/>
    <w:rsid w:val="00106EE4"/>
    <w:rsid w:val="00107B4F"/>
    <w:rsid w:val="00114D91"/>
    <w:rsid w:val="00115727"/>
    <w:rsid w:val="00116CA0"/>
    <w:rsid w:val="0012086C"/>
    <w:rsid w:val="00121DEB"/>
    <w:rsid w:val="0012221D"/>
    <w:rsid w:val="00122A2D"/>
    <w:rsid w:val="00124089"/>
    <w:rsid w:val="00125160"/>
    <w:rsid w:val="00131830"/>
    <w:rsid w:val="0013479A"/>
    <w:rsid w:val="00137A67"/>
    <w:rsid w:val="00143302"/>
    <w:rsid w:val="00143F27"/>
    <w:rsid w:val="00144CCB"/>
    <w:rsid w:val="001457EB"/>
    <w:rsid w:val="0014649C"/>
    <w:rsid w:val="00152C31"/>
    <w:rsid w:val="001619C3"/>
    <w:rsid w:val="001718C2"/>
    <w:rsid w:val="001756ED"/>
    <w:rsid w:val="00177C08"/>
    <w:rsid w:val="00182DB1"/>
    <w:rsid w:val="00192029"/>
    <w:rsid w:val="00192246"/>
    <w:rsid w:val="0019539E"/>
    <w:rsid w:val="001A1FCA"/>
    <w:rsid w:val="001A35B3"/>
    <w:rsid w:val="001A3790"/>
    <w:rsid w:val="001A6CA3"/>
    <w:rsid w:val="001A7A31"/>
    <w:rsid w:val="001A7B90"/>
    <w:rsid w:val="001B7335"/>
    <w:rsid w:val="001C01E9"/>
    <w:rsid w:val="001C297E"/>
    <w:rsid w:val="001C454A"/>
    <w:rsid w:val="001D0CA5"/>
    <w:rsid w:val="001D19B3"/>
    <w:rsid w:val="001D3C5D"/>
    <w:rsid w:val="001D4B56"/>
    <w:rsid w:val="001E2759"/>
    <w:rsid w:val="001E5B73"/>
    <w:rsid w:val="001E7D3D"/>
    <w:rsid w:val="001F0486"/>
    <w:rsid w:val="001F43E2"/>
    <w:rsid w:val="001F546D"/>
    <w:rsid w:val="0020373D"/>
    <w:rsid w:val="00204B07"/>
    <w:rsid w:val="00222121"/>
    <w:rsid w:val="002251A0"/>
    <w:rsid w:val="002307BB"/>
    <w:rsid w:val="00233050"/>
    <w:rsid w:val="00235816"/>
    <w:rsid w:val="00241BA2"/>
    <w:rsid w:val="00244A0C"/>
    <w:rsid w:val="0025122C"/>
    <w:rsid w:val="002512FE"/>
    <w:rsid w:val="0026066A"/>
    <w:rsid w:val="00261797"/>
    <w:rsid w:val="00264965"/>
    <w:rsid w:val="0026590A"/>
    <w:rsid w:val="00270227"/>
    <w:rsid w:val="00270B74"/>
    <w:rsid w:val="002720F9"/>
    <w:rsid w:val="002848DE"/>
    <w:rsid w:val="00286EFF"/>
    <w:rsid w:val="002876D0"/>
    <w:rsid w:val="00287F74"/>
    <w:rsid w:val="00290E68"/>
    <w:rsid w:val="00291159"/>
    <w:rsid w:val="002A0DB7"/>
    <w:rsid w:val="002A585D"/>
    <w:rsid w:val="002A789F"/>
    <w:rsid w:val="002B08BF"/>
    <w:rsid w:val="002B50B8"/>
    <w:rsid w:val="002B6D40"/>
    <w:rsid w:val="002B7A7C"/>
    <w:rsid w:val="002C7936"/>
    <w:rsid w:val="002D132A"/>
    <w:rsid w:val="002D469B"/>
    <w:rsid w:val="002D7DCB"/>
    <w:rsid w:val="002E1A94"/>
    <w:rsid w:val="002E55D8"/>
    <w:rsid w:val="002E7966"/>
    <w:rsid w:val="002F0466"/>
    <w:rsid w:val="002F5E98"/>
    <w:rsid w:val="002F6891"/>
    <w:rsid w:val="00301567"/>
    <w:rsid w:val="00301B4B"/>
    <w:rsid w:val="00301BC0"/>
    <w:rsid w:val="00302C48"/>
    <w:rsid w:val="0030349D"/>
    <w:rsid w:val="00303542"/>
    <w:rsid w:val="003126BF"/>
    <w:rsid w:val="00315376"/>
    <w:rsid w:val="00317CAE"/>
    <w:rsid w:val="003216B5"/>
    <w:rsid w:val="00324801"/>
    <w:rsid w:val="003257BD"/>
    <w:rsid w:val="00325EDA"/>
    <w:rsid w:val="0033103E"/>
    <w:rsid w:val="00341A11"/>
    <w:rsid w:val="003517E0"/>
    <w:rsid w:val="00353B93"/>
    <w:rsid w:val="00353D9E"/>
    <w:rsid w:val="0036060F"/>
    <w:rsid w:val="00364F24"/>
    <w:rsid w:val="00366AE9"/>
    <w:rsid w:val="00374296"/>
    <w:rsid w:val="00376D94"/>
    <w:rsid w:val="00377D16"/>
    <w:rsid w:val="00381E1A"/>
    <w:rsid w:val="003A7AEF"/>
    <w:rsid w:val="003B0EF2"/>
    <w:rsid w:val="003B35BA"/>
    <w:rsid w:val="003B4CC4"/>
    <w:rsid w:val="003C3072"/>
    <w:rsid w:val="003C3186"/>
    <w:rsid w:val="003C5EDB"/>
    <w:rsid w:val="003C642E"/>
    <w:rsid w:val="003D19B8"/>
    <w:rsid w:val="003E2A51"/>
    <w:rsid w:val="003E306B"/>
    <w:rsid w:val="003E39BD"/>
    <w:rsid w:val="003F249B"/>
    <w:rsid w:val="003F2BE5"/>
    <w:rsid w:val="003F324F"/>
    <w:rsid w:val="00400800"/>
    <w:rsid w:val="00400BEB"/>
    <w:rsid w:val="00400E70"/>
    <w:rsid w:val="00404119"/>
    <w:rsid w:val="0041603D"/>
    <w:rsid w:val="00421280"/>
    <w:rsid w:val="00422158"/>
    <w:rsid w:val="00423B29"/>
    <w:rsid w:val="0042755F"/>
    <w:rsid w:val="004368F5"/>
    <w:rsid w:val="0044238A"/>
    <w:rsid w:val="00443AE1"/>
    <w:rsid w:val="0044559E"/>
    <w:rsid w:val="00447497"/>
    <w:rsid w:val="00447AE2"/>
    <w:rsid w:val="00453674"/>
    <w:rsid w:val="00456319"/>
    <w:rsid w:val="00470563"/>
    <w:rsid w:val="00471A96"/>
    <w:rsid w:val="00471AF2"/>
    <w:rsid w:val="00472ACC"/>
    <w:rsid w:val="004760D3"/>
    <w:rsid w:val="00482374"/>
    <w:rsid w:val="004853E6"/>
    <w:rsid w:val="00490C73"/>
    <w:rsid w:val="00491572"/>
    <w:rsid w:val="0049552A"/>
    <w:rsid w:val="004A0129"/>
    <w:rsid w:val="004A2E91"/>
    <w:rsid w:val="004A6CA1"/>
    <w:rsid w:val="004B0BA6"/>
    <w:rsid w:val="004B2C3A"/>
    <w:rsid w:val="004B5CE5"/>
    <w:rsid w:val="004C0277"/>
    <w:rsid w:val="004D2A01"/>
    <w:rsid w:val="004D3033"/>
    <w:rsid w:val="004D386C"/>
    <w:rsid w:val="004E3718"/>
    <w:rsid w:val="004E6FDF"/>
    <w:rsid w:val="004F0B5F"/>
    <w:rsid w:val="004F1D2E"/>
    <w:rsid w:val="004F21FC"/>
    <w:rsid w:val="004F6EEA"/>
    <w:rsid w:val="004F7C21"/>
    <w:rsid w:val="005001B0"/>
    <w:rsid w:val="00504BD5"/>
    <w:rsid w:val="00505D20"/>
    <w:rsid w:val="00505D43"/>
    <w:rsid w:val="00506F22"/>
    <w:rsid w:val="00512D72"/>
    <w:rsid w:val="00514E42"/>
    <w:rsid w:val="00517CD1"/>
    <w:rsid w:val="00520F9E"/>
    <w:rsid w:val="00525ADC"/>
    <w:rsid w:val="005277AF"/>
    <w:rsid w:val="00536889"/>
    <w:rsid w:val="005372C7"/>
    <w:rsid w:val="005437FC"/>
    <w:rsid w:val="00547FDF"/>
    <w:rsid w:val="00560039"/>
    <w:rsid w:val="00562FDA"/>
    <w:rsid w:val="00563219"/>
    <w:rsid w:val="005658B6"/>
    <w:rsid w:val="005703B7"/>
    <w:rsid w:val="00571A47"/>
    <w:rsid w:val="0059546E"/>
    <w:rsid w:val="005969B5"/>
    <w:rsid w:val="00596A66"/>
    <w:rsid w:val="00596E18"/>
    <w:rsid w:val="005A25A6"/>
    <w:rsid w:val="005A2635"/>
    <w:rsid w:val="005B3297"/>
    <w:rsid w:val="005C0443"/>
    <w:rsid w:val="005C5FE2"/>
    <w:rsid w:val="005C7EE2"/>
    <w:rsid w:val="005D1BE9"/>
    <w:rsid w:val="005D2BEF"/>
    <w:rsid w:val="005D5967"/>
    <w:rsid w:val="005D5BE4"/>
    <w:rsid w:val="005D78DB"/>
    <w:rsid w:val="005E0768"/>
    <w:rsid w:val="005E33F0"/>
    <w:rsid w:val="005E4E37"/>
    <w:rsid w:val="005E5E68"/>
    <w:rsid w:val="005E7988"/>
    <w:rsid w:val="005F69FB"/>
    <w:rsid w:val="00600D52"/>
    <w:rsid w:val="0060534B"/>
    <w:rsid w:val="006104EB"/>
    <w:rsid w:val="00615AE4"/>
    <w:rsid w:val="0062386B"/>
    <w:rsid w:val="006247B0"/>
    <w:rsid w:val="0063111A"/>
    <w:rsid w:val="00632CF1"/>
    <w:rsid w:val="00633AA7"/>
    <w:rsid w:val="006408B8"/>
    <w:rsid w:val="00642EE6"/>
    <w:rsid w:val="00645206"/>
    <w:rsid w:val="00646C54"/>
    <w:rsid w:val="00673A39"/>
    <w:rsid w:val="00673A9A"/>
    <w:rsid w:val="00675791"/>
    <w:rsid w:val="00675CCA"/>
    <w:rsid w:val="00676220"/>
    <w:rsid w:val="00676CEC"/>
    <w:rsid w:val="00677BEC"/>
    <w:rsid w:val="00677CD1"/>
    <w:rsid w:val="00683C97"/>
    <w:rsid w:val="0068719D"/>
    <w:rsid w:val="0068753A"/>
    <w:rsid w:val="00694896"/>
    <w:rsid w:val="006A067E"/>
    <w:rsid w:val="006A7444"/>
    <w:rsid w:val="006B329C"/>
    <w:rsid w:val="006B3D60"/>
    <w:rsid w:val="006B5694"/>
    <w:rsid w:val="006B604B"/>
    <w:rsid w:val="006C138D"/>
    <w:rsid w:val="006C2654"/>
    <w:rsid w:val="006C33CF"/>
    <w:rsid w:val="006C4695"/>
    <w:rsid w:val="006C534F"/>
    <w:rsid w:val="006C7903"/>
    <w:rsid w:val="006D1653"/>
    <w:rsid w:val="006E24FA"/>
    <w:rsid w:val="006E5917"/>
    <w:rsid w:val="006E7563"/>
    <w:rsid w:val="006F04E2"/>
    <w:rsid w:val="006F059E"/>
    <w:rsid w:val="006F06D2"/>
    <w:rsid w:val="006F6CB6"/>
    <w:rsid w:val="006F6F66"/>
    <w:rsid w:val="006F76AC"/>
    <w:rsid w:val="00703030"/>
    <w:rsid w:val="007108B7"/>
    <w:rsid w:val="00714506"/>
    <w:rsid w:val="007212B4"/>
    <w:rsid w:val="007221EE"/>
    <w:rsid w:val="0072617F"/>
    <w:rsid w:val="00734D02"/>
    <w:rsid w:val="00735E51"/>
    <w:rsid w:val="0073617D"/>
    <w:rsid w:val="00736767"/>
    <w:rsid w:val="0074234E"/>
    <w:rsid w:val="007458FB"/>
    <w:rsid w:val="007479FD"/>
    <w:rsid w:val="00751398"/>
    <w:rsid w:val="00756EC7"/>
    <w:rsid w:val="007633C9"/>
    <w:rsid w:val="00763B5E"/>
    <w:rsid w:val="007709D6"/>
    <w:rsid w:val="00770EC5"/>
    <w:rsid w:val="00773D59"/>
    <w:rsid w:val="0077763C"/>
    <w:rsid w:val="0078755E"/>
    <w:rsid w:val="00791F04"/>
    <w:rsid w:val="0079354F"/>
    <w:rsid w:val="00793DB9"/>
    <w:rsid w:val="007A01EE"/>
    <w:rsid w:val="007A1BDD"/>
    <w:rsid w:val="007B6537"/>
    <w:rsid w:val="007B7C22"/>
    <w:rsid w:val="007B7EE9"/>
    <w:rsid w:val="007D60A5"/>
    <w:rsid w:val="007E6712"/>
    <w:rsid w:val="007F2FEF"/>
    <w:rsid w:val="007F7287"/>
    <w:rsid w:val="0080025D"/>
    <w:rsid w:val="00807587"/>
    <w:rsid w:val="00814872"/>
    <w:rsid w:val="008155DD"/>
    <w:rsid w:val="008269CC"/>
    <w:rsid w:val="008271C5"/>
    <w:rsid w:val="00833539"/>
    <w:rsid w:val="008339B5"/>
    <w:rsid w:val="00834A5E"/>
    <w:rsid w:val="00835D3D"/>
    <w:rsid w:val="00840D7F"/>
    <w:rsid w:val="0084187B"/>
    <w:rsid w:val="008453B6"/>
    <w:rsid w:val="00846AA3"/>
    <w:rsid w:val="008474A4"/>
    <w:rsid w:val="0085479C"/>
    <w:rsid w:val="0085544F"/>
    <w:rsid w:val="00855E3E"/>
    <w:rsid w:val="008561F6"/>
    <w:rsid w:val="00861964"/>
    <w:rsid w:val="00862301"/>
    <w:rsid w:val="00871AB4"/>
    <w:rsid w:val="0087222D"/>
    <w:rsid w:val="00881680"/>
    <w:rsid w:val="00882354"/>
    <w:rsid w:val="00887BB9"/>
    <w:rsid w:val="008974E4"/>
    <w:rsid w:val="008B3460"/>
    <w:rsid w:val="008B6DE1"/>
    <w:rsid w:val="008C4738"/>
    <w:rsid w:val="008C519B"/>
    <w:rsid w:val="008D1C79"/>
    <w:rsid w:val="008D40B3"/>
    <w:rsid w:val="008D4976"/>
    <w:rsid w:val="008E54EC"/>
    <w:rsid w:val="008F07A7"/>
    <w:rsid w:val="008F1769"/>
    <w:rsid w:val="008F1E11"/>
    <w:rsid w:val="00910982"/>
    <w:rsid w:val="00911EC4"/>
    <w:rsid w:val="00923A2D"/>
    <w:rsid w:val="00923D93"/>
    <w:rsid w:val="00924360"/>
    <w:rsid w:val="00925E15"/>
    <w:rsid w:val="00930FA3"/>
    <w:rsid w:val="009349A4"/>
    <w:rsid w:val="0093560B"/>
    <w:rsid w:val="00937158"/>
    <w:rsid w:val="00942AD0"/>
    <w:rsid w:val="00942F91"/>
    <w:rsid w:val="00944B0C"/>
    <w:rsid w:val="009514BE"/>
    <w:rsid w:val="00963E2C"/>
    <w:rsid w:val="0096529A"/>
    <w:rsid w:val="00966979"/>
    <w:rsid w:val="00972EEA"/>
    <w:rsid w:val="009736BA"/>
    <w:rsid w:val="00974A97"/>
    <w:rsid w:val="009946A9"/>
    <w:rsid w:val="009948FF"/>
    <w:rsid w:val="009951CA"/>
    <w:rsid w:val="00997A2E"/>
    <w:rsid w:val="009B4FE5"/>
    <w:rsid w:val="009B6000"/>
    <w:rsid w:val="009B6017"/>
    <w:rsid w:val="009B63E9"/>
    <w:rsid w:val="009B739F"/>
    <w:rsid w:val="009C044C"/>
    <w:rsid w:val="009C18E5"/>
    <w:rsid w:val="009D2ED4"/>
    <w:rsid w:val="009D5896"/>
    <w:rsid w:val="009D6C7F"/>
    <w:rsid w:val="009E0351"/>
    <w:rsid w:val="009E0E71"/>
    <w:rsid w:val="009E5FBF"/>
    <w:rsid w:val="009E7E72"/>
    <w:rsid w:val="009F4F53"/>
    <w:rsid w:val="009F6979"/>
    <w:rsid w:val="009F7A50"/>
    <w:rsid w:val="00A03A6D"/>
    <w:rsid w:val="00A17747"/>
    <w:rsid w:val="00A20E75"/>
    <w:rsid w:val="00A24B9A"/>
    <w:rsid w:val="00A2586F"/>
    <w:rsid w:val="00A26D6C"/>
    <w:rsid w:val="00A3342F"/>
    <w:rsid w:val="00A33682"/>
    <w:rsid w:val="00A37AFD"/>
    <w:rsid w:val="00A50E80"/>
    <w:rsid w:val="00A649DA"/>
    <w:rsid w:val="00A65625"/>
    <w:rsid w:val="00A67A70"/>
    <w:rsid w:val="00A71BAD"/>
    <w:rsid w:val="00A72AA3"/>
    <w:rsid w:val="00A74625"/>
    <w:rsid w:val="00A74FEB"/>
    <w:rsid w:val="00A76642"/>
    <w:rsid w:val="00A7789B"/>
    <w:rsid w:val="00A86B62"/>
    <w:rsid w:val="00A872DC"/>
    <w:rsid w:val="00A87CCD"/>
    <w:rsid w:val="00A87F4D"/>
    <w:rsid w:val="00A97802"/>
    <w:rsid w:val="00AA31A0"/>
    <w:rsid w:val="00AA6866"/>
    <w:rsid w:val="00AB1885"/>
    <w:rsid w:val="00AC34B0"/>
    <w:rsid w:val="00AC45AE"/>
    <w:rsid w:val="00AC4FC7"/>
    <w:rsid w:val="00AC531C"/>
    <w:rsid w:val="00AD1A59"/>
    <w:rsid w:val="00AD3D2F"/>
    <w:rsid w:val="00AD51C7"/>
    <w:rsid w:val="00AF4022"/>
    <w:rsid w:val="00AF44BD"/>
    <w:rsid w:val="00AF7F82"/>
    <w:rsid w:val="00B1196A"/>
    <w:rsid w:val="00B11E01"/>
    <w:rsid w:val="00B1208A"/>
    <w:rsid w:val="00B1261D"/>
    <w:rsid w:val="00B20958"/>
    <w:rsid w:val="00B215C9"/>
    <w:rsid w:val="00B21892"/>
    <w:rsid w:val="00B2407C"/>
    <w:rsid w:val="00B26EF1"/>
    <w:rsid w:val="00B27175"/>
    <w:rsid w:val="00B3253C"/>
    <w:rsid w:val="00B32BF7"/>
    <w:rsid w:val="00B36349"/>
    <w:rsid w:val="00B44FE2"/>
    <w:rsid w:val="00B45747"/>
    <w:rsid w:val="00B467E3"/>
    <w:rsid w:val="00B47240"/>
    <w:rsid w:val="00B52562"/>
    <w:rsid w:val="00B55872"/>
    <w:rsid w:val="00B57DDB"/>
    <w:rsid w:val="00B612B7"/>
    <w:rsid w:val="00B63246"/>
    <w:rsid w:val="00B679AF"/>
    <w:rsid w:val="00B734CE"/>
    <w:rsid w:val="00B7519A"/>
    <w:rsid w:val="00B75CE8"/>
    <w:rsid w:val="00B779CE"/>
    <w:rsid w:val="00B84A63"/>
    <w:rsid w:val="00BA293B"/>
    <w:rsid w:val="00BB0348"/>
    <w:rsid w:val="00BB44BF"/>
    <w:rsid w:val="00BD0C41"/>
    <w:rsid w:val="00BD113F"/>
    <w:rsid w:val="00BD4E68"/>
    <w:rsid w:val="00BE6795"/>
    <w:rsid w:val="00BF2543"/>
    <w:rsid w:val="00C00276"/>
    <w:rsid w:val="00C013B4"/>
    <w:rsid w:val="00C01B92"/>
    <w:rsid w:val="00C114F5"/>
    <w:rsid w:val="00C15BA0"/>
    <w:rsid w:val="00C16DC7"/>
    <w:rsid w:val="00C17C58"/>
    <w:rsid w:val="00C21315"/>
    <w:rsid w:val="00C22670"/>
    <w:rsid w:val="00C24E31"/>
    <w:rsid w:val="00C31A70"/>
    <w:rsid w:val="00C31F1D"/>
    <w:rsid w:val="00C3365E"/>
    <w:rsid w:val="00C367B1"/>
    <w:rsid w:val="00C40062"/>
    <w:rsid w:val="00C44F5C"/>
    <w:rsid w:val="00C71A4D"/>
    <w:rsid w:val="00C72C15"/>
    <w:rsid w:val="00C73C92"/>
    <w:rsid w:val="00C83523"/>
    <w:rsid w:val="00C850D8"/>
    <w:rsid w:val="00C86166"/>
    <w:rsid w:val="00C92B3D"/>
    <w:rsid w:val="00C944A6"/>
    <w:rsid w:val="00C9497A"/>
    <w:rsid w:val="00C9567A"/>
    <w:rsid w:val="00CA35B0"/>
    <w:rsid w:val="00CA7832"/>
    <w:rsid w:val="00CB2AF8"/>
    <w:rsid w:val="00CB46C1"/>
    <w:rsid w:val="00CE1423"/>
    <w:rsid w:val="00CE1B9E"/>
    <w:rsid w:val="00CE21F9"/>
    <w:rsid w:val="00CE3F56"/>
    <w:rsid w:val="00CE78AF"/>
    <w:rsid w:val="00CE7D27"/>
    <w:rsid w:val="00CF15B9"/>
    <w:rsid w:val="00CF1F21"/>
    <w:rsid w:val="00CF569F"/>
    <w:rsid w:val="00CF70FA"/>
    <w:rsid w:val="00D00B25"/>
    <w:rsid w:val="00D00E6D"/>
    <w:rsid w:val="00D02343"/>
    <w:rsid w:val="00D0240A"/>
    <w:rsid w:val="00D03F9F"/>
    <w:rsid w:val="00D054D5"/>
    <w:rsid w:val="00D06696"/>
    <w:rsid w:val="00D213B8"/>
    <w:rsid w:val="00D24FE8"/>
    <w:rsid w:val="00D25D49"/>
    <w:rsid w:val="00D34601"/>
    <w:rsid w:val="00D35B48"/>
    <w:rsid w:val="00D45A4E"/>
    <w:rsid w:val="00D46189"/>
    <w:rsid w:val="00D4748C"/>
    <w:rsid w:val="00D50893"/>
    <w:rsid w:val="00D513A6"/>
    <w:rsid w:val="00D5326A"/>
    <w:rsid w:val="00D54418"/>
    <w:rsid w:val="00D56D49"/>
    <w:rsid w:val="00D57487"/>
    <w:rsid w:val="00D62638"/>
    <w:rsid w:val="00D63B15"/>
    <w:rsid w:val="00D64547"/>
    <w:rsid w:val="00D70523"/>
    <w:rsid w:val="00D70F96"/>
    <w:rsid w:val="00D73896"/>
    <w:rsid w:val="00D80C64"/>
    <w:rsid w:val="00D87837"/>
    <w:rsid w:val="00D903D9"/>
    <w:rsid w:val="00D94D1E"/>
    <w:rsid w:val="00D961D3"/>
    <w:rsid w:val="00DA1CF3"/>
    <w:rsid w:val="00DA3A07"/>
    <w:rsid w:val="00DA5F0C"/>
    <w:rsid w:val="00DA6521"/>
    <w:rsid w:val="00DB122B"/>
    <w:rsid w:val="00DB1935"/>
    <w:rsid w:val="00DB36E6"/>
    <w:rsid w:val="00DB60C0"/>
    <w:rsid w:val="00DC111B"/>
    <w:rsid w:val="00DC1DC8"/>
    <w:rsid w:val="00DC3A9E"/>
    <w:rsid w:val="00DC672C"/>
    <w:rsid w:val="00DE0DBA"/>
    <w:rsid w:val="00DF659B"/>
    <w:rsid w:val="00E009E2"/>
    <w:rsid w:val="00E02B19"/>
    <w:rsid w:val="00E17C08"/>
    <w:rsid w:val="00E17D09"/>
    <w:rsid w:val="00E2500A"/>
    <w:rsid w:val="00E25D29"/>
    <w:rsid w:val="00E26153"/>
    <w:rsid w:val="00E27F47"/>
    <w:rsid w:val="00E315A4"/>
    <w:rsid w:val="00E33881"/>
    <w:rsid w:val="00E56FA8"/>
    <w:rsid w:val="00E5723E"/>
    <w:rsid w:val="00E76BB0"/>
    <w:rsid w:val="00E8712B"/>
    <w:rsid w:val="00E91F34"/>
    <w:rsid w:val="00E97671"/>
    <w:rsid w:val="00EA03EC"/>
    <w:rsid w:val="00EA30C4"/>
    <w:rsid w:val="00EA3BF6"/>
    <w:rsid w:val="00EA4A60"/>
    <w:rsid w:val="00EA72DD"/>
    <w:rsid w:val="00EB1855"/>
    <w:rsid w:val="00EB2022"/>
    <w:rsid w:val="00EB37B7"/>
    <w:rsid w:val="00EB5127"/>
    <w:rsid w:val="00ED0610"/>
    <w:rsid w:val="00ED3A85"/>
    <w:rsid w:val="00ED4108"/>
    <w:rsid w:val="00ED4320"/>
    <w:rsid w:val="00EE0427"/>
    <w:rsid w:val="00EE1B9F"/>
    <w:rsid w:val="00EE4802"/>
    <w:rsid w:val="00EE65F9"/>
    <w:rsid w:val="00EE6E7E"/>
    <w:rsid w:val="00EE74E2"/>
    <w:rsid w:val="00EF22D3"/>
    <w:rsid w:val="00EF25D3"/>
    <w:rsid w:val="00EF3BA0"/>
    <w:rsid w:val="00F00214"/>
    <w:rsid w:val="00F03A62"/>
    <w:rsid w:val="00F0435B"/>
    <w:rsid w:val="00F04ADA"/>
    <w:rsid w:val="00F06858"/>
    <w:rsid w:val="00F07731"/>
    <w:rsid w:val="00F21C30"/>
    <w:rsid w:val="00F21CD3"/>
    <w:rsid w:val="00F3022A"/>
    <w:rsid w:val="00F34067"/>
    <w:rsid w:val="00F34D45"/>
    <w:rsid w:val="00F3672F"/>
    <w:rsid w:val="00F40AC6"/>
    <w:rsid w:val="00F43535"/>
    <w:rsid w:val="00F46DD3"/>
    <w:rsid w:val="00F50737"/>
    <w:rsid w:val="00F52534"/>
    <w:rsid w:val="00F52FE4"/>
    <w:rsid w:val="00F53E30"/>
    <w:rsid w:val="00F56D4B"/>
    <w:rsid w:val="00F604FD"/>
    <w:rsid w:val="00F60A0E"/>
    <w:rsid w:val="00F60C7E"/>
    <w:rsid w:val="00F6271B"/>
    <w:rsid w:val="00F628DB"/>
    <w:rsid w:val="00F65B78"/>
    <w:rsid w:val="00F702F0"/>
    <w:rsid w:val="00F71477"/>
    <w:rsid w:val="00F7789C"/>
    <w:rsid w:val="00F77E0F"/>
    <w:rsid w:val="00F859A6"/>
    <w:rsid w:val="00F866CF"/>
    <w:rsid w:val="00F9211A"/>
    <w:rsid w:val="00F92E97"/>
    <w:rsid w:val="00F96650"/>
    <w:rsid w:val="00F97610"/>
    <w:rsid w:val="00FA0F9E"/>
    <w:rsid w:val="00FB072A"/>
    <w:rsid w:val="00FB1EE1"/>
    <w:rsid w:val="00FB4391"/>
    <w:rsid w:val="00FB4787"/>
    <w:rsid w:val="00FB4D85"/>
    <w:rsid w:val="00FC3E62"/>
    <w:rsid w:val="00FF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6A"/>
    <w:pPr>
      <w:spacing w:after="200" w:line="276" w:lineRule="auto"/>
    </w:pPr>
    <w:rPr>
      <w:sz w:val="28"/>
      <w:szCs w:val="22"/>
    </w:rPr>
  </w:style>
  <w:style w:type="paragraph" w:styleId="Heading1">
    <w:name w:val="heading 1"/>
    <w:basedOn w:val="Normal"/>
    <w:next w:val="Normal"/>
    <w:link w:val="Heading1Char"/>
    <w:qFormat/>
    <w:rsid w:val="0080025D"/>
    <w:pPr>
      <w:keepNext/>
      <w:spacing w:before="240" w:after="60" w:line="240" w:lineRule="auto"/>
      <w:jc w:val="both"/>
      <w:outlineLvl w:val="0"/>
    </w:pPr>
    <w:rPr>
      <w:rFonts w:eastAsia="Times New Roman" w:cs="Arial"/>
      <w:bCs/>
      <w:kern w:val="32"/>
      <w:szCs w:val="32"/>
    </w:rPr>
  </w:style>
  <w:style w:type="paragraph" w:styleId="Heading2">
    <w:name w:val="heading 2"/>
    <w:basedOn w:val="Normal"/>
    <w:next w:val="Normal"/>
    <w:link w:val="Heading2Char"/>
    <w:qFormat/>
    <w:rsid w:val="00966979"/>
    <w:pPr>
      <w:keepNext/>
      <w:spacing w:after="0" w:line="240" w:lineRule="auto"/>
      <w:outlineLvl w:val="1"/>
    </w:pPr>
    <w:rPr>
      <w:rFonts w:eastAsia="Times New Roman"/>
      <w:b/>
      <w:i/>
      <w:color w:val="0000FF"/>
      <w:sz w:val="24"/>
      <w:szCs w:val="20"/>
      <w:lang w:val="nl-NL"/>
    </w:rPr>
  </w:style>
  <w:style w:type="paragraph" w:styleId="Heading4">
    <w:name w:val="heading 4"/>
    <w:basedOn w:val="Normal"/>
    <w:next w:val="Normal"/>
    <w:link w:val="Heading4Char"/>
    <w:uiPriority w:val="9"/>
    <w:semiHidden/>
    <w:unhideWhenUsed/>
    <w:qFormat/>
    <w:rsid w:val="009B63E9"/>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66979"/>
    <w:rPr>
      <w:rFonts w:eastAsia="Times New Roman" w:cs="Times New Roman"/>
      <w:b/>
      <w:i/>
      <w:color w:val="0000FF"/>
      <w:sz w:val="24"/>
      <w:szCs w:val="20"/>
      <w:lang w:val="nl-NL"/>
    </w:rPr>
  </w:style>
  <w:style w:type="paragraph" w:styleId="FootnoteText">
    <w:name w:val="footnote text"/>
    <w:basedOn w:val="Normal"/>
    <w:link w:val="FootnoteTextChar"/>
    <w:semiHidden/>
    <w:rsid w:val="00966979"/>
    <w:pPr>
      <w:spacing w:after="0" w:line="240" w:lineRule="auto"/>
    </w:pPr>
    <w:rPr>
      <w:rFonts w:eastAsia="Times New Roman"/>
      <w:sz w:val="20"/>
      <w:szCs w:val="20"/>
    </w:rPr>
  </w:style>
  <w:style w:type="character" w:customStyle="1" w:styleId="FootnoteTextChar">
    <w:name w:val="Footnote Text Char"/>
    <w:link w:val="FootnoteText"/>
    <w:semiHidden/>
    <w:rsid w:val="00966979"/>
    <w:rPr>
      <w:rFonts w:eastAsia="Times New Roman" w:cs="Times New Roman"/>
      <w:sz w:val="20"/>
      <w:szCs w:val="20"/>
    </w:rPr>
  </w:style>
  <w:style w:type="character" w:styleId="FootnoteReference">
    <w:name w:val="footnote reference"/>
    <w:semiHidden/>
    <w:rsid w:val="00966979"/>
    <w:rPr>
      <w:vertAlign w:val="superscript"/>
    </w:rPr>
  </w:style>
  <w:style w:type="paragraph" w:styleId="NormalWeb">
    <w:name w:val="Normal (Web)"/>
    <w:basedOn w:val="Normal"/>
    <w:uiPriority w:val="99"/>
    <w:unhideWhenUsed/>
    <w:rsid w:val="00966979"/>
    <w:pPr>
      <w:spacing w:before="100" w:beforeAutospacing="1" w:after="100" w:afterAutospacing="1" w:line="240" w:lineRule="auto"/>
    </w:pPr>
    <w:rPr>
      <w:rFonts w:eastAsia="Times New Roman"/>
      <w:sz w:val="24"/>
      <w:szCs w:val="24"/>
    </w:rPr>
  </w:style>
  <w:style w:type="character" w:customStyle="1" w:styleId="Heading1Char">
    <w:name w:val="Heading 1 Char"/>
    <w:link w:val="Heading1"/>
    <w:rsid w:val="0080025D"/>
    <w:rPr>
      <w:rFonts w:eastAsia="Times New Roman" w:cs="Arial"/>
      <w:bCs/>
      <w:kern w:val="32"/>
      <w:sz w:val="28"/>
      <w:szCs w:val="32"/>
    </w:rPr>
  </w:style>
  <w:style w:type="paragraph" w:styleId="BodyTextIndent3">
    <w:name w:val="Body Text Indent 3"/>
    <w:basedOn w:val="Normal"/>
    <w:link w:val="BodyTextIndent3Char"/>
    <w:rsid w:val="0080025D"/>
    <w:pPr>
      <w:spacing w:after="0" w:line="240" w:lineRule="auto"/>
      <w:ind w:firstLine="720"/>
      <w:jc w:val="both"/>
    </w:pPr>
    <w:rPr>
      <w:rFonts w:ascii=".VnTime" w:eastAsia="Times New Roman" w:hAnsi=".VnTime"/>
      <w:color w:val="0000FF"/>
      <w:sz w:val="24"/>
      <w:szCs w:val="20"/>
    </w:rPr>
  </w:style>
  <w:style w:type="character" w:customStyle="1" w:styleId="BodyTextIndent3Char">
    <w:name w:val="Body Text Indent 3 Char"/>
    <w:link w:val="BodyTextIndent3"/>
    <w:rsid w:val="0080025D"/>
    <w:rPr>
      <w:rFonts w:ascii=".VnTime" w:eastAsia="Times New Roman" w:hAnsi=".VnTime"/>
      <w:color w:val="0000FF"/>
      <w:sz w:val="24"/>
    </w:rPr>
  </w:style>
  <w:style w:type="paragraph" w:styleId="Header">
    <w:name w:val="header"/>
    <w:basedOn w:val="Normal"/>
    <w:link w:val="HeaderChar"/>
    <w:uiPriority w:val="99"/>
    <w:unhideWhenUsed/>
    <w:rsid w:val="005A25A6"/>
    <w:pPr>
      <w:tabs>
        <w:tab w:val="center" w:pos="4680"/>
        <w:tab w:val="right" w:pos="9360"/>
      </w:tabs>
    </w:pPr>
  </w:style>
  <w:style w:type="character" w:customStyle="1" w:styleId="HeaderChar">
    <w:name w:val="Header Char"/>
    <w:link w:val="Header"/>
    <w:uiPriority w:val="99"/>
    <w:rsid w:val="005A25A6"/>
    <w:rPr>
      <w:sz w:val="28"/>
      <w:szCs w:val="22"/>
    </w:rPr>
  </w:style>
  <w:style w:type="paragraph" w:styleId="Footer">
    <w:name w:val="footer"/>
    <w:basedOn w:val="Normal"/>
    <w:link w:val="FooterChar"/>
    <w:uiPriority w:val="99"/>
    <w:unhideWhenUsed/>
    <w:rsid w:val="005A25A6"/>
    <w:pPr>
      <w:tabs>
        <w:tab w:val="center" w:pos="4680"/>
        <w:tab w:val="right" w:pos="9360"/>
      </w:tabs>
    </w:pPr>
  </w:style>
  <w:style w:type="character" w:customStyle="1" w:styleId="FooterChar">
    <w:name w:val="Footer Char"/>
    <w:link w:val="Footer"/>
    <w:uiPriority w:val="99"/>
    <w:rsid w:val="005A25A6"/>
    <w:rPr>
      <w:sz w:val="28"/>
      <w:szCs w:val="22"/>
    </w:rPr>
  </w:style>
  <w:style w:type="character" w:customStyle="1" w:styleId="Heading4Char">
    <w:name w:val="Heading 4 Char"/>
    <w:link w:val="Heading4"/>
    <w:uiPriority w:val="9"/>
    <w:semiHidden/>
    <w:rsid w:val="009B63E9"/>
    <w:rPr>
      <w:rFonts w:ascii="Calibri" w:eastAsia="Times New Roman" w:hAnsi="Calibri" w:cs="Times New Roman"/>
      <w:b/>
      <w:bCs/>
      <w:sz w:val="28"/>
      <w:szCs w:val="28"/>
    </w:rPr>
  </w:style>
  <w:style w:type="paragraph" w:styleId="BodyText2">
    <w:name w:val="Body Text 2"/>
    <w:basedOn w:val="Normal"/>
    <w:link w:val="BodyText2Char"/>
    <w:uiPriority w:val="99"/>
    <w:semiHidden/>
    <w:unhideWhenUsed/>
    <w:rsid w:val="009B63E9"/>
    <w:pPr>
      <w:spacing w:after="120" w:line="480" w:lineRule="auto"/>
    </w:pPr>
  </w:style>
  <w:style w:type="character" w:customStyle="1" w:styleId="BodyText2Char">
    <w:name w:val="Body Text 2 Char"/>
    <w:link w:val="BodyText2"/>
    <w:uiPriority w:val="99"/>
    <w:semiHidden/>
    <w:rsid w:val="009B63E9"/>
    <w:rPr>
      <w:sz w:val="28"/>
      <w:szCs w:val="22"/>
    </w:rPr>
  </w:style>
  <w:style w:type="paragraph" w:styleId="BodyTextIndent">
    <w:name w:val="Body Text Indent"/>
    <w:basedOn w:val="Normal"/>
    <w:link w:val="BodyTextIndentChar"/>
    <w:uiPriority w:val="99"/>
    <w:semiHidden/>
    <w:unhideWhenUsed/>
    <w:rsid w:val="009B63E9"/>
    <w:pPr>
      <w:spacing w:after="120"/>
      <w:ind w:left="283"/>
    </w:pPr>
  </w:style>
  <w:style w:type="character" w:customStyle="1" w:styleId="BodyTextIndentChar">
    <w:name w:val="Body Text Indent Char"/>
    <w:link w:val="BodyTextIndent"/>
    <w:uiPriority w:val="99"/>
    <w:semiHidden/>
    <w:rsid w:val="009B63E9"/>
    <w:rPr>
      <w:sz w:val="28"/>
      <w:szCs w:val="22"/>
    </w:rPr>
  </w:style>
  <w:style w:type="paragraph" w:styleId="BodyTextIndent2">
    <w:name w:val="Body Text Indent 2"/>
    <w:basedOn w:val="Normal"/>
    <w:link w:val="BodyTextIndent2Char"/>
    <w:unhideWhenUsed/>
    <w:rsid w:val="00F40AC6"/>
    <w:pPr>
      <w:spacing w:after="120" w:line="480" w:lineRule="auto"/>
      <w:ind w:left="283"/>
    </w:pPr>
  </w:style>
  <w:style w:type="character" w:customStyle="1" w:styleId="BodyTextIndent2Char">
    <w:name w:val="Body Text Indent 2 Char"/>
    <w:link w:val="BodyTextIndent2"/>
    <w:rsid w:val="00F40AC6"/>
    <w:rPr>
      <w:sz w:val="28"/>
      <w:szCs w:val="22"/>
    </w:rPr>
  </w:style>
  <w:style w:type="paragraph" w:styleId="BalloonText">
    <w:name w:val="Balloon Text"/>
    <w:basedOn w:val="Normal"/>
    <w:link w:val="BalloonTextChar"/>
    <w:uiPriority w:val="99"/>
    <w:semiHidden/>
    <w:unhideWhenUsed/>
    <w:rsid w:val="00C24E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4E31"/>
    <w:rPr>
      <w:rFonts w:ascii="Tahoma" w:hAnsi="Tahoma" w:cs="Tahoma"/>
      <w:sz w:val="16"/>
      <w:szCs w:val="16"/>
    </w:rPr>
  </w:style>
  <w:style w:type="paragraph" w:customStyle="1" w:styleId="CharCharCharCharCharCharCharCharChar1CharCharCharChar">
    <w:name w:val="Char Char Char Char Char Char Char Char Char1 Char Char Char Char"/>
    <w:basedOn w:val="Normal"/>
    <w:rsid w:val="00A17747"/>
    <w:pPr>
      <w:spacing w:after="160" w:line="240" w:lineRule="exact"/>
    </w:pPr>
    <w:rPr>
      <w:rFonts w:ascii="Verdana" w:eastAsia="Times New Roman" w:hAnsi="Verdana"/>
      <w:sz w:val="20"/>
      <w:szCs w:val="20"/>
    </w:rPr>
  </w:style>
  <w:style w:type="character" w:customStyle="1" w:styleId="BodyTextIndent2Char2">
    <w:name w:val="Body Text Indent 2 Char2"/>
    <w:rsid w:val="00C72C15"/>
    <w:rPr>
      <w:sz w:val="28"/>
      <w:lang w:val="nl-NL" w:eastAsia="en-US" w:bidi="ar-SA"/>
    </w:rPr>
  </w:style>
  <w:style w:type="paragraph" w:styleId="ListParagraph">
    <w:name w:val="List Paragraph"/>
    <w:basedOn w:val="Normal"/>
    <w:uiPriority w:val="34"/>
    <w:qFormat/>
    <w:rsid w:val="00AC34B0"/>
    <w:pPr>
      <w:ind w:left="720"/>
      <w:contextualSpacing/>
    </w:pPr>
  </w:style>
  <w:style w:type="paragraph" w:styleId="NoSpacing">
    <w:name w:val="No Spacing"/>
    <w:uiPriority w:val="1"/>
    <w:qFormat/>
    <w:rsid w:val="003F2BE5"/>
    <w:rPr>
      <w:sz w:val="28"/>
      <w:szCs w:val="22"/>
    </w:rPr>
  </w:style>
  <w:style w:type="character" w:customStyle="1" w:styleId="label">
    <w:name w:val="label"/>
    <w:rsid w:val="003E306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6A"/>
    <w:pPr>
      <w:spacing w:after="200" w:line="276" w:lineRule="auto"/>
    </w:pPr>
    <w:rPr>
      <w:sz w:val="28"/>
      <w:szCs w:val="22"/>
    </w:rPr>
  </w:style>
  <w:style w:type="paragraph" w:styleId="Heading1">
    <w:name w:val="heading 1"/>
    <w:basedOn w:val="Normal"/>
    <w:next w:val="Normal"/>
    <w:link w:val="Heading1Char"/>
    <w:qFormat/>
    <w:rsid w:val="0080025D"/>
    <w:pPr>
      <w:keepNext/>
      <w:spacing w:before="240" w:after="60" w:line="240" w:lineRule="auto"/>
      <w:jc w:val="both"/>
      <w:outlineLvl w:val="0"/>
    </w:pPr>
    <w:rPr>
      <w:rFonts w:eastAsia="Times New Roman" w:cs="Arial"/>
      <w:bCs/>
      <w:kern w:val="32"/>
      <w:szCs w:val="32"/>
    </w:rPr>
  </w:style>
  <w:style w:type="paragraph" w:styleId="Heading2">
    <w:name w:val="heading 2"/>
    <w:basedOn w:val="Normal"/>
    <w:next w:val="Normal"/>
    <w:link w:val="Heading2Char"/>
    <w:qFormat/>
    <w:rsid w:val="00966979"/>
    <w:pPr>
      <w:keepNext/>
      <w:spacing w:after="0" w:line="240" w:lineRule="auto"/>
      <w:outlineLvl w:val="1"/>
    </w:pPr>
    <w:rPr>
      <w:rFonts w:eastAsia="Times New Roman"/>
      <w:b/>
      <w:i/>
      <w:color w:val="0000FF"/>
      <w:sz w:val="24"/>
      <w:szCs w:val="20"/>
      <w:lang w:val="nl-NL"/>
    </w:rPr>
  </w:style>
  <w:style w:type="paragraph" w:styleId="Heading4">
    <w:name w:val="heading 4"/>
    <w:basedOn w:val="Normal"/>
    <w:next w:val="Normal"/>
    <w:link w:val="Heading4Char"/>
    <w:uiPriority w:val="9"/>
    <w:semiHidden/>
    <w:unhideWhenUsed/>
    <w:qFormat/>
    <w:rsid w:val="009B63E9"/>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66979"/>
    <w:rPr>
      <w:rFonts w:eastAsia="Times New Roman" w:cs="Times New Roman"/>
      <w:b/>
      <w:i/>
      <w:color w:val="0000FF"/>
      <w:sz w:val="24"/>
      <w:szCs w:val="20"/>
      <w:lang w:val="nl-NL"/>
    </w:rPr>
  </w:style>
  <w:style w:type="paragraph" w:styleId="FootnoteText">
    <w:name w:val="footnote text"/>
    <w:basedOn w:val="Normal"/>
    <w:link w:val="FootnoteTextChar"/>
    <w:semiHidden/>
    <w:rsid w:val="00966979"/>
    <w:pPr>
      <w:spacing w:after="0" w:line="240" w:lineRule="auto"/>
    </w:pPr>
    <w:rPr>
      <w:rFonts w:eastAsia="Times New Roman"/>
      <w:sz w:val="20"/>
      <w:szCs w:val="20"/>
    </w:rPr>
  </w:style>
  <w:style w:type="character" w:customStyle="1" w:styleId="FootnoteTextChar">
    <w:name w:val="Footnote Text Char"/>
    <w:link w:val="FootnoteText"/>
    <w:semiHidden/>
    <w:rsid w:val="00966979"/>
    <w:rPr>
      <w:rFonts w:eastAsia="Times New Roman" w:cs="Times New Roman"/>
      <w:sz w:val="20"/>
      <w:szCs w:val="20"/>
    </w:rPr>
  </w:style>
  <w:style w:type="character" w:styleId="FootnoteReference">
    <w:name w:val="footnote reference"/>
    <w:semiHidden/>
    <w:rsid w:val="00966979"/>
    <w:rPr>
      <w:vertAlign w:val="superscript"/>
    </w:rPr>
  </w:style>
  <w:style w:type="paragraph" w:styleId="NormalWeb">
    <w:name w:val="Normal (Web)"/>
    <w:basedOn w:val="Normal"/>
    <w:uiPriority w:val="99"/>
    <w:unhideWhenUsed/>
    <w:rsid w:val="00966979"/>
    <w:pPr>
      <w:spacing w:before="100" w:beforeAutospacing="1" w:after="100" w:afterAutospacing="1" w:line="240" w:lineRule="auto"/>
    </w:pPr>
    <w:rPr>
      <w:rFonts w:eastAsia="Times New Roman"/>
      <w:sz w:val="24"/>
      <w:szCs w:val="24"/>
    </w:rPr>
  </w:style>
  <w:style w:type="character" w:customStyle="1" w:styleId="Heading1Char">
    <w:name w:val="Heading 1 Char"/>
    <w:link w:val="Heading1"/>
    <w:rsid w:val="0080025D"/>
    <w:rPr>
      <w:rFonts w:eastAsia="Times New Roman" w:cs="Arial"/>
      <w:bCs/>
      <w:kern w:val="32"/>
      <w:sz w:val="28"/>
      <w:szCs w:val="32"/>
    </w:rPr>
  </w:style>
  <w:style w:type="paragraph" w:styleId="BodyTextIndent3">
    <w:name w:val="Body Text Indent 3"/>
    <w:basedOn w:val="Normal"/>
    <w:link w:val="BodyTextIndent3Char"/>
    <w:rsid w:val="0080025D"/>
    <w:pPr>
      <w:spacing w:after="0" w:line="240" w:lineRule="auto"/>
      <w:ind w:firstLine="720"/>
      <w:jc w:val="both"/>
    </w:pPr>
    <w:rPr>
      <w:rFonts w:ascii=".VnTime" w:eastAsia="Times New Roman" w:hAnsi=".VnTime"/>
      <w:color w:val="0000FF"/>
      <w:sz w:val="24"/>
      <w:szCs w:val="20"/>
    </w:rPr>
  </w:style>
  <w:style w:type="character" w:customStyle="1" w:styleId="BodyTextIndent3Char">
    <w:name w:val="Body Text Indent 3 Char"/>
    <w:link w:val="BodyTextIndent3"/>
    <w:rsid w:val="0080025D"/>
    <w:rPr>
      <w:rFonts w:ascii=".VnTime" w:eastAsia="Times New Roman" w:hAnsi=".VnTime"/>
      <w:color w:val="0000FF"/>
      <w:sz w:val="24"/>
    </w:rPr>
  </w:style>
  <w:style w:type="paragraph" w:styleId="Header">
    <w:name w:val="header"/>
    <w:basedOn w:val="Normal"/>
    <w:link w:val="HeaderChar"/>
    <w:uiPriority w:val="99"/>
    <w:unhideWhenUsed/>
    <w:rsid w:val="005A25A6"/>
    <w:pPr>
      <w:tabs>
        <w:tab w:val="center" w:pos="4680"/>
        <w:tab w:val="right" w:pos="9360"/>
      </w:tabs>
    </w:pPr>
  </w:style>
  <w:style w:type="character" w:customStyle="1" w:styleId="HeaderChar">
    <w:name w:val="Header Char"/>
    <w:link w:val="Header"/>
    <w:uiPriority w:val="99"/>
    <w:rsid w:val="005A25A6"/>
    <w:rPr>
      <w:sz w:val="28"/>
      <w:szCs w:val="22"/>
    </w:rPr>
  </w:style>
  <w:style w:type="paragraph" w:styleId="Footer">
    <w:name w:val="footer"/>
    <w:basedOn w:val="Normal"/>
    <w:link w:val="FooterChar"/>
    <w:uiPriority w:val="99"/>
    <w:unhideWhenUsed/>
    <w:rsid w:val="005A25A6"/>
    <w:pPr>
      <w:tabs>
        <w:tab w:val="center" w:pos="4680"/>
        <w:tab w:val="right" w:pos="9360"/>
      </w:tabs>
    </w:pPr>
  </w:style>
  <w:style w:type="character" w:customStyle="1" w:styleId="FooterChar">
    <w:name w:val="Footer Char"/>
    <w:link w:val="Footer"/>
    <w:uiPriority w:val="99"/>
    <w:rsid w:val="005A25A6"/>
    <w:rPr>
      <w:sz w:val="28"/>
      <w:szCs w:val="22"/>
    </w:rPr>
  </w:style>
  <w:style w:type="character" w:customStyle="1" w:styleId="Heading4Char">
    <w:name w:val="Heading 4 Char"/>
    <w:link w:val="Heading4"/>
    <w:uiPriority w:val="9"/>
    <w:semiHidden/>
    <w:rsid w:val="009B63E9"/>
    <w:rPr>
      <w:rFonts w:ascii="Calibri" w:eastAsia="Times New Roman" w:hAnsi="Calibri" w:cs="Times New Roman"/>
      <w:b/>
      <w:bCs/>
      <w:sz w:val="28"/>
      <w:szCs w:val="28"/>
    </w:rPr>
  </w:style>
  <w:style w:type="paragraph" w:styleId="BodyText2">
    <w:name w:val="Body Text 2"/>
    <w:basedOn w:val="Normal"/>
    <w:link w:val="BodyText2Char"/>
    <w:uiPriority w:val="99"/>
    <w:semiHidden/>
    <w:unhideWhenUsed/>
    <w:rsid w:val="009B63E9"/>
    <w:pPr>
      <w:spacing w:after="120" w:line="480" w:lineRule="auto"/>
    </w:pPr>
  </w:style>
  <w:style w:type="character" w:customStyle="1" w:styleId="BodyText2Char">
    <w:name w:val="Body Text 2 Char"/>
    <w:link w:val="BodyText2"/>
    <w:uiPriority w:val="99"/>
    <w:semiHidden/>
    <w:rsid w:val="009B63E9"/>
    <w:rPr>
      <w:sz w:val="28"/>
      <w:szCs w:val="22"/>
    </w:rPr>
  </w:style>
  <w:style w:type="paragraph" w:styleId="BodyTextIndent">
    <w:name w:val="Body Text Indent"/>
    <w:basedOn w:val="Normal"/>
    <w:link w:val="BodyTextIndentChar"/>
    <w:uiPriority w:val="99"/>
    <w:semiHidden/>
    <w:unhideWhenUsed/>
    <w:rsid w:val="009B63E9"/>
    <w:pPr>
      <w:spacing w:after="120"/>
      <w:ind w:left="283"/>
    </w:pPr>
  </w:style>
  <w:style w:type="character" w:customStyle="1" w:styleId="BodyTextIndentChar">
    <w:name w:val="Body Text Indent Char"/>
    <w:link w:val="BodyTextIndent"/>
    <w:uiPriority w:val="99"/>
    <w:semiHidden/>
    <w:rsid w:val="009B63E9"/>
    <w:rPr>
      <w:sz w:val="28"/>
      <w:szCs w:val="22"/>
    </w:rPr>
  </w:style>
  <w:style w:type="paragraph" w:styleId="BodyTextIndent2">
    <w:name w:val="Body Text Indent 2"/>
    <w:basedOn w:val="Normal"/>
    <w:link w:val="BodyTextIndent2Char"/>
    <w:unhideWhenUsed/>
    <w:rsid w:val="00F40AC6"/>
    <w:pPr>
      <w:spacing w:after="120" w:line="480" w:lineRule="auto"/>
      <w:ind w:left="283"/>
    </w:pPr>
  </w:style>
  <w:style w:type="character" w:customStyle="1" w:styleId="BodyTextIndent2Char">
    <w:name w:val="Body Text Indent 2 Char"/>
    <w:link w:val="BodyTextIndent2"/>
    <w:rsid w:val="00F40AC6"/>
    <w:rPr>
      <w:sz w:val="28"/>
      <w:szCs w:val="22"/>
    </w:rPr>
  </w:style>
  <w:style w:type="paragraph" w:styleId="BalloonText">
    <w:name w:val="Balloon Text"/>
    <w:basedOn w:val="Normal"/>
    <w:link w:val="BalloonTextChar"/>
    <w:uiPriority w:val="99"/>
    <w:semiHidden/>
    <w:unhideWhenUsed/>
    <w:rsid w:val="00C24E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4E31"/>
    <w:rPr>
      <w:rFonts w:ascii="Tahoma" w:hAnsi="Tahoma" w:cs="Tahoma"/>
      <w:sz w:val="16"/>
      <w:szCs w:val="16"/>
    </w:rPr>
  </w:style>
  <w:style w:type="paragraph" w:customStyle="1" w:styleId="CharCharCharCharCharCharCharCharChar1CharCharCharChar">
    <w:name w:val="Char Char Char Char Char Char Char Char Char1 Char Char Char Char"/>
    <w:basedOn w:val="Normal"/>
    <w:rsid w:val="00A17747"/>
    <w:pPr>
      <w:spacing w:after="160" w:line="240" w:lineRule="exact"/>
    </w:pPr>
    <w:rPr>
      <w:rFonts w:ascii="Verdana" w:eastAsia="Times New Roman" w:hAnsi="Verdana"/>
      <w:sz w:val="20"/>
      <w:szCs w:val="20"/>
    </w:rPr>
  </w:style>
  <w:style w:type="character" w:customStyle="1" w:styleId="BodyTextIndent2Char2">
    <w:name w:val="Body Text Indent 2 Char2"/>
    <w:rsid w:val="00C72C15"/>
    <w:rPr>
      <w:sz w:val="28"/>
      <w:lang w:val="nl-NL" w:eastAsia="en-US" w:bidi="ar-SA"/>
    </w:rPr>
  </w:style>
  <w:style w:type="paragraph" w:styleId="ListParagraph">
    <w:name w:val="List Paragraph"/>
    <w:basedOn w:val="Normal"/>
    <w:uiPriority w:val="34"/>
    <w:qFormat/>
    <w:rsid w:val="00AC34B0"/>
    <w:pPr>
      <w:ind w:left="720"/>
      <w:contextualSpacing/>
    </w:pPr>
  </w:style>
  <w:style w:type="paragraph" w:styleId="NoSpacing">
    <w:name w:val="No Spacing"/>
    <w:uiPriority w:val="1"/>
    <w:qFormat/>
    <w:rsid w:val="003F2BE5"/>
    <w:rPr>
      <w:sz w:val="28"/>
      <w:szCs w:val="22"/>
    </w:rPr>
  </w:style>
  <w:style w:type="character" w:customStyle="1" w:styleId="label">
    <w:name w:val="label"/>
    <w:rsid w:val="003E30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09650">
      <w:bodyDiv w:val="1"/>
      <w:marLeft w:val="0"/>
      <w:marRight w:val="0"/>
      <w:marTop w:val="0"/>
      <w:marBottom w:val="0"/>
      <w:divBdr>
        <w:top w:val="none" w:sz="0" w:space="0" w:color="auto"/>
        <w:left w:val="none" w:sz="0" w:space="0" w:color="auto"/>
        <w:bottom w:val="none" w:sz="0" w:space="0" w:color="auto"/>
        <w:right w:val="none" w:sz="0" w:space="0" w:color="auto"/>
      </w:divBdr>
    </w:div>
    <w:div w:id="824977105">
      <w:bodyDiv w:val="1"/>
      <w:marLeft w:val="0"/>
      <w:marRight w:val="0"/>
      <w:marTop w:val="0"/>
      <w:marBottom w:val="0"/>
      <w:divBdr>
        <w:top w:val="none" w:sz="0" w:space="0" w:color="auto"/>
        <w:left w:val="none" w:sz="0" w:space="0" w:color="auto"/>
        <w:bottom w:val="none" w:sz="0" w:space="0" w:color="auto"/>
        <w:right w:val="none" w:sz="0" w:space="0" w:color="auto"/>
      </w:divBdr>
    </w:div>
    <w:div w:id="1773432500">
      <w:bodyDiv w:val="1"/>
      <w:marLeft w:val="0"/>
      <w:marRight w:val="0"/>
      <w:marTop w:val="0"/>
      <w:marBottom w:val="0"/>
      <w:divBdr>
        <w:top w:val="none" w:sz="0" w:space="0" w:color="auto"/>
        <w:left w:val="none" w:sz="0" w:space="0" w:color="auto"/>
        <w:bottom w:val="none" w:sz="0" w:space="0" w:color="auto"/>
        <w:right w:val="none" w:sz="0" w:space="0" w:color="auto"/>
      </w:divBdr>
    </w:div>
    <w:div w:id="1830976417">
      <w:bodyDiv w:val="1"/>
      <w:marLeft w:val="0"/>
      <w:marRight w:val="0"/>
      <w:marTop w:val="0"/>
      <w:marBottom w:val="0"/>
      <w:divBdr>
        <w:top w:val="none" w:sz="0" w:space="0" w:color="auto"/>
        <w:left w:val="none" w:sz="0" w:space="0" w:color="auto"/>
        <w:bottom w:val="none" w:sz="0" w:space="0" w:color="auto"/>
        <w:right w:val="none" w:sz="0" w:space="0" w:color="auto"/>
      </w:divBdr>
    </w:div>
    <w:div w:id="20307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882F-040F-4B03-944F-CED3CA73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TuanAnh-PC</cp:lastModifiedBy>
  <cp:revision>2</cp:revision>
  <cp:lastPrinted>2019-05-07T02:39:00Z</cp:lastPrinted>
  <dcterms:created xsi:type="dcterms:W3CDTF">2019-06-21T07:45:00Z</dcterms:created>
  <dcterms:modified xsi:type="dcterms:W3CDTF">2019-06-21T07:45:00Z</dcterms:modified>
</cp:coreProperties>
</file>