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832"/>
      </w:tblGrid>
      <w:tr w:rsidR="00CC6EDD" w:rsidRPr="00CC6EDD" w:rsidTr="00CC6E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DD" w:rsidRPr="00CC6EDD" w:rsidRDefault="00177991" w:rsidP="00C74A2C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8"/>
                <w:lang w:eastAsia="vi-VN"/>
              </w:rPr>
              <w:pict>
                <v:line id="_x0000_s1028" style="position:absolute;left:0;text-align:left;z-index:251660288" from="57.1pt,24.15pt" to="96.95pt,24.15pt"/>
              </w:pict>
            </w:r>
            <w:r w:rsidR="00DA0D9F" w:rsidRPr="00DA0D9F"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8"/>
                <w:lang w:eastAsia="vi-VN"/>
              </w:rPr>
              <w:pict>
                <v:line id="_x0000_s1026" style="position:absolute;left:0;text-align:left;z-index:251658240" from="61.85pt,24.15pt" to="101.7pt,24.15pt"/>
              </w:pict>
            </w:r>
            <w:r w:rsidR="00CC6EDD" w:rsidRPr="00CC6ED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8"/>
                <w:lang w:eastAsia="vi-VN"/>
              </w:rPr>
              <w:t>BỘ TÀI CHÍNH</w:t>
            </w:r>
            <w:r w:rsidR="00CC6EDD" w:rsidRPr="00CC6ED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CF" w:rsidRDefault="00DA0D9F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DA0D9F">
              <w:rPr>
                <w:rFonts w:asciiTheme="majorHAnsi" w:eastAsia="Times New Roman" w:hAnsiTheme="majorHAnsi" w:cstheme="majorHAnsi"/>
                <w:b/>
                <w:bCs/>
                <w:noProof/>
                <w:color w:val="000000"/>
                <w:sz w:val="24"/>
                <w:szCs w:val="28"/>
                <w:lang w:eastAsia="vi-VN"/>
              </w:rPr>
              <w:pict>
                <v:line id="_x0000_s1027" style="position:absolute;left:0;text-align:left;z-index:251659264;mso-position-horizontal-relative:text;mso-position-vertical-relative:text" from="56.15pt,44.5pt" to="222.35pt,44.5pt"/>
              </w:pict>
            </w:r>
            <w:r w:rsidR="00CC6EDD" w:rsidRPr="00CC6ED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8"/>
                <w:lang w:eastAsia="vi-VN"/>
              </w:rPr>
              <w:t>CỘNG HÒA XÃ HỘI CHỦ NGHĨA VIỆT NAM</w:t>
            </w:r>
            <w:r w:rsidR="00CC6EDD" w:rsidRPr="00CC6ED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  <w:t>Độc lập - Tự do - Hạnh phúc </w:t>
            </w:r>
            <w:r w:rsidR="00CC6EDD" w:rsidRPr="00CC6ED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</w:p>
        </w:tc>
      </w:tr>
      <w:tr w:rsidR="00CC6EDD" w:rsidRPr="00CC6EDD" w:rsidTr="00CC6E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787" w:rsidRDefault="00CC6EDD" w:rsidP="0003270A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6ED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Số:</w:t>
            </w:r>
            <w:r w:rsidR="00636A27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 xml:space="preserve"> 6</w:t>
            </w:r>
            <w:r w:rsidR="0003270A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7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/20</w:t>
            </w:r>
            <w:r w:rsidR="00091ED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20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/TT-BTC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016" w:rsidRPr="00845016" w:rsidRDefault="00CC6EDD" w:rsidP="00845016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6EDD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Hà Nội, ngày </w:t>
            </w:r>
            <w:r w:rsidR="00845016" w:rsidRPr="0084501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 xml:space="preserve">10 </w:t>
            </w:r>
            <w:r w:rsidRPr="00CC6EDD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tháng </w:t>
            </w:r>
            <w:r w:rsidR="00845016" w:rsidRPr="0084501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7</w:t>
            </w:r>
            <w:r w:rsidRPr="00CC6EDD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 năm 20</w:t>
            </w:r>
            <w:r w:rsidR="00FF4A74" w:rsidRPr="00FF4A74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vi-VN"/>
              </w:rPr>
              <w:t>20</w:t>
            </w:r>
          </w:p>
        </w:tc>
      </w:tr>
    </w:tbl>
    <w:p w:rsidR="00CC6EDD" w:rsidRPr="00CC6EDD" w:rsidRDefault="00CC6EDD" w:rsidP="00CC6EDD">
      <w:pPr>
        <w:shd w:val="clear" w:color="auto" w:fill="FFFFFF"/>
        <w:spacing w:before="120" w:after="120" w:line="234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</w:p>
    <w:p w:rsidR="00CC6EDD" w:rsidRPr="002E40EE" w:rsidRDefault="00CC6EDD" w:rsidP="00CC6EDD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bookmarkStart w:id="0" w:name="loai_1"/>
      <w:r w:rsidRPr="00CC6ED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THÔNG TƯ</w:t>
      </w:r>
      <w:bookmarkEnd w:id="0"/>
    </w:p>
    <w:p w:rsidR="00382A39" w:rsidRPr="002E40EE" w:rsidRDefault="00382A39" w:rsidP="00CC6EDD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295E0F" w:rsidRPr="00FB31D2" w:rsidRDefault="00CC6EDD" w:rsidP="00AD7AE2">
      <w:pPr>
        <w:shd w:val="clear" w:color="auto" w:fill="FFFFFF"/>
        <w:spacing w:before="120" w:after="0" w:line="234" w:lineRule="atLeast"/>
        <w:ind w:right="-188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bookmarkStart w:id="1" w:name="loai_1_name"/>
      <w:r w:rsidRPr="00CC6ED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 xml:space="preserve">Ban hành Quy chế mẫu về kiểm toán nội bộ áp dụng cho </w:t>
      </w:r>
      <w:r w:rsidR="00295E0F" w:rsidRPr="00295E0F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cơ quan nhà nước, đơn vị sự nghiệp công lập</w:t>
      </w:r>
    </w:p>
    <w:p w:rsidR="00CC6EDD" w:rsidRPr="00CC6EDD" w:rsidRDefault="00177991" w:rsidP="00954E4B">
      <w:pPr>
        <w:shd w:val="clear" w:color="auto" w:fill="FFFFFF"/>
        <w:spacing w:after="0" w:line="234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8"/>
          <w:lang w:eastAsia="vi-VN"/>
        </w:rPr>
        <w:pict>
          <v:line id="_x0000_s1029" style="position:absolute;left:0;text-align:left;z-index:251661312" from="172.4pt,5.95pt" to="293.95pt,5.95pt"/>
        </w:pict>
      </w:r>
    </w:p>
    <w:bookmarkEnd w:id="1"/>
    <w:p w:rsidR="00954E4B" w:rsidRPr="00AD7AE2" w:rsidRDefault="00954E4B" w:rsidP="00177991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</w:pPr>
      <w:r w:rsidRPr="00954E4B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Căn cứ </w:t>
      </w:r>
      <w:hyperlink r:id="rId7" w:anchor="noidung" w:tgtFrame="_blank" w:history="1">
        <w:r w:rsidRPr="00954E4B">
          <w:rPr>
            <w:rFonts w:asciiTheme="majorHAnsi" w:eastAsia="Times New Roman" w:hAnsiTheme="majorHAnsi" w:cstheme="majorHAnsi"/>
            <w:i/>
            <w:iCs/>
            <w:color w:val="000000"/>
            <w:sz w:val="28"/>
            <w:szCs w:val="28"/>
            <w:lang w:eastAsia="vi-VN"/>
          </w:rPr>
          <w:t>Luật kế toán</w:t>
        </w:r>
      </w:hyperlink>
      <w:r w:rsidRPr="00954E4B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 </w:t>
      </w:r>
      <w:r w:rsidR="00AD7AE2" w:rsidRPr="00AD7AE2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 xml:space="preserve">số 88/2015/QH13 </w:t>
      </w:r>
      <w:r w:rsidRPr="00954E4B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ngày 20 tháng 11 năm 2015;</w:t>
      </w:r>
    </w:p>
    <w:p w:rsidR="00B6095C" w:rsidRPr="00AD7AE2" w:rsidRDefault="00B6095C" w:rsidP="00177991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</w:pPr>
      <w:r w:rsidRPr="00B6095C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Căn cứ Nghị định 05/2019/NĐ-CP ngày 22 tháng 01 năm 2019 của Chính phủ về kiểm toán nội bộ</w:t>
      </w:r>
      <w:r w:rsidRPr="00AD7AE2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;</w:t>
      </w:r>
    </w:p>
    <w:p w:rsidR="00954E4B" w:rsidRPr="00954E4B" w:rsidRDefault="00954E4B" w:rsidP="00177991">
      <w:pPr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</w:pPr>
      <w:r w:rsidRPr="00954E4B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Căn cứ Nghị định số 87/2017/NĐ-CP ngày 26 tháng 7 năm 2017 của Chính phủ quy định chức năng, nhiệm vụ, quyền hạn và cơ cấu tổ chức của Bộ Tài chính;</w:t>
      </w:r>
    </w:p>
    <w:p w:rsidR="00954E4B" w:rsidRPr="00B6095C" w:rsidRDefault="00954E4B" w:rsidP="00177991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</w:pPr>
      <w:r w:rsidRPr="00954E4B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Theo đề nghị của Cục trưởng Cục Quản lý, giám sát kế toán, kiểm toán;</w:t>
      </w:r>
    </w:p>
    <w:p w:rsidR="00954E4B" w:rsidRPr="00954E4B" w:rsidRDefault="00954E4B" w:rsidP="00177991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</w:pPr>
      <w:r w:rsidRPr="00954E4B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 xml:space="preserve">Bộ trưởng Bộ Tài chính ban hành </w:t>
      </w:r>
      <w:r w:rsidRPr="00B6095C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 xml:space="preserve">Quy chế mẫu về kiểm toán nội bộ áp dụng cho </w:t>
      </w:r>
      <w:r w:rsidR="004E647B" w:rsidRPr="004E647B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cơ quan nhà nước, đơn vị sự nghiệp công lập</w:t>
      </w:r>
      <w:r w:rsidRPr="00954E4B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eastAsia="vi-VN"/>
        </w:rPr>
        <w:t>.</w:t>
      </w:r>
    </w:p>
    <w:p w:rsidR="00CC6EDD" w:rsidRPr="00954E4B" w:rsidRDefault="00CC6EDD" w:rsidP="00177991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bookmarkStart w:id="2" w:name="dieu_1"/>
    </w:p>
    <w:p w:rsidR="00CC6EDD" w:rsidRPr="00CC6EDD" w:rsidRDefault="00CC6EDD" w:rsidP="00177991">
      <w:pPr>
        <w:shd w:val="clear" w:color="auto" w:fill="FFFFFF"/>
        <w:spacing w:before="120" w:after="120" w:line="240" w:lineRule="auto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6ED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Điều 1. Phạm vi điều chỉnh</w:t>
      </w:r>
      <w:bookmarkEnd w:id="2"/>
    </w:p>
    <w:p w:rsidR="00CC6EDD" w:rsidRPr="00CC6EDD" w:rsidRDefault="008903C5" w:rsidP="00177991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Thông tư này</w:t>
      </w:r>
      <w:r w:rsidRPr="008903C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207187"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h</w:t>
      </w:r>
      <w:r w:rsid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ư</w:t>
      </w:r>
      <w:r w:rsidR="00207187"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ớng dẫn mẫu </w:t>
      </w:r>
      <w:r w:rsidR="00207187" w:rsidRPr="008903C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Quy chế kiểm toán nội bộ</w:t>
      </w:r>
      <w:r w:rsidR="00207187"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làm cơ sở cho 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các </w:t>
      </w:r>
      <w:r w:rsidR="004E647B" w:rsidRPr="004E647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cơ quan nhà nước, đơn vị sự nghiệp công lập </w:t>
      </w:r>
      <w:r w:rsidR="00207187"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tham chiếu 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trong việc xây dựng Quy chế kiểm toán nội bộ</w:t>
      </w:r>
      <w:r w:rsidR="00207187"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của đơn vị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:rsidR="00CC6EDD" w:rsidRPr="00954E4B" w:rsidRDefault="00CC6EDD" w:rsidP="00177991">
      <w:pPr>
        <w:shd w:val="clear" w:color="auto" w:fill="FFFFFF"/>
        <w:spacing w:before="120" w:after="120" w:line="240" w:lineRule="auto"/>
        <w:ind w:firstLine="720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bookmarkStart w:id="3" w:name="dieu_2"/>
      <w:r w:rsidRPr="00CC6ED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Điều 2. Đối tượng áp dụng</w:t>
      </w:r>
      <w:bookmarkEnd w:id="3"/>
    </w:p>
    <w:p w:rsidR="007F1B60" w:rsidRDefault="00207187" w:rsidP="00177991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1. 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Thông tư này áp dụng đối với các </w:t>
      </w:r>
      <w:r w:rsidR="00295E0F" w:rsidRPr="00295E0F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cơ quan nhà nước, đơn vị sự nghiệp công lập 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quy định tại </w:t>
      </w:r>
      <w:bookmarkStart w:id="4" w:name="dc_1"/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khoản </w:t>
      </w:r>
      <w:r w:rsidR="00CC6EDD" w:rsidRPr="00954E4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1</w:t>
      </w:r>
      <w:r w:rsidR="00295E0F" w:rsidRPr="00295E0F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, khoản 2 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Điều </w:t>
      </w:r>
      <w:r w:rsidR="00295E0F" w:rsidRPr="00295E0F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8 và </w:t>
      </w:r>
      <w:r w:rsidR="004E647B" w:rsidRPr="004E647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Điều 9 </w:t>
      </w:r>
      <w:r w:rsid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Nghị định </w:t>
      </w:r>
      <w:r w:rsidR="00CC6EDD" w:rsidRPr="00954E4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05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/201</w:t>
      </w:r>
      <w:r w:rsidR="00CC6EDD" w:rsidRPr="00954E4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9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/NĐ-CP</w:t>
      </w:r>
      <w:bookmarkEnd w:id="4"/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 ngày </w:t>
      </w:r>
      <w:r w:rsidR="00CC6EDD" w:rsidRPr="00954E4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22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tháng </w:t>
      </w:r>
      <w:r w:rsidR="00CC6EDD" w:rsidRPr="00954E4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01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năm 201</w:t>
      </w:r>
      <w:r w:rsidR="00CC6EDD" w:rsidRPr="00954E4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9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của Chính phủ </w:t>
      </w:r>
      <w:r w:rsidR="00CC6EDD" w:rsidRPr="00954E4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về kiểm toán nội bộ</w:t>
      </w:r>
      <w:bookmarkStart w:id="5" w:name="dieu_3"/>
      <w:r w:rsidR="00FF4A74" w:rsidRPr="00FF4A74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:rsidR="007F1B60" w:rsidRDefault="00207187" w:rsidP="00177991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2. Các </w:t>
      </w:r>
      <w:r w:rsidR="004E647B" w:rsidRPr="004E647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đơn vị</w:t>
      </w:r>
      <w:r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73189E" w:rsidRPr="0073189E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không thuộc quy định tại khoản 1 Điều này </w:t>
      </w:r>
      <w:r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được khuyến khích xây dựng Quy chế kiểm toán nội bộ trên cơ sở </w:t>
      </w:r>
      <w:r w:rsidRPr="00FC16B0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tham chiếu mẫu Quy chế kiểm toán nội bộ quy định tại </w:t>
      </w:r>
      <w:r w:rsidR="004E647B" w:rsidRPr="004E647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Phụ lục </w:t>
      </w:r>
      <w:r w:rsidRPr="00FC16B0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Thông tư này.</w:t>
      </w:r>
    </w:p>
    <w:p w:rsidR="00CC6EDD" w:rsidRPr="00FC16B0" w:rsidRDefault="00CC6EDD" w:rsidP="00177991">
      <w:pPr>
        <w:shd w:val="clear" w:color="auto" w:fill="FFFFFF"/>
        <w:spacing w:before="120" w:after="120" w:line="240" w:lineRule="auto"/>
        <w:ind w:firstLine="720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r w:rsidRPr="00CC6ED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Điều 3. </w:t>
      </w:r>
      <w:bookmarkEnd w:id="5"/>
      <w:r w:rsidRPr="00CC6ED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Quy chế kiểm toán nội bộ</w:t>
      </w:r>
    </w:p>
    <w:p w:rsidR="00091ED8" w:rsidRPr="00091ED8" w:rsidRDefault="00207187" w:rsidP="00177991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FC16B0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1</w:t>
      </w:r>
      <w:r w:rsidR="00576847" w:rsidRPr="0057684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. Quy chế kiểm toán nội bộ </w:t>
      </w:r>
      <w:r w:rsidR="007A7498" w:rsidRPr="00FC16B0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của đơn vị phải bao gồm </w:t>
      </w:r>
      <w:r w:rsidR="00576847" w:rsidRPr="0057684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các nội dung </w:t>
      </w:r>
      <w:r w:rsidR="007A7498" w:rsidRPr="00FC16B0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tối thiểu </w:t>
      </w:r>
      <w:r w:rsidR="00576847" w:rsidRPr="0057684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quy định tại khoản 1 Điều 12 Nghị định 05/2019/NĐ-CP</w:t>
      </w:r>
      <w:r w:rsidR="00FF4A74" w:rsidRPr="00FF4A74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:rsidR="00986FED" w:rsidRDefault="00207187" w:rsidP="00177991">
      <w:pPr>
        <w:shd w:val="clear" w:color="auto" w:fill="FFFFFF"/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sectPr w:rsidR="00986FED" w:rsidSect="00382A39">
          <w:headerReference w:type="default" r:id="rId8"/>
          <w:footerReference w:type="defaul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</w:t>
      </w:r>
      <w:r w:rsidR="00576847"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. </w:t>
      </w:r>
      <w:r w:rsidR="004E647B" w:rsidRPr="004E647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Các đơn vị quy định tại khoản 1 Điều 2 Thông tư này 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tham chiếu </w:t>
      </w:r>
      <w:r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mẫu 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Quy chế </w:t>
      </w:r>
      <w:r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kiểm toán nội bộ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tại Phụ lục</w:t>
      </w:r>
      <w:r w:rsidR="004E647B" w:rsidRPr="004E647B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1, Phụ lục 2, Phụ lục 3 </w:t>
      </w:r>
      <w:r w:rsidR="00CC6ED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Thông tư này để </w:t>
      </w:r>
    </w:p>
    <w:p w:rsidR="00FF4A74" w:rsidRDefault="00CC6EDD" w:rsidP="00FF4A74">
      <w:pPr>
        <w:shd w:val="clear" w:color="auto" w:fill="FFFFFF"/>
        <w:spacing w:before="120" w:after="0" w:line="234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</w:pP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lastRenderedPageBreak/>
        <w:t>xây dựng Quy chế ki</w:t>
      </w:r>
      <w:r w:rsidR="008903C5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ểm toán nội bộ</w:t>
      </w: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, đảm bảo phù hợp với quy định của </w:t>
      </w:r>
      <w:r w:rsidR="00BE328D" w:rsidRPr="00BE328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Nghị định 05/2019/NĐ-CP </w:t>
      </w:r>
      <w:r w:rsidR="00BE328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ngày </w:t>
      </w:r>
      <w:r w:rsidR="00BE328D" w:rsidRPr="00BE328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22</w:t>
      </w:r>
      <w:r w:rsidR="00BE328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tháng </w:t>
      </w:r>
      <w:r w:rsidR="00BE328D" w:rsidRPr="00BE328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01</w:t>
      </w:r>
      <w:r w:rsidR="00BE328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năm 201</w:t>
      </w:r>
      <w:r w:rsidR="00BE328D" w:rsidRPr="00BE328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9</w:t>
      </w:r>
      <w:r w:rsidR="00BE328D"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của Chính phủ </w:t>
      </w:r>
      <w:r w:rsidR="00BE328D" w:rsidRPr="00BE328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về kiểm toán nội bộ</w:t>
      </w:r>
      <w:r w:rsidR="008903C5"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,</w:t>
      </w: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BE328D" w:rsidRPr="00BE328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các </w:t>
      </w: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quy định pháp luật hiện hành</w:t>
      </w:r>
      <w:r w:rsidR="008903C5" w:rsidRP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và cơ cấu tổ chức, hoạt động của đơn vị</w:t>
      </w: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  <w:bookmarkStart w:id="6" w:name="dieu_4"/>
    </w:p>
    <w:p w:rsidR="00CC6EDD" w:rsidRPr="00CC6EDD" w:rsidRDefault="00CC6EDD" w:rsidP="00BE328D">
      <w:pPr>
        <w:shd w:val="clear" w:color="auto" w:fill="FFFFFF"/>
        <w:spacing w:after="0" w:line="234" w:lineRule="atLeast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7" w:name="dieu_5"/>
      <w:bookmarkEnd w:id="6"/>
      <w:r w:rsidRPr="00CC6ED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 xml:space="preserve">Điều </w:t>
      </w:r>
      <w:r w:rsidR="00BE328D" w:rsidRPr="00954E4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4</w:t>
      </w:r>
      <w:r w:rsidRPr="00CC6ED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vi-VN"/>
        </w:rPr>
        <w:t>. Tổ chức thực hiện</w:t>
      </w:r>
      <w:bookmarkEnd w:id="7"/>
    </w:p>
    <w:p w:rsidR="00CC6EDD" w:rsidRPr="00CC6EDD" w:rsidRDefault="00CC6EDD" w:rsidP="00BE328D">
      <w:pPr>
        <w:shd w:val="clear" w:color="auto" w:fill="FFFFFF"/>
        <w:spacing w:before="120" w:after="120" w:line="234" w:lineRule="atLeast"/>
        <w:ind w:firstLine="720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1. </w:t>
      </w:r>
      <w:r w:rsidR="00312323" w:rsidRPr="00312323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Thông tư này có hiệu lực kể từ ngày</w:t>
      </w:r>
      <w:r w:rsidR="00845016" w:rsidRPr="00845016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01</w:t>
      </w:r>
      <w:r w:rsidR="00BE328D" w:rsidRPr="00BE328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tháng </w:t>
      </w:r>
      <w:r w:rsidR="00845016" w:rsidRPr="00845016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9</w:t>
      </w: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 </w:t>
      </w:r>
      <w:r w:rsidR="00207187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năm 20</w:t>
      </w:r>
      <w:r w:rsidR="00207187" w:rsidRPr="005940CF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20</w:t>
      </w: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.</w:t>
      </w:r>
    </w:p>
    <w:p w:rsidR="003729B9" w:rsidRPr="00C74A2C" w:rsidRDefault="00CC6EDD" w:rsidP="003729B9">
      <w:pPr>
        <w:shd w:val="clear" w:color="auto" w:fill="FFFFFF"/>
        <w:spacing w:before="120" w:after="120" w:line="234" w:lineRule="atLeast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2. Trong quá trình thực hiện, nếu</w:t>
      </w:r>
      <w:r w:rsidR="00856E26" w:rsidRPr="00F273DA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có vướng mắc đề nghị các tổ chức, cá nhân phản ánh về Bộ Tài chính (</w:t>
      </w:r>
      <w:r w:rsidR="00BE328D" w:rsidRPr="00BE328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Cục Quản lý, giám sát kế toán, kiểm toán</w:t>
      </w:r>
      <w:r w:rsidRPr="00CC6EDD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) để xem xét, hướng dẫn./.</w:t>
      </w:r>
    </w:p>
    <w:p w:rsidR="00C52384" w:rsidRPr="00C74A2C" w:rsidRDefault="00C52384" w:rsidP="003729B9">
      <w:pPr>
        <w:shd w:val="clear" w:color="auto" w:fill="FFFFFF"/>
        <w:spacing w:before="120" w:after="120" w:line="234" w:lineRule="atLeast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8"/>
        <w:gridCol w:w="4252"/>
      </w:tblGrid>
      <w:tr w:rsidR="00CC6EDD" w:rsidRPr="00CC6EDD" w:rsidTr="00C52384">
        <w:trPr>
          <w:tblCellSpacing w:w="0" w:type="dxa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DD" w:rsidRPr="00D00244" w:rsidRDefault="00CC6EDD" w:rsidP="00BE328D">
            <w:pPr>
              <w:spacing w:before="120" w:after="120" w:line="234" w:lineRule="atLeas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6ED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 </w:t>
            </w:r>
            <w:r w:rsidRPr="00CC6EDD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8"/>
                <w:lang w:eastAsia="vi-VN"/>
              </w:rPr>
              <w:t>Nơi nhận:</w:t>
            </w:r>
            <w:r w:rsidRPr="00CC6EDD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8"/>
                <w:lang w:eastAsia="vi-VN"/>
              </w:rPr>
              <w:br/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t>- Văn phòng Quốc hội;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Văn phòng Tổng Bí thư;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Văn phòng Chủ tịch nước;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Văn phòng TƯ và các Ban của Đảng;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Văn phòng Ban chỉ đạo TƯ</w:t>
            </w:r>
            <w:r w:rsidRPr="00BE328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t> 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t>về phòng chống tham nhũng;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Thủ tướng, các Phó Thủ tướng Chính phủ;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Các Bộ, cơ quan ngang Bộ, cơ quan thuộc Chính phủ;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Viện Kiểm sát nhân dân tối cao;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Tòa</w:t>
            </w:r>
            <w:r w:rsidRPr="00BE328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t> 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t>án nhân dân tối cao;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Kiểm toán nhà nước;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HĐND, UBND các tỉnh, thành phố trực thuộc TƯ;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Website Chính phủ;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Cục Kiểm tra Văn bản (Bộ Tư pháp);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Các đơn vị thuộc Bộ Tài chính;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Website Bộ Tài chính, UBCKNN;</w:t>
            </w:r>
            <w:r w:rsidRPr="00CC6ED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br/>
              <w:t>- Lưu: VT,</w:t>
            </w:r>
            <w:r w:rsidRPr="00BE328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t> </w:t>
            </w:r>
            <w:r w:rsidR="00BE328D" w:rsidRPr="00BE328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t>QLKT</w:t>
            </w:r>
            <w:r w:rsidR="00845016" w:rsidRPr="00845016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  <w:lang w:eastAsia="vi-VN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7B" w:rsidRPr="00C52384" w:rsidRDefault="00FF4A74" w:rsidP="00BE3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FF4A7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KT. BỘ TRƯỞNG</w:t>
            </w:r>
            <w:r w:rsidRPr="00FF4A7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THỨ TRƯỞNG</w:t>
            </w:r>
            <w:r w:rsidRPr="00FF4A7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FF4A7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</w:p>
          <w:p w:rsidR="00CC6EDD" w:rsidRPr="00CC6EDD" w:rsidRDefault="00CC6EDD" w:rsidP="00BE328D">
            <w:pPr>
              <w:spacing w:before="120" w:after="12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6ED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CC6ED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Pr="00CC6EDD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br/>
            </w:r>
            <w:r w:rsidR="00BE328D" w:rsidRPr="00BE328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vi-VN"/>
              </w:rPr>
              <w:t>Đỗ Hoàng Anh Tuấn</w:t>
            </w:r>
          </w:p>
        </w:tc>
      </w:tr>
    </w:tbl>
    <w:p w:rsidR="005D4698" w:rsidRDefault="005D4698">
      <w:pPr>
        <w:shd w:val="clear" w:color="auto" w:fill="FFFFFF"/>
        <w:spacing w:before="120" w:after="0" w:line="234" w:lineRule="atLeast"/>
        <w:ind w:right="30"/>
        <w:jc w:val="center"/>
        <w:rPr>
          <w:rFonts w:asciiTheme="majorHAnsi" w:hAnsiTheme="majorHAnsi" w:cstheme="majorHAnsi"/>
          <w:i/>
          <w:sz w:val="24"/>
          <w:szCs w:val="28"/>
          <w:lang w:val="en-US"/>
        </w:rPr>
      </w:pPr>
      <w:bookmarkStart w:id="8" w:name="_Toc481066055"/>
      <w:bookmarkStart w:id="9" w:name="_Toc481066056"/>
      <w:bookmarkStart w:id="10" w:name="_Toc481066057"/>
      <w:bookmarkStart w:id="11" w:name="_GoBack"/>
      <w:bookmarkEnd w:id="8"/>
      <w:bookmarkEnd w:id="9"/>
      <w:bookmarkEnd w:id="10"/>
      <w:bookmarkEnd w:id="11"/>
    </w:p>
    <w:sectPr w:rsidR="005D4698" w:rsidSect="00382A39">
      <w:head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6C" w:rsidRDefault="00FD2D6C" w:rsidP="001A2DFE">
      <w:pPr>
        <w:spacing w:after="0" w:line="240" w:lineRule="auto"/>
      </w:pPr>
      <w:r>
        <w:separator/>
      </w:r>
    </w:p>
  </w:endnote>
  <w:endnote w:type="continuationSeparator" w:id="1">
    <w:p w:rsidR="00FD2D6C" w:rsidRDefault="00FD2D6C" w:rsidP="001A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6C" w:rsidRDefault="00FD2D6C">
    <w:pPr>
      <w:pStyle w:val="Footer"/>
      <w:jc w:val="center"/>
    </w:pPr>
  </w:p>
  <w:p w:rsidR="00FD2D6C" w:rsidRDefault="00FD2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6C" w:rsidRDefault="00FD2D6C" w:rsidP="001A2DFE">
      <w:pPr>
        <w:spacing w:after="0" w:line="240" w:lineRule="auto"/>
      </w:pPr>
      <w:r>
        <w:separator/>
      </w:r>
    </w:p>
  </w:footnote>
  <w:footnote w:type="continuationSeparator" w:id="1">
    <w:p w:rsidR="00FD2D6C" w:rsidRDefault="00FD2D6C" w:rsidP="001A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6C" w:rsidRDefault="00FD2D6C">
    <w:pPr>
      <w:pStyle w:val="Header"/>
      <w:jc w:val="center"/>
    </w:pPr>
  </w:p>
  <w:p w:rsidR="00FD2D6C" w:rsidRDefault="00FD2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189123"/>
      <w:docPartObj>
        <w:docPartGallery w:val="Page Numbers (Top of Page)"/>
        <w:docPartUnique/>
      </w:docPartObj>
    </w:sdtPr>
    <w:sdtContent>
      <w:p w:rsidR="00FD2D6C" w:rsidRDefault="00DA0D9F">
        <w:pPr>
          <w:pStyle w:val="Header"/>
          <w:jc w:val="center"/>
        </w:pPr>
        <w:fldSimple w:instr=" PAGE   \* MERGEFORMAT ">
          <w:r w:rsidR="00177991">
            <w:rPr>
              <w:noProof/>
            </w:rPr>
            <w:t>2</w:t>
          </w:r>
        </w:fldSimple>
      </w:p>
    </w:sdtContent>
  </w:sdt>
  <w:p w:rsidR="00FD2D6C" w:rsidRDefault="00FD2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ECC"/>
    <w:multiLevelType w:val="hybridMultilevel"/>
    <w:tmpl w:val="F26A80F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537D85"/>
    <w:multiLevelType w:val="hybridMultilevel"/>
    <w:tmpl w:val="4DFAE9DE"/>
    <w:lvl w:ilvl="0" w:tplc="79706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902A3"/>
    <w:multiLevelType w:val="hybridMultilevel"/>
    <w:tmpl w:val="92BCA88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4E3ADB"/>
    <w:multiLevelType w:val="multilevel"/>
    <w:tmpl w:val="3A04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D5478E"/>
    <w:multiLevelType w:val="hybridMultilevel"/>
    <w:tmpl w:val="447216E2"/>
    <w:lvl w:ilvl="0" w:tplc="E82C7684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DC4BBA"/>
    <w:multiLevelType w:val="hybridMultilevel"/>
    <w:tmpl w:val="D65E5CE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B60BB"/>
    <w:multiLevelType w:val="hybridMultilevel"/>
    <w:tmpl w:val="C142747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0351"/>
    <w:multiLevelType w:val="multilevel"/>
    <w:tmpl w:val="FBBAB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BB23165"/>
    <w:multiLevelType w:val="hybridMultilevel"/>
    <w:tmpl w:val="34EC90DE"/>
    <w:lvl w:ilvl="0" w:tplc="318E8AD6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DD0FCC"/>
    <w:multiLevelType w:val="multilevel"/>
    <w:tmpl w:val="BBE4AB5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CE541A6"/>
    <w:multiLevelType w:val="hybridMultilevel"/>
    <w:tmpl w:val="5B541386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56C6F"/>
    <w:multiLevelType w:val="multilevel"/>
    <w:tmpl w:val="FBBAB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10D20F9"/>
    <w:multiLevelType w:val="hybridMultilevel"/>
    <w:tmpl w:val="D5A257B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B7E4A"/>
    <w:multiLevelType w:val="hybridMultilevel"/>
    <w:tmpl w:val="DE4C91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07931"/>
    <w:multiLevelType w:val="hybridMultilevel"/>
    <w:tmpl w:val="CE30C4A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23EDF"/>
    <w:multiLevelType w:val="hybridMultilevel"/>
    <w:tmpl w:val="1F36D91A"/>
    <w:lvl w:ilvl="0" w:tplc="B9742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E7165F"/>
    <w:multiLevelType w:val="hybridMultilevel"/>
    <w:tmpl w:val="B9D22930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A5F11"/>
    <w:multiLevelType w:val="hybridMultilevel"/>
    <w:tmpl w:val="657A724A"/>
    <w:lvl w:ilvl="0" w:tplc="61324FF8">
      <w:numFmt w:val="bullet"/>
      <w:lvlText w:val="•"/>
      <w:lvlJc w:val="left"/>
      <w:pPr>
        <w:ind w:left="1275" w:hanging="360"/>
      </w:pPr>
      <w:rPr>
        <w:rFonts w:ascii="inherit" w:eastAsia="Times New Roman" w:hAnsi="inherit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380847E5"/>
    <w:multiLevelType w:val="hybridMultilevel"/>
    <w:tmpl w:val="AEB86FC0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205B75"/>
    <w:multiLevelType w:val="hybridMultilevel"/>
    <w:tmpl w:val="80BAD420"/>
    <w:lvl w:ilvl="0" w:tplc="EBE42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006DCB"/>
    <w:multiLevelType w:val="hybridMultilevel"/>
    <w:tmpl w:val="5D76D452"/>
    <w:lvl w:ilvl="0" w:tplc="4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3D14721F"/>
    <w:multiLevelType w:val="hybridMultilevel"/>
    <w:tmpl w:val="DA5479A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36F76"/>
    <w:multiLevelType w:val="hybridMultilevel"/>
    <w:tmpl w:val="3916697C"/>
    <w:lvl w:ilvl="0" w:tplc="01E89B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793777"/>
    <w:multiLevelType w:val="hybridMultilevel"/>
    <w:tmpl w:val="0B6681F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453A2"/>
    <w:multiLevelType w:val="hybridMultilevel"/>
    <w:tmpl w:val="67D6D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41D15"/>
    <w:multiLevelType w:val="hybridMultilevel"/>
    <w:tmpl w:val="23C0D592"/>
    <w:lvl w:ilvl="0" w:tplc="741CD2A8">
      <w:numFmt w:val="bullet"/>
      <w:lvlText w:val="•"/>
      <w:lvlJc w:val="left"/>
      <w:pPr>
        <w:ind w:left="1080" w:hanging="360"/>
      </w:pPr>
      <w:rPr>
        <w:rFonts w:ascii="inherit" w:eastAsia="Times New Roman" w:hAnsi="inherit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EF2810"/>
    <w:multiLevelType w:val="hybridMultilevel"/>
    <w:tmpl w:val="3F24B84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B4E52"/>
    <w:multiLevelType w:val="hybridMultilevel"/>
    <w:tmpl w:val="65BA18FA"/>
    <w:lvl w:ilvl="0" w:tplc="E542A8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01768F"/>
    <w:multiLevelType w:val="hybridMultilevel"/>
    <w:tmpl w:val="F26A80F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B866EE5"/>
    <w:multiLevelType w:val="multilevel"/>
    <w:tmpl w:val="DDF20A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5C7A7C5B"/>
    <w:multiLevelType w:val="hybridMultilevel"/>
    <w:tmpl w:val="EAC62DD4"/>
    <w:lvl w:ilvl="0" w:tplc="AE0A60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D934CC"/>
    <w:multiLevelType w:val="multilevel"/>
    <w:tmpl w:val="ED8E1F18"/>
    <w:lvl w:ilvl="0">
      <w:start w:val="1"/>
      <w:numFmt w:val="decimal"/>
      <w:pStyle w:val="Tit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2">
    <w:nsid w:val="60294FC1"/>
    <w:multiLevelType w:val="multilevel"/>
    <w:tmpl w:val="FBBAB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1106751"/>
    <w:multiLevelType w:val="hybridMultilevel"/>
    <w:tmpl w:val="FD1476EC"/>
    <w:lvl w:ilvl="0" w:tplc="657CBE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204309"/>
    <w:multiLevelType w:val="hybridMultilevel"/>
    <w:tmpl w:val="E3D402AA"/>
    <w:lvl w:ilvl="0" w:tplc="A072B9C0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inorHAnsi" w:hAnsiTheme="majorHAnsi" w:cstheme="majorHAnsi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27B53D4"/>
    <w:multiLevelType w:val="hybridMultilevel"/>
    <w:tmpl w:val="65BC51DC"/>
    <w:lvl w:ilvl="0" w:tplc="EEF8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32123"/>
    <w:multiLevelType w:val="hybridMultilevel"/>
    <w:tmpl w:val="81028F3C"/>
    <w:lvl w:ilvl="0" w:tplc="B928D3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BE35CB"/>
    <w:multiLevelType w:val="hybridMultilevel"/>
    <w:tmpl w:val="F26A80F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C1B0AEC"/>
    <w:multiLevelType w:val="hybridMultilevel"/>
    <w:tmpl w:val="72D6029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B6693"/>
    <w:multiLevelType w:val="hybridMultilevel"/>
    <w:tmpl w:val="0E927364"/>
    <w:lvl w:ilvl="0" w:tplc="139A762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1B5D33"/>
    <w:multiLevelType w:val="hybridMultilevel"/>
    <w:tmpl w:val="67A6AD0E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CB675E"/>
    <w:multiLevelType w:val="hybridMultilevel"/>
    <w:tmpl w:val="7450AEE8"/>
    <w:lvl w:ilvl="0" w:tplc="042A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7D1665"/>
    <w:multiLevelType w:val="hybridMultilevel"/>
    <w:tmpl w:val="102E36A4"/>
    <w:lvl w:ilvl="0" w:tplc="38EE4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34583D"/>
    <w:multiLevelType w:val="hybridMultilevel"/>
    <w:tmpl w:val="D8F02FB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53C7C"/>
    <w:multiLevelType w:val="multilevel"/>
    <w:tmpl w:val="2BE8CC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38"/>
  </w:num>
  <w:num w:numId="4">
    <w:abstractNumId w:val="5"/>
  </w:num>
  <w:num w:numId="5">
    <w:abstractNumId w:val="26"/>
  </w:num>
  <w:num w:numId="6">
    <w:abstractNumId w:val="23"/>
  </w:num>
  <w:num w:numId="7">
    <w:abstractNumId w:val="21"/>
  </w:num>
  <w:num w:numId="8">
    <w:abstractNumId w:val="10"/>
  </w:num>
  <w:num w:numId="9">
    <w:abstractNumId w:val="17"/>
  </w:num>
  <w:num w:numId="10">
    <w:abstractNumId w:val="43"/>
  </w:num>
  <w:num w:numId="11">
    <w:abstractNumId w:val="18"/>
  </w:num>
  <w:num w:numId="12">
    <w:abstractNumId w:val="22"/>
  </w:num>
  <w:num w:numId="13">
    <w:abstractNumId w:val="15"/>
  </w:num>
  <w:num w:numId="14">
    <w:abstractNumId w:val="31"/>
  </w:num>
  <w:num w:numId="15">
    <w:abstractNumId w:val="12"/>
  </w:num>
  <w:num w:numId="16">
    <w:abstractNumId w:val="8"/>
  </w:num>
  <w:num w:numId="17">
    <w:abstractNumId w:val="40"/>
  </w:num>
  <w:num w:numId="18">
    <w:abstractNumId w:val="14"/>
  </w:num>
  <w:num w:numId="19">
    <w:abstractNumId w:val="35"/>
  </w:num>
  <w:num w:numId="20">
    <w:abstractNumId w:val="2"/>
  </w:num>
  <w:num w:numId="21">
    <w:abstractNumId w:val="3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24"/>
  </w:num>
  <w:num w:numId="27">
    <w:abstractNumId w:val="32"/>
  </w:num>
  <w:num w:numId="28">
    <w:abstractNumId w:val="7"/>
  </w:num>
  <w:num w:numId="29">
    <w:abstractNumId w:val="9"/>
  </w:num>
  <w:num w:numId="30">
    <w:abstractNumId w:val="11"/>
  </w:num>
  <w:num w:numId="31">
    <w:abstractNumId w:val="13"/>
  </w:num>
  <w:num w:numId="32">
    <w:abstractNumId w:val="36"/>
  </w:num>
  <w:num w:numId="33">
    <w:abstractNumId w:val="6"/>
  </w:num>
  <w:num w:numId="34">
    <w:abstractNumId w:val="33"/>
  </w:num>
  <w:num w:numId="35">
    <w:abstractNumId w:val="1"/>
  </w:num>
  <w:num w:numId="36">
    <w:abstractNumId w:val="30"/>
  </w:num>
  <w:num w:numId="37">
    <w:abstractNumId w:val="42"/>
  </w:num>
  <w:num w:numId="38">
    <w:abstractNumId w:val="27"/>
  </w:num>
  <w:num w:numId="39">
    <w:abstractNumId w:val="4"/>
  </w:num>
  <w:num w:numId="40">
    <w:abstractNumId w:val="41"/>
  </w:num>
  <w:num w:numId="41">
    <w:abstractNumId w:val="19"/>
  </w:num>
  <w:num w:numId="42">
    <w:abstractNumId w:val="20"/>
  </w:num>
  <w:num w:numId="43">
    <w:abstractNumId w:val="44"/>
  </w:num>
  <w:num w:numId="44">
    <w:abstractNumId w:val="29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EDD"/>
    <w:rsid w:val="000229DA"/>
    <w:rsid w:val="0003270A"/>
    <w:rsid w:val="0004595E"/>
    <w:rsid w:val="00084AE6"/>
    <w:rsid w:val="00091ED8"/>
    <w:rsid w:val="000D3688"/>
    <w:rsid w:val="000F09DD"/>
    <w:rsid w:val="00101E84"/>
    <w:rsid w:val="001136F8"/>
    <w:rsid w:val="00113B7F"/>
    <w:rsid w:val="00117787"/>
    <w:rsid w:val="00124E03"/>
    <w:rsid w:val="00177991"/>
    <w:rsid w:val="001A2DFE"/>
    <w:rsid w:val="001B6242"/>
    <w:rsid w:val="001D4501"/>
    <w:rsid w:val="00207187"/>
    <w:rsid w:val="00295E0F"/>
    <w:rsid w:val="002B00CE"/>
    <w:rsid w:val="002B74FE"/>
    <w:rsid w:val="002E40EE"/>
    <w:rsid w:val="00312323"/>
    <w:rsid w:val="00317576"/>
    <w:rsid w:val="00351C85"/>
    <w:rsid w:val="003613CA"/>
    <w:rsid w:val="00364A71"/>
    <w:rsid w:val="003729B9"/>
    <w:rsid w:val="00382A39"/>
    <w:rsid w:val="00383E09"/>
    <w:rsid w:val="00392925"/>
    <w:rsid w:val="003E012F"/>
    <w:rsid w:val="003E7116"/>
    <w:rsid w:val="00424FCA"/>
    <w:rsid w:val="004E0CE8"/>
    <w:rsid w:val="004E647B"/>
    <w:rsid w:val="005174E3"/>
    <w:rsid w:val="00524617"/>
    <w:rsid w:val="00555097"/>
    <w:rsid w:val="00576847"/>
    <w:rsid w:val="00583646"/>
    <w:rsid w:val="00586644"/>
    <w:rsid w:val="005940CF"/>
    <w:rsid w:val="005A5CD6"/>
    <w:rsid w:val="005D4698"/>
    <w:rsid w:val="005F57F6"/>
    <w:rsid w:val="00610152"/>
    <w:rsid w:val="00635B3E"/>
    <w:rsid w:val="00636A27"/>
    <w:rsid w:val="006C4F2F"/>
    <w:rsid w:val="006E0BF7"/>
    <w:rsid w:val="006F0102"/>
    <w:rsid w:val="0072208C"/>
    <w:rsid w:val="0073189E"/>
    <w:rsid w:val="007359B7"/>
    <w:rsid w:val="00753D4B"/>
    <w:rsid w:val="00790138"/>
    <w:rsid w:val="00797560"/>
    <w:rsid w:val="007A7498"/>
    <w:rsid w:val="007D33E8"/>
    <w:rsid w:val="007D5385"/>
    <w:rsid w:val="007F1B60"/>
    <w:rsid w:val="007F5AB4"/>
    <w:rsid w:val="00832C1B"/>
    <w:rsid w:val="00845016"/>
    <w:rsid w:val="00846EE6"/>
    <w:rsid w:val="00856E26"/>
    <w:rsid w:val="0086715A"/>
    <w:rsid w:val="008903C5"/>
    <w:rsid w:val="00892B6A"/>
    <w:rsid w:val="00894CD1"/>
    <w:rsid w:val="008B3708"/>
    <w:rsid w:val="00943409"/>
    <w:rsid w:val="00947E72"/>
    <w:rsid w:val="0095325E"/>
    <w:rsid w:val="00954E4B"/>
    <w:rsid w:val="00986FED"/>
    <w:rsid w:val="009A1915"/>
    <w:rsid w:val="00A15D52"/>
    <w:rsid w:val="00A35527"/>
    <w:rsid w:val="00A357A5"/>
    <w:rsid w:val="00A42F71"/>
    <w:rsid w:val="00A63B1F"/>
    <w:rsid w:val="00A64042"/>
    <w:rsid w:val="00A8383D"/>
    <w:rsid w:val="00AB3F30"/>
    <w:rsid w:val="00AB5202"/>
    <w:rsid w:val="00AD7AE2"/>
    <w:rsid w:val="00B25BBA"/>
    <w:rsid w:val="00B26E2C"/>
    <w:rsid w:val="00B327D7"/>
    <w:rsid w:val="00B40901"/>
    <w:rsid w:val="00B606C1"/>
    <w:rsid w:val="00B6095C"/>
    <w:rsid w:val="00B64024"/>
    <w:rsid w:val="00BE20EC"/>
    <w:rsid w:val="00BE2263"/>
    <w:rsid w:val="00BE328D"/>
    <w:rsid w:val="00BF2874"/>
    <w:rsid w:val="00C05DC9"/>
    <w:rsid w:val="00C33C75"/>
    <w:rsid w:val="00C4105F"/>
    <w:rsid w:val="00C52384"/>
    <w:rsid w:val="00C74A2C"/>
    <w:rsid w:val="00C8077B"/>
    <w:rsid w:val="00C91912"/>
    <w:rsid w:val="00C963CD"/>
    <w:rsid w:val="00CC6EDD"/>
    <w:rsid w:val="00D00244"/>
    <w:rsid w:val="00D26C89"/>
    <w:rsid w:val="00D33EB6"/>
    <w:rsid w:val="00D8282E"/>
    <w:rsid w:val="00D95A06"/>
    <w:rsid w:val="00DA0D9F"/>
    <w:rsid w:val="00DB262C"/>
    <w:rsid w:val="00E05387"/>
    <w:rsid w:val="00E20CB3"/>
    <w:rsid w:val="00E25FE3"/>
    <w:rsid w:val="00E659F2"/>
    <w:rsid w:val="00E85774"/>
    <w:rsid w:val="00EA3321"/>
    <w:rsid w:val="00EB14E3"/>
    <w:rsid w:val="00EC09AA"/>
    <w:rsid w:val="00ED7820"/>
    <w:rsid w:val="00F217B5"/>
    <w:rsid w:val="00F273DA"/>
    <w:rsid w:val="00F82988"/>
    <w:rsid w:val="00F90C42"/>
    <w:rsid w:val="00FB01CF"/>
    <w:rsid w:val="00FB31D2"/>
    <w:rsid w:val="00FC16B0"/>
    <w:rsid w:val="00FD2D6C"/>
    <w:rsid w:val="00FF133B"/>
    <w:rsid w:val="00FF3C4F"/>
    <w:rsid w:val="00FF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02"/>
  </w:style>
  <w:style w:type="paragraph" w:styleId="Heading1">
    <w:name w:val="heading 1"/>
    <w:basedOn w:val="ListParagraph"/>
    <w:next w:val="Normal"/>
    <w:link w:val="Heading1Char"/>
    <w:uiPriority w:val="9"/>
    <w:qFormat/>
    <w:rsid w:val="00894CD1"/>
    <w:pPr>
      <w:numPr>
        <w:numId w:val="44"/>
      </w:numPr>
      <w:spacing w:before="120" w:after="120" w:line="240" w:lineRule="auto"/>
      <w:ind w:left="567" w:hanging="567"/>
      <w:jc w:val="both"/>
      <w:outlineLvl w:val="0"/>
    </w:pPr>
    <w:rPr>
      <w:rFonts w:ascii="Trebuchet MS" w:hAnsi="Trebuchet MS" w:cs="Arial"/>
      <w:b/>
      <w:caps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94CD1"/>
    <w:pPr>
      <w:keepNext/>
      <w:keepLines/>
      <w:numPr>
        <w:ilvl w:val="1"/>
        <w:numId w:val="44"/>
      </w:numPr>
      <w:spacing w:before="40" w:after="40" w:line="240" w:lineRule="auto"/>
      <w:ind w:left="567" w:hanging="567"/>
      <w:jc w:val="both"/>
      <w:outlineLvl w:val="1"/>
    </w:pPr>
    <w:rPr>
      <w:rFonts w:ascii="Trebuchet MS" w:eastAsiaTheme="majorEastAsia" w:hAnsi="Trebuchet MS" w:cstheme="majorBidi"/>
      <w:b/>
      <w:sz w:val="20"/>
      <w:szCs w:val="20"/>
      <w:lang w:val="en-S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CD1"/>
    <w:pPr>
      <w:keepNext/>
      <w:keepLines/>
      <w:numPr>
        <w:ilvl w:val="2"/>
        <w:numId w:val="44"/>
      </w:numPr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S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CD1"/>
    <w:pPr>
      <w:keepNext/>
      <w:keepLines/>
      <w:numPr>
        <w:ilvl w:val="3"/>
        <w:numId w:val="4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CD1"/>
    <w:pPr>
      <w:keepNext/>
      <w:keepLines/>
      <w:numPr>
        <w:ilvl w:val="4"/>
        <w:numId w:val="4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CD1"/>
    <w:pPr>
      <w:keepNext/>
      <w:keepLines/>
      <w:numPr>
        <w:ilvl w:val="5"/>
        <w:numId w:val="4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CD1"/>
    <w:pPr>
      <w:keepNext/>
      <w:keepLines/>
      <w:numPr>
        <w:ilvl w:val="6"/>
        <w:numId w:val="4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CD1"/>
    <w:pPr>
      <w:keepNext/>
      <w:keepLines/>
      <w:numPr>
        <w:ilvl w:val="7"/>
        <w:numId w:val="4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CD1"/>
    <w:pPr>
      <w:keepNext/>
      <w:keepLines/>
      <w:numPr>
        <w:ilvl w:val="8"/>
        <w:numId w:val="4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CC6EDD"/>
  </w:style>
  <w:style w:type="character" w:styleId="Hyperlink">
    <w:name w:val="Hyperlink"/>
    <w:basedOn w:val="DefaultParagraphFont"/>
    <w:uiPriority w:val="99"/>
    <w:semiHidden/>
    <w:unhideWhenUsed/>
    <w:rsid w:val="00CC6ED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7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7116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7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1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11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FE"/>
  </w:style>
  <w:style w:type="paragraph" w:styleId="Footer">
    <w:name w:val="footer"/>
    <w:basedOn w:val="Normal"/>
    <w:link w:val="FooterChar"/>
    <w:uiPriority w:val="99"/>
    <w:unhideWhenUsed/>
    <w:rsid w:val="001A2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FE"/>
  </w:style>
  <w:style w:type="paragraph" w:styleId="Title">
    <w:name w:val="Title"/>
    <w:basedOn w:val="ListParagraph"/>
    <w:link w:val="TitleChar"/>
    <w:qFormat/>
    <w:rsid w:val="005174E3"/>
    <w:pPr>
      <w:numPr>
        <w:numId w:val="14"/>
      </w:numPr>
      <w:spacing w:after="80" w:line="240" w:lineRule="auto"/>
      <w:jc w:val="both"/>
      <w:outlineLvl w:val="0"/>
    </w:pPr>
    <w:rPr>
      <w:rFonts w:ascii="Trebuchet MS" w:hAnsi="Trebuchet MS" w:cs="Arial"/>
      <w:b/>
      <w:cap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174E3"/>
    <w:rPr>
      <w:rFonts w:ascii="Trebuchet MS" w:hAnsi="Trebuchet MS" w:cs="Arial"/>
      <w:b/>
      <w:cap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4CD1"/>
    <w:rPr>
      <w:rFonts w:ascii="Trebuchet MS" w:hAnsi="Trebuchet MS" w:cs="Arial"/>
      <w:b/>
      <w:caps/>
      <w:sz w:val="20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94CD1"/>
    <w:rPr>
      <w:rFonts w:ascii="Trebuchet MS" w:eastAsiaTheme="majorEastAsia" w:hAnsi="Trebuchet MS" w:cstheme="majorBidi"/>
      <w:b/>
      <w:sz w:val="20"/>
      <w:szCs w:val="20"/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894C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S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CD1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CD1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CD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CD1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C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C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AE6"/>
    <w:rPr>
      <w:b/>
      <w:bCs/>
      <w:lang w:val="vi-V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AE6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uatvietnam.vn/ke-toan/luat-ke-toan-2015-101336-d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letuyetnhung</dc:creator>
  <cp:lastModifiedBy>hathiphuongthanh</cp:lastModifiedBy>
  <cp:revision>13</cp:revision>
  <cp:lastPrinted>2020-06-30T09:10:00Z</cp:lastPrinted>
  <dcterms:created xsi:type="dcterms:W3CDTF">2020-05-29T03:56:00Z</dcterms:created>
  <dcterms:modified xsi:type="dcterms:W3CDTF">2020-07-21T08:59:00Z</dcterms:modified>
</cp:coreProperties>
</file>