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jc w:val="center"/>
        <w:tblLook w:val="01E0" w:firstRow="1" w:lastRow="1" w:firstColumn="1" w:lastColumn="1" w:noHBand="0" w:noVBand="0"/>
      </w:tblPr>
      <w:tblGrid>
        <w:gridCol w:w="3556"/>
        <w:gridCol w:w="6488"/>
      </w:tblGrid>
      <w:tr w:rsidR="00900767" w:rsidRPr="006278F4" w:rsidTr="00B0278F">
        <w:trPr>
          <w:jc w:val="center"/>
        </w:trPr>
        <w:tc>
          <w:tcPr>
            <w:tcW w:w="3556" w:type="dxa"/>
          </w:tcPr>
          <w:p w:rsidR="00900767" w:rsidRPr="006278F4" w:rsidRDefault="00900767" w:rsidP="00BC5190">
            <w:pPr>
              <w:widowControl w:val="0"/>
              <w:spacing w:after="0"/>
              <w:ind w:firstLine="0"/>
              <w:jc w:val="center"/>
              <w:rPr>
                <w:b/>
                <w:bCs/>
                <w:sz w:val="26"/>
                <w:szCs w:val="26"/>
                <w:lang w:val="vi-VN"/>
              </w:rPr>
            </w:pPr>
            <w:bookmarkStart w:id="0" w:name="_GoBack"/>
            <w:bookmarkEnd w:id="0"/>
            <w:r w:rsidRPr="006278F4">
              <w:rPr>
                <w:b/>
                <w:bCs/>
                <w:sz w:val="26"/>
                <w:szCs w:val="26"/>
                <w:lang w:val="vi-VN"/>
              </w:rPr>
              <w:t xml:space="preserve">ỦY BAN GIÁM SÁT </w:t>
            </w:r>
          </w:p>
          <w:p w:rsidR="00900767" w:rsidRPr="006278F4" w:rsidRDefault="00900767" w:rsidP="00BC5190">
            <w:pPr>
              <w:widowControl w:val="0"/>
              <w:spacing w:after="0"/>
              <w:ind w:firstLine="0"/>
              <w:jc w:val="center"/>
              <w:rPr>
                <w:b/>
                <w:bCs/>
                <w:sz w:val="26"/>
                <w:szCs w:val="26"/>
                <w:lang w:val="vi-VN"/>
              </w:rPr>
            </w:pPr>
            <w:r w:rsidRPr="006278F4">
              <w:rPr>
                <w:b/>
                <w:bCs/>
                <w:sz w:val="26"/>
                <w:szCs w:val="26"/>
                <w:lang w:val="vi-VN"/>
              </w:rPr>
              <w:t>TÀI CHÍNH QUỐC GIA</w:t>
            </w:r>
          </w:p>
          <w:p w:rsidR="00900767" w:rsidRPr="006278F4" w:rsidRDefault="0042097C" w:rsidP="00BC5190">
            <w:pPr>
              <w:widowControl w:val="0"/>
              <w:spacing w:after="0"/>
              <w:ind w:firstLine="0"/>
              <w:jc w:val="center"/>
              <w:rPr>
                <w:sz w:val="26"/>
                <w:szCs w:val="26"/>
                <w:lang w:val="vi-VN"/>
              </w:rPr>
            </w:pPr>
            <w:r>
              <w:rPr>
                <w:noProof/>
                <w:sz w:val="26"/>
                <w:szCs w:val="26"/>
              </w:rPr>
              <mc:AlternateContent>
                <mc:Choice Requires="wps">
                  <w:drawing>
                    <wp:anchor distT="4294967291" distB="4294967291" distL="114300" distR="114300" simplePos="0" relativeHeight="251656192" behindDoc="0" locked="0" layoutInCell="1" allowOverlap="1">
                      <wp:simplePos x="0" y="0"/>
                      <wp:positionH relativeFrom="column">
                        <wp:posOffset>647700</wp:posOffset>
                      </wp:positionH>
                      <wp:positionV relativeFrom="paragraph">
                        <wp:posOffset>44449</wp:posOffset>
                      </wp:positionV>
                      <wp:extent cx="695325" cy="0"/>
                      <wp:effectExtent l="0" t="0" r="9525"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bEAIAACg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"/>
                  </w:pict>
                </mc:Fallback>
              </mc:AlternateContent>
            </w:r>
          </w:p>
          <w:p w:rsidR="00900767" w:rsidRPr="006278F4" w:rsidRDefault="00900767" w:rsidP="00BC5190">
            <w:pPr>
              <w:widowControl w:val="0"/>
              <w:spacing w:after="0"/>
              <w:ind w:firstLine="0"/>
              <w:jc w:val="center"/>
              <w:rPr>
                <w:sz w:val="26"/>
                <w:szCs w:val="26"/>
                <w:lang w:val="vi-VN"/>
              </w:rPr>
            </w:pPr>
            <w:r w:rsidRPr="006278F4">
              <w:rPr>
                <w:sz w:val="26"/>
                <w:szCs w:val="26"/>
                <w:lang w:val="vi-VN"/>
              </w:rPr>
              <w:t>Số:        /</w:t>
            </w:r>
            <w:r w:rsidR="000E5F9F" w:rsidRPr="006278F4">
              <w:rPr>
                <w:sz w:val="26"/>
                <w:szCs w:val="26"/>
              </w:rPr>
              <w:t>BC-</w:t>
            </w:r>
            <w:r w:rsidRPr="006278F4">
              <w:rPr>
                <w:sz w:val="26"/>
                <w:szCs w:val="26"/>
                <w:lang w:val="vi-VN"/>
              </w:rPr>
              <w:t>UBGSTCQG</w:t>
            </w:r>
          </w:p>
        </w:tc>
        <w:tc>
          <w:tcPr>
            <w:tcW w:w="6488" w:type="dxa"/>
          </w:tcPr>
          <w:p w:rsidR="00900767" w:rsidRPr="006278F4" w:rsidRDefault="00900767" w:rsidP="00BC5190">
            <w:pPr>
              <w:widowControl w:val="0"/>
              <w:spacing w:after="0"/>
              <w:jc w:val="center"/>
              <w:rPr>
                <w:b/>
                <w:bCs/>
                <w:sz w:val="26"/>
                <w:szCs w:val="26"/>
                <w:lang w:val="vi-VN"/>
              </w:rPr>
            </w:pPr>
            <w:r w:rsidRPr="006278F4">
              <w:rPr>
                <w:b/>
                <w:bCs/>
                <w:sz w:val="26"/>
                <w:szCs w:val="26"/>
                <w:lang w:val="vi-VN"/>
              </w:rPr>
              <w:t>CỘNG HÒA XÃ HỘI CHỦ NGHĨA VIỆT NAM</w:t>
            </w:r>
          </w:p>
          <w:p w:rsidR="00900767" w:rsidRPr="006278F4" w:rsidRDefault="00900767" w:rsidP="00BC5190">
            <w:pPr>
              <w:widowControl w:val="0"/>
              <w:spacing w:after="0"/>
              <w:jc w:val="center"/>
              <w:rPr>
                <w:b/>
                <w:bCs/>
                <w:sz w:val="26"/>
                <w:szCs w:val="26"/>
                <w:lang w:val="vi-VN"/>
              </w:rPr>
            </w:pPr>
            <w:r w:rsidRPr="006278F4">
              <w:rPr>
                <w:b/>
                <w:bCs/>
                <w:sz w:val="26"/>
                <w:szCs w:val="26"/>
                <w:lang w:val="vi-VN"/>
              </w:rPr>
              <w:t>Độc lập - Tự do - Hạnh phúc</w:t>
            </w:r>
          </w:p>
          <w:p w:rsidR="00900767" w:rsidRPr="006278F4" w:rsidRDefault="0042097C" w:rsidP="00BC5190">
            <w:pPr>
              <w:widowControl w:val="0"/>
              <w:spacing w:after="0"/>
              <w:ind w:left="397"/>
              <w:jc w:val="right"/>
              <w:rPr>
                <w:i/>
                <w:iCs/>
                <w:sz w:val="26"/>
                <w:szCs w:val="26"/>
              </w:rPr>
            </w:pPr>
            <w:r>
              <w:rPr>
                <w:noProof/>
                <w:sz w:val="26"/>
                <w:szCs w:val="26"/>
              </w:rPr>
              <mc:AlternateContent>
                <mc:Choice Requires="wps">
                  <w:drawing>
                    <wp:anchor distT="4294967291" distB="4294967291" distL="114300" distR="114300" simplePos="0" relativeHeight="251657216" behindDoc="0" locked="0" layoutInCell="1" allowOverlap="1">
                      <wp:simplePos x="0" y="0"/>
                      <wp:positionH relativeFrom="column">
                        <wp:posOffset>1181100</wp:posOffset>
                      </wp:positionH>
                      <wp:positionV relativeFrom="paragraph">
                        <wp:posOffset>44449</wp:posOffset>
                      </wp:positionV>
                      <wp:extent cx="2070100" cy="0"/>
                      <wp:effectExtent l="0" t="0" r="2540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sA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"/>
                  </w:pict>
                </mc:Fallback>
              </mc:AlternateContent>
            </w:r>
            <w:r w:rsidR="00900767" w:rsidRPr="006278F4">
              <w:rPr>
                <w:i/>
                <w:iCs/>
                <w:sz w:val="26"/>
                <w:szCs w:val="26"/>
                <w:lang w:val="vi-VN"/>
              </w:rPr>
              <w:t xml:space="preserve">      </w:t>
            </w:r>
          </w:p>
          <w:p w:rsidR="00900767" w:rsidRPr="006278F4" w:rsidRDefault="00900767" w:rsidP="00462767">
            <w:pPr>
              <w:widowControl w:val="0"/>
              <w:spacing w:after="0"/>
              <w:ind w:firstLine="0"/>
              <w:jc w:val="right"/>
              <w:rPr>
                <w:i/>
                <w:iCs/>
                <w:sz w:val="26"/>
                <w:szCs w:val="26"/>
              </w:rPr>
            </w:pPr>
            <w:r w:rsidRPr="006278F4">
              <w:rPr>
                <w:i/>
                <w:iCs/>
                <w:sz w:val="26"/>
                <w:szCs w:val="26"/>
                <w:lang w:val="vi-VN"/>
              </w:rPr>
              <w:t>Hà Nội, ngày</w:t>
            </w:r>
            <w:r w:rsidR="00B0278F" w:rsidRPr="006278F4">
              <w:rPr>
                <w:i/>
                <w:iCs/>
                <w:sz w:val="26"/>
                <w:szCs w:val="26"/>
              </w:rPr>
              <w:t xml:space="preserve"> </w:t>
            </w:r>
            <w:r w:rsidR="00677867" w:rsidRPr="006278F4">
              <w:rPr>
                <w:i/>
                <w:iCs/>
                <w:sz w:val="26"/>
                <w:szCs w:val="26"/>
              </w:rPr>
              <w:t xml:space="preserve"> </w:t>
            </w:r>
            <w:r w:rsidR="00462767" w:rsidRPr="006278F4">
              <w:rPr>
                <w:i/>
                <w:iCs/>
                <w:sz w:val="26"/>
                <w:szCs w:val="26"/>
              </w:rPr>
              <w:t>29</w:t>
            </w:r>
            <w:r w:rsidR="00677867" w:rsidRPr="006278F4">
              <w:rPr>
                <w:i/>
                <w:iCs/>
                <w:sz w:val="26"/>
                <w:szCs w:val="26"/>
              </w:rPr>
              <w:t xml:space="preserve"> </w:t>
            </w:r>
            <w:r w:rsidR="008D56AC" w:rsidRPr="006278F4">
              <w:rPr>
                <w:i/>
                <w:iCs/>
                <w:sz w:val="26"/>
                <w:szCs w:val="26"/>
              </w:rPr>
              <w:t xml:space="preserve"> </w:t>
            </w:r>
            <w:r w:rsidRPr="006278F4">
              <w:rPr>
                <w:i/>
                <w:iCs/>
                <w:sz w:val="26"/>
                <w:szCs w:val="26"/>
                <w:lang w:val="vi-VN"/>
              </w:rPr>
              <w:t>tháng</w:t>
            </w:r>
            <w:r w:rsidR="00BA4FFA" w:rsidRPr="006278F4">
              <w:rPr>
                <w:i/>
                <w:iCs/>
                <w:sz w:val="26"/>
                <w:szCs w:val="26"/>
              </w:rPr>
              <w:t xml:space="preserve"> </w:t>
            </w:r>
            <w:r w:rsidR="00677867" w:rsidRPr="006278F4">
              <w:rPr>
                <w:i/>
                <w:iCs/>
                <w:sz w:val="26"/>
                <w:szCs w:val="26"/>
              </w:rPr>
              <w:t xml:space="preserve"> </w:t>
            </w:r>
            <w:r w:rsidR="00462767" w:rsidRPr="006278F4">
              <w:rPr>
                <w:i/>
                <w:iCs/>
                <w:sz w:val="26"/>
                <w:szCs w:val="26"/>
              </w:rPr>
              <w:t>6</w:t>
            </w:r>
            <w:r w:rsidR="00677867" w:rsidRPr="006278F4">
              <w:rPr>
                <w:i/>
                <w:iCs/>
                <w:sz w:val="26"/>
                <w:szCs w:val="26"/>
              </w:rPr>
              <w:t xml:space="preserve"> </w:t>
            </w:r>
            <w:r w:rsidR="00D63CF0" w:rsidRPr="006278F4">
              <w:rPr>
                <w:i/>
                <w:iCs/>
                <w:sz w:val="26"/>
                <w:szCs w:val="26"/>
              </w:rPr>
              <w:t xml:space="preserve"> </w:t>
            </w:r>
            <w:r w:rsidRPr="006278F4">
              <w:rPr>
                <w:i/>
                <w:iCs/>
                <w:sz w:val="26"/>
                <w:szCs w:val="26"/>
                <w:lang w:val="vi-VN"/>
              </w:rPr>
              <w:t>năm 201</w:t>
            </w:r>
            <w:r w:rsidR="00BA4FFA" w:rsidRPr="006278F4">
              <w:rPr>
                <w:i/>
                <w:iCs/>
                <w:sz w:val="26"/>
                <w:szCs w:val="26"/>
              </w:rPr>
              <w:t>6</w:t>
            </w:r>
          </w:p>
        </w:tc>
      </w:tr>
    </w:tbl>
    <w:p w:rsidR="00900767" w:rsidRPr="006278F4" w:rsidRDefault="00900767" w:rsidP="00BC5190">
      <w:pPr>
        <w:rPr>
          <w:sz w:val="26"/>
          <w:szCs w:val="26"/>
        </w:rPr>
      </w:pPr>
    </w:p>
    <w:p w:rsidR="00900767" w:rsidRPr="006278F4" w:rsidRDefault="00900767" w:rsidP="00BC5190">
      <w:pPr>
        <w:ind w:firstLine="0"/>
        <w:jc w:val="center"/>
        <w:rPr>
          <w:b/>
          <w:sz w:val="26"/>
          <w:szCs w:val="26"/>
        </w:rPr>
      </w:pPr>
    </w:p>
    <w:p w:rsidR="00F22114" w:rsidRPr="00F36FB7" w:rsidRDefault="00F22114" w:rsidP="00F36FB7">
      <w:pPr>
        <w:spacing w:before="120" w:line="288" w:lineRule="auto"/>
        <w:ind w:firstLine="0"/>
        <w:jc w:val="center"/>
        <w:rPr>
          <w:b/>
          <w:sz w:val="26"/>
          <w:szCs w:val="26"/>
        </w:rPr>
      </w:pPr>
      <w:r w:rsidRPr="00F36FB7">
        <w:rPr>
          <w:b/>
          <w:sz w:val="26"/>
          <w:szCs w:val="26"/>
          <w:lang w:val="vi-VN"/>
        </w:rPr>
        <w:t>BÁO CÁO</w:t>
      </w:r>
    </w:p>
    <w:p w:rsidR="00F22114" w:rsidRPr="00F36FB7" w:rsidRDefault="00F22114" w:rsidP="00F36FB7">
      <w:pPr>
        <w:spacing w:before="120" w:line="288" w:lineRule="auto"/>
        <w:ind w:firstLine="0"/>
        <w:jc w:val="center"/>
        <w:rPr>
          <w:b/>
          <w:sz w:val="26"/>
          <w:szCs w:val="26"/>
        </w:rPr>
      </w:pPr>
      <w:r w:rsidRPr="00F36FB7">
        <w:rPr>
          <w:b/>
          <w:sz w:val="26"/>
          <w:szCs w:val="26"/>
        </w:rPr>
        <w:t xml:space="preserve">TÌNH HÌNH KINH TẾ THÁNG </w:t>
      </w:r>
      <w:r w:rsidR="00462767" w:rsidRPr="00F36FB7">
        <w:rPr>
          <w:b/>
          <w:sz w:val="26"/>
          <w:szCs w:val="26"/>
        </w:rPr>
        <w:t>6</w:t>
      </w:r>
      <w:r w:rsidR="007F43DB" w:rsidRPr="00F36FB7">
        <w:rPr>
          <w:b/>
          <w:sz w:val="26"/>
          <w:szCs w:val="26"/>
        </w:rPr>
        <w:t xml:space="preserve"> VÀ </w:t>
      </w:r>
      <w:r w:rsidR="00462767" w:rsidRPr="00F36FB7">
        <w:rPr>
          <w:b/>
          <w:sz w:val="26"/>
          <w:szCs w:val="26"/>
        </w:rPr>
        <w:t>6</w:t>
      </w:r>
      <w:r w:rsidR="007F43DB" w:rsidRPr="00F36FB7">
        <w:rPr>
          <w:b/>
          <w:sz w:val="26"/>
          <w:szCs w:val="26"/>
        </w:rPr>
        <w:t xml:space="preserve"> THÁNG ĐẦU </w:t>
      </w:r>
      <w:r w:rsidR="00BA4FFA" w:rsidRPr="00F36FB7">
        <w:rPr>
          <w:b/>
          <w:sz w:val="26"/>
          <w:szCs w:val="26"/>
        </w:rPr>
        <w:t xml:space="preserve">NĂM </w:t>
      </w:r>
      <w:r w:rsidRPr="00F36FB7">
        <w:rPr>
          <w:b/>
          <w:sz w:val="26"/>
          <w:szCs w:val="26"/>
        </w:rPr>
        <w:t>201</w:t>
      </w:r>
      <w:r w:rsidR="00BA4FFA" w:rsidRPr="00F36FB7">
        <w:rPr>
          <w:b/>
          <w:sz w:val="26"/>
          <w:szCs w:val="26"/>
        </w:rPr>
        <w:t>6</w:t>
      </w:r>
    </w:p>
    <w:p w:rsidR="00F22114" w:rsidRPr="00F36FB7" w:rsidRDefault="00F22114" w:rsidP="00F36FB7">
      <w:pPr>
        <w:pStyle w:val="Footer"/>
        <w:spacing w:before="120" w:line="288" w:lineRule="auto"/>
        <w:ind w:firstLine="0"/>
        <w:jc w:val="center"/>
        <w:rPr>
          <w:i/>
          <w:sz w:val="26"/>
          <w:szCs w:val="26"/>
        </w:rPr>
      </w:pPr>
      <w:r w:rsidRPr="00F36FB7">
        <w:rPr>
          <w:i/>
          <w:sz w:val="26"/>
          <w:szCs w:val="26"/>
          <w:lang w:val="vi-VN"/>
        </w:rPr>
        <w:t xml:space="preserve">(Tài liệu phục vụ </w:t>
      </w:r>
      <w:r w:rsidRPr="00F36FB7">
        <w:rPr>
          <w:i/>
          <w:sz w:val="26"/>
          <w:szCs w:val="26"/>
        </w:rPr>
        <w:t>phiên họp</w:t>
      </w:r>
      <w:r w:rsidR="00D63CF0" w:rsidRPr="00F36FB7">
        <w:rPr>
          <w:i/>
          <w:sz w:val="26"/>
          <w:szCs w:val="26"/>
        </w:rPr>
        <w:t xml:space="preserve"> Chính phủ tháng</w:t>
      </w:r>
      <w:r w:rsidR="00BA4FFA" w:rsidRPr="00F36FB7">
        <w:rPr>
          <w:i/>
          <w:sz w:val="26"/>
          <w:szCs w:val="26"/>
        </w:rPr>
        <w:t xml:space="preserve"> </w:t>
      </w:r>
      <w:r w:rsidR="00462767" w:rsidRPr="00F36FB7">
        <w:rPr>
          <w:i/>
          <w:sz w:val="26"/>
          <w:szCs w:val="26"/>
        </w:rPr>
        <w:t>6</w:t>
      </w:r>
      <w:r w:rsidRPr="00F36FB7">
        <w:rPr>
          <w:i/>
          <w:sz w:val="26"/>
          <w:szCs w:val="26"/>
        </w:rPr>
        <w:t>/201</w:t>
      </w:r>
      <w:r w:rsidR="00BA4FFA" w:rsidRPr="00F36FB7">
        <w:rPr>
          <w:i/>
          <w:sz w:val="26"/>
          <w:szCs w:val="26"/>
        </w:rPr>
        <w:t>6</w:t>
      </w:r>
      <w:r w:rsidRPr="00F36FB7">
        <w:rPr>
          <w:i/>
          <w:sz w:val="26"/>
          <w:szCs w:val="26"/>
          <w:lang w:val="vi-VN"/>
        </w:rPr>
        <w:t>)</w:t>
      </w:r>
    </w:p>
    <w:p w:rsidR="00900767" w:rsidRPr="00F36FB7" w:rsidRDefault="00900767" w:rsidP="00F36FB7">
      <w:pPr>
        <w:pStyle w:val="Footer"/>
        <w:spacing w:before="120" w:line="288" w:lineRule="auto"/>
        <w:ind w:firstLine="0"/>
        <w:jc w:val="center"/>
        <w:rPr>
          <w:i/>
          <w:sz w:val="26"/>
          <w:szCs w:val="26"/>
        </w:rPr>
      </w:pPr>
    </w:p>
    <w:p w:rsidR="00CF331D" w:rsidRPr="00FA4AC5" w:rsidRDefault="00CF331D" w:rsidP="00FA4AC5">
      <w:pPr>
        <w:pStyle w:val="Footer"/>
        <w:numPr>
          <w:ilvl w:val="0"/>
          <w:numId w:val="13"/>
        </w:numPr>
        <w:spacing w:before="120" w:line="288" w:lineRule="auto"/>
        <w:ind w:hanging="720"/>
        <w:rPr>
          <w:b/>
          <w:i/>
          <w:spacing w:val="4"/>
          <w:sz w:val="26"/>
          <w:szCs w:val="26"/>
        </w:rPr>
      </w:pPr>
      <w:r w:rsidRPr="00FA4AC5">
        <w:rPr>
          <w:b/>
          <w:i/>
          <w:spacing w:val="4"/>
          <w:sz w:val="26"/>
          <w:szCs w:val="26"/>
          <w:u w:val="single"/>
        </w:rPr>
        <w:t>Kinh tế thế giới</w:t>
      </w:r>
    </w:p>
    <w:p w:rsidR="00036E35" w:rsidRPr="00FA4AC5" w:rsidRDefault="00036E35" w:rsidP="008D5359">
      <w:pPr>
        <w:pStyle w:val="ListParagraph"/>
        <w:numPr>
          <w:ilvl w:val="0"/>
          <w:numId w:val="45"/>
        </w:numPr>
        <w:tabs>
          <w:tab w:val="left" w:pos="1276"/>
          <w:tab w:val="center" w:pos="1440"/>
        </w:tabs>
        <w:spacing w:before="120" w:line="288" w:lineRule="auto"/>
        <w:ind w:left="1276" w:hanging="425"/>
        <w:contextualSpacing w:val="0"/>
        <w:rPr>
          <w:i/>
          <w:spacing w:val="4"/>
          <w:sz w:val="26"/>
          <w:szCs w:val="26"/>
        </w:rPr>
      </w:pPr>
      <w:r w:rsidRPr="00FA4AC5">
        <w:rPr>
          <w:i/>
          <w:sz w:val="26"/>
          <w:szCs w:val="26"/>
        </w:rPr>
        <w:t xml:space="preserve">Việc người dân Anh chọn rời Liên minh Châu Âu (Brexit) ngày 23/6/2016 đã ngay lập tức gây ảnh hưởng </w:t>
      </w:r>
      <w:r w:rsidR="00967803">
        <w:rPr>
          <w:i/>
          <w:sz w:val="26"/>
          <w:szCs w:val="26"/>
        </w:rPr>
        <w:t xml:space="preserve">tiêu cực </w:t>
      </w:r>
      <w:r w:rsidRPr="00FA4AC5">
        <w:rPr>
          <w:i/>
          <w:sz w:val="26"/>
          <w:szCs w:val="26"/>
        </w:rPr>
        <w:t>đến thị trường tài chính thế giới: thị trường chứng khoán toàn cầu giảm trên 5%; đồng Bảng Anh và đồng Euro liên tục mất giá; giá dầu và giá hàng hóa nguyên liệu giảm mạnh trong khi giá vàng liên tục tăng.</w:t>
      </w:r>
    </w:p>
    <w:p w:rsidR="004A77B6" w:rsidRPr="00FA4AC5" w:rsidRDefault="00CF331D" w:rsidP="00FA4AC5">
      <w:pPr>
        <w:pStyle w:val="Footer"/>
        <w:numPr>
          <w:ilvl w:val="0"/>
          <w:numId w:val="13"/>
        </w:numPr>
        <w:spacing w:before="120" w:line="288" w:lineRule="auto"/>
        <w:ind w:left="630" w:hanging="630"/>
        <w:rPr>
          <w:b/>
          <w:i/>
          <w:spacing w:val="4"/>
          <w:sz w:val="26"/>
          <w:szCs w:val="26"/>
        </w:rPr>
      </w:pPr>
      <w:r w:rsidRPr="00FA4AC5">
        <w:rPr>
          <w:b/>
          <w:i/>
          <w:spacing w:val="4"/>
          <w:sz w:val="26"/>
          <w:szCs w:val="26"/>
          <w:u w:val="single"/>
        </w:rPr>
        <w:t>Kinh tế Việt Nam</w:t>
      </w:r>
    </w:p>
    <w:p w:rsidR="00A66AB3" w:rsidRPr="008D5359" w:rsidRDefault="00A66AB3" w:rsidP="008D5359">
      <w:pPr>
        <w:pStyle w:val="ListParagraph"/>
        <w:numPr>
          <w:ilvl w:val="0"/>
          <w:numId w:val="29"/>
        </w:numPr>
        <w:tabs>
          <w:tab w:val="left" w:pos="1276"/>
          <w:tab w:val="center" w:pos="1440"/>
        </w:tabs>
        <w:spacing w:before="120" w:line="288" w:lineRule="auto"/>
        <w:ind w:left="810" w:hanging="384"/>
        <w:contextualSpacing w:val="0"/>
        <w:rPr>
          <w:b/>
          <w:i/>
          <w:sz w:val="26"/>
          <w:szCs w:val="26"/>
        </w:rPr>
      </w:pPr>
      <w:r w:rsidRPr="008D5359">
        <w:rPr>
          <w:b/>
          <w:i/>
          <w:sz w:val="26"/>
          <w:szCs w:val="26"/>
        </w:rPr>
        <w:t>Về tăng trưởng kinh tế:</w:t>
      </w:r>
    </w:p>
    <w:p w:rsidR="00F74F48" w:rsidRPr="008D5359" w:rsidRDefault="00F74F48" w:rsidP="008D5359">
      <w:pPr>
        <w:pStyle w:val="ListParagraph"/>
        <w:numPr>
          <w:ilvl w:val="0"/>
          <w:numId w:val="45"/>
        </w:numPr>
        <w:tabs>
          <w:tab w:val="left" w:pos="1276"/>
          <w:tab w:val="center" w:pos="1440"/>
        </w:tabs>
        <w:spacing w:before="120" w:line="288" w:lineRule="auto"/>
        <w:ind w:left="1276" w:hanging="425"/>
        <w:contextualSpacing w:val="0"/>
        <w:rPr>
          <w:i/>
          <w:sz w:val="26"/>
          <w:szCs w:val="26"/>
        </w:rPr>
      </w:pPr>
      <w:r w:rsidRPr="008D5359">
        <w:rPr>
          <w:i/>
          <w:sz w:val="26"/>
          <w:szCs w:val="26"/>
        </w:rPr>
        <w:t>Tăng trưởng GDP 6 tháng đầu năm 2016 tiếp tục tăng thấp hơn so với cùng kỳ 2015. Nguyên nhân chủ yếu do sự suy giảm tăng trưởng của  khu vực nông nghiệp</w:t>
      </w:r>
      <w:r w:rsidR="00FA4AC5" w:rsidRPr="008D5359">
        <w:rPr>
          <w:i/>
          <w:sz w:val="26"/>
          <w:szCs w:val="26"/>
        </w:rPr>
        <w:t xml:space="preserve"> và</w:t>
      </w:r>
      <w:r w:rsidRPr="008D5359">
        <w:rPr>
          <w:i/>
          <w:sz w:val="26"/>
          <w:szCs w:val="26"/>
        </w:rPr>
        <w:t xml:space="preserve"> lĩnh vực khai khoáng</w:t>
      </w:r>
      <w:r w:rsidR="00FA4AC5" w:rsidRPr="008D5359">
        <w:rPr>
          <w:i/>
          <w:sz w:val="26"/>
          <w:szCs w:val="26"/>
        </w:rPr>
        <w:t>, cũng như</w:t>
      </w:r>
      <w:r w:rsidRPr="008D5359">
        <w:rPr>
          <w:i/>
          <w:sz w:val="26"/>
          <w:szCs w:val="26"/>
        </w:rPr>
        <w:t xml:space="preserve"> tổng cầu có mức độ cải thiện thấp. </w:t>
      </w:r>
    </w:p>
    <w:p w:rsidR="00F74F48" w:rsidRPr="00FA4AC5" w:rsidRDefault="00F74F48" w:rsidP="008D5359">
      <w:pPr>
        <w:pStyle w:val="ListParagraph"/>
        <w:numPr>
          <w:ilvl w:val="0"/>
          <w:numId w:val="45"/>
        </w:numPr>
        <w:tabs>
          <w:tab w:val="left" w:pos="1276"/>
          <w:tab w:val="center" w:pos="1440"/>
        </w:tabs>
        <w:spacing w:before="120" w:line="288" w:lineRule="auto"/>
        <w:ind w:left="1276" w:hanging="425"/>
        <w:contextualSpacing w:val="0"/>
        <w:rPr>
          <w:i/>
          <w:sz w:val="26"/>
          <w:szCs w:val="26"/>
        </w:rPr>
      </w:pPr>
      <w:r w:rsidRPr="00FA4AC5">
        <w:rPr>
          <w:i/>
          <w:sz w:val="26"/>
          <w:szCs w:val="26"/>
        </w:rPr>
        <w:t>Phân rã tăng trưởng cho thấy xu thế tăng trưởng dài hạn của nền kinh tế Việt Nam vẫn đang duy trì được xu hướng tăng tích cực. Song, tăng trưởng trong ngắn hạn đang suy giảm do chịu tác động của các yếu tố chu kỳ kinh tế và các cú sốc</w:t>
      </w:r>
      <w:r w:rsidR="004A3996">
        <w:rPr>
          <w:i/>
          <w:sz w:val="26"/>
          <w:szCs w:val="26"/>
        </w:rPr>
        <w:t xml:space="preserve"> về tổng cung</w:t>
      </w:r>
      <w:r w:rsidRPr="00FA4AC5">
        <w:rPr>
          <w:i/>
          <w:sz w:val="26"/>
          <w:szCs w:val="26"/>
        </w:rPr>
        <w:t>. Do đó, để đạt được mục tiêu tăng trưởng kinh tế 6,7% trong năm 2016 sẽ cần những nỗ lực, quyết tâm lớn.</w:t>
      </w:r>
    </w:p>
    <w:p w:rsidR="00A66AB3" w:rsidRPr="008D5359" w:rsidRDefault="00A66AB3" w:rsidP="008D5359">
      <w:pPr>
        <w:pStyle w:val="ListParagraph"/>
        <w:numPr>
          <w:ilvl w:val="0"/>
          <w:numId w:val="29"/>
        </w:numPr>
        <w:tabs>
          <w:tab w:val="left" w:pos="1276"/>
          <w:tab w:val="center" w:pos="1440"/>
        </w:tabs>
        <w:spacing w:before="120" w:line="288" w:lineRule="auto"/>
        <w:ind w:left="810" w:hanging="384"/>
        <w:contextualSpacing w:val="0"/>
        <w:rPr>
          <w:b/>
          <w:i/>
          <w:sz w:val="26"/>
          <w:szCs w:val="26"/>
        </w:rPr>
      </w:pPr>
      <w:r w:rsidRPr="008D5359">
        <w:rPr>
          <w:b/>
          <w:i/>
          <w:sz w:val="26"/>
          <w:szCs w:val="26"/>
        </w:rPr>
        <w:t>Về ổn định kinh tế vĩ mô:</w:t>
      </w:r>
    </w:p>
    <w:p w:rsidR="00FA4AC5" w:rsidRPr="00FA4AC5" w:rsidRDefault="00F364DE" w:rsidP="008D5359">
      <w:pPr>
        <w:pStyle w:val="ListParagraph"/>
        <w:numPr>
          <w:ilvl w:val="0"/>
          <w:numId w:val="45"/>
        </w:numPr>
        <w:tabs>
          <w:tab w:val="left" w:pos="1276"/>
          <w:tab w:val="center" w:pos="1440"/>
        </w:tabs>
        <w:spacing w:before="120" w:line="288" w:lineRule="auto"/>
        <w:ind w:left="1276" w:hanging="425"/>
        <w:contextualSpacing w:val="0"/>
        <w:rPr>
          <w:i/>
          <w:sz w:val="26"/>
          <w:szCs w:val="26"/>
        </w:rPr>
      </w:pPr>
      <w:r>
        <w:rPr>
          <w:i/>
          <w:sz w:val="26"/>
          <w:szCs w:val="26"/>
        </w:rPr>
        <w:t>CPI tăng trong 6 tháng đầu năm</w:t>
      </w:r>
      <w:r w:rsidR="00FA4AC5" w:rsidRPr="00FA4AC5">
        <w:rPr>
          <w:i/>
          <w:sz w:val="26"/>
          <w:szCs w:val="26"/>
        </w:rPr>
        <w:t xml:space="preserve"> chủ yếu do tăng giá dịch vụ y tế và giáo dục</w:t>
      </w:r>
      <w:r w:rsidR="00FA4AC5">
        <w:rPr>
          <w:i/>
          <w:sz w:val="26"/>
          <w:szCs w:val="26"/>
        </w:rPr>
        <w:t xml:space="preserve"> (</w:t>
      </w:r>
      <w:r w:rsidR="00FA4AC5" w:rsidRPr="00FA4AC5">
        <w:rPr>
          <w:i/>
          <w:sz w:val="26"/>
          <w:szCs w:val="26"/>
        </w:rPr>
        <w:t xml:space="preserve">đóng góp 46% vào  mức tăng </w:t>
      </w:r>
      <w:r w:rsidR="00FA4AC5">
        <w:rPr>
          <w:i/>
          <w:sz w:val="26"/>
          <w:szCs w:val="26"/>
        </w:rPr>
        <w:t xml:space="preserve">CPI </w:t>
      </w:r>
      <w:r w:rsidR="00FA4AC5" w:rsidRPr="00FA4AC5">
        <w:rPr>
          <w:i/>
          <w:sz w:val="26"/>
          <w:szCs w:val="26"/>
        </w:rPr>
        <w:t>kể từ đầu năm</w:t>
      </w:r>
      <w:r w:rsidR="00FA4AC5">
        <w:rPr>
          <w:i/>
          <w:sz w:val="26"/>
          <w:szCs w:val="26"/>
        </w:rPr>
        <w:t>)</w:t>
      </w:r>
      <w:r w:rsidR="00FA4AC5" w:rsidRPr="00FA4AC5">
        <w:rPr>
          <w:i/>
          <w:sz w:val="26"/>
          <w:szCs w:val="26"/>
        </w:rPr>
        <w:t xml:space="preserve">. Trong khi đó, lạm phát cơ bản vẫn duy trì ổn định ở mức dưới 2% </w:t>
      </w:r>
      <w:r w:rsidR="004A3996">
        <w:rPr>
          <w:i/>
          <w:sz w:val="26"/>
          <w:szCs w:val="26"/>
        </w:rPr>
        <w:t>trong 6 tháng đầu năm</w:t>
      </w:r>
      <w:r w:rsidR="00FA4AC5" w:rsidRPr="00FA4AC5">
        <w:rPr>
          <w:i/>
          <w:sz w:val="26"/>
          <w:szCs w:val="26"/>
        </w:rPr>
        <w:t>.</w:t>
      </w:r>
    </w:p>
    <w:p w:rsidR="00462767" w:rsidRPr="00875C40" w:rsidRDefault="00FA4AC5" w:rsidP="008D5359">
      <w:pPr>
        <w:pStyle w:val="ListParagraph"/>
        <w:numPr>
          <w:ilvl w:val="0"/>
          <w:numId w:val="45"/>
        </w:numPr>
        <w:tabs>
          <w:tab w:val="left" w:pos="1276"/>
          <w:tab w:val="center" w:pos="1440"/>
        </w:tabs>
        <w:spacing w:before="120" w:line="288" w:lineRule="auto"/>
        <w:ind w:left="1276" w:hanging="425"/>
        <w:contextualSpacing w:val="0"/>
        <w:rPr>
          <w:i/>
          <w:sz w:val="26"/>
          <w:szCs w:val="26"/>
        </w:rPr>
      </w:pPr>
      <w:r w:rsidRPr="00875C40">
        <w:rPr>
          <w:i/>
          <w:sz w:val="26"/>
          <w:szCs w:val="26"/>
        </w:rPr>
        <w:t xml:space="preserve"> </w:t>
      </w:r>
      <w:r w:rsidR="00875C40" w:rsidRPr="00875C40">
        <w:rPr>
          <w:i/>
          <w:sz w:val="26"/>
          <w:szCs w:val="26"/>
        </w:rPr>
        <w:t>Nếu tốc độ tăng trưởng GDP năm 2016 chỉ đạt 6,5% GDP, tỷ lệ bội chi NSNN/GDP có khả năng sẽ vượt dự toán khoảng 0,5 điểm %.</w:t>
      </w:r>
    </w:p>
    <w:p w:rsidR="00462767" w:rsidRPr="00F74F48" w:rsidRDefault="00462767" w:rsidP="00F36FB7">
      <w:pPr>
        <w:spacing w:before="120" w:line="288" w:lineRule="auto"/>
        <w:ind w:firstLine="0"/>
        <w:jc w:val="left"/>
        <w:rPr>
          <w:b/>
          <w:sz w:val="26"/>
          <w:szCs w:val="26"/>
          <w:lang w:val="pl-PL"/>
        </w:rPr>
      </w:pPr>
      <w:r w:rsidRPr="00F74F48">
        <w:rPr>
          <w:b/>
          <w:sz w:val="26"/>
          <w:szCs w:val="26"/>
          <w:lang w:val="pl-PL"/>
        </w:rPr>
        <w:br w:type="page"/>
      </w:r>
    </w:p>
    <w:p w:rsidR="00C33048" w:rsidRPr="00F36FB7" w:rsidRDefault="005926AC" w:rsidP="00F36FB7">
      <w:pPr>
        <w:pStyle w:val="Footer"/>
        <w:numPr>
          <w:ilvl w:val="0"/>
          <w:numId w:val="12"/>
        </w:numPr>
        <w:tabs>
          <w:tab w:val="left" w:pos="284"/>
          <w:tab w:val="left" w:pos="567"/>
        </w:tabs>
        <w:spacing w:before="120" w:line="288" w:lineRule="auto"/>
        <w:ind w:hanging="1080"/>
        <w:rPr>
          <w:b/>
          <w:sz w:val="26"/>
          <w:szCs w:val="26"/>
        </w:rPr>
      </w:pPr>
      <w:r w:rsidRPr="00F36FB7">
        <w:rPr>
          <w:b/>
          <w:sz w:val="26"/>
          <w:szCs w:val="26"/>
        </w:rPr>
        <w:lastRenderedPageBreak/>
        <w:t>KINH TẾ THẾ GIỚI</w:t>
      </w:r>
      <w:r w:rsidR="008D2284" w:rsidRPr="00F36FB7">
        <w:rPr>
          <w:b/>
          <w:sz w:val="26"/>
          <w:szCs w:val="26"/>
        </w:rPr>
        <w:t xml:space="preserve"> </w:t>
      </w:r>
    </w:p>
    <w:p w:rsidR="00ED1E50" w:rsidRPr="00F36FB7" w:rsidRDefault="002E47C2" w:rsidP="00F36FB7">
      <w:pPr>
        <w:pStyle w:val="ListParagraph"/>
        <w:numPr>
          <w:ilvl w:val="0"/>
          <w:numId w:val="44"/>
        </w:numPr>
        <w:spacing w:before="120" w:line="288" w:lineRule="auto"/>
        <w:ind w:left="426" w:hanging="426"/>
        <w:contextualSpacing w:val="0"/>
        <w:rPr>
          <w:b/>
          <w:sz w:val="26"/>
          <w:szCs w:val="26"/>
        </w:rPr>
      </w:pPr>
      <w:r w:rsidRPr="00F36FB7">
        <w:rPr>
          <w:b/>
          <w:sz w:val="26"/>
          <w:szCs w:val="26"/>
        </w:rPr>
        <w:t>Brexit</w:t>
      </w:r>
      <w:r w:rsidR="00ED1E50" w:rsidRPr="00F36FB7">
        <w:rPr>
          <w:b/>
          <w:sz w:val="26"/>
          <w:szCs w:val="26"/>
        </w:rPr>
        <w:t xml:space="preserve"> </w:t>
      </w:r>
    </w:p>
    <w:p w:rsidR="00ED1E50" w:rsidRPr="00F36FB7" w:rsidRDefault="00ED1E50" w:rsidP="00F36FB7">
      <w:pPr>
        <w:pStyle w:val="ListParagraph"/>
        <w:spacing w:before="120" w:line="288" w:lineRule="auto"/>
        <w:ind w:left="0"/>
        <w:contextualSpacing w:val="0"/>
        <w:rPr>
          <w:b/>
          <w:sz w:val="26"/>
          <w:szCs w:val="26"/>
        </w:rPr>
      </w:pPr>
      <w:r w:rsidRPr="00F36FB7">
        <w:rPr>
          <w:b/>
          <w:sz w:val="26"/>
          <w:szCs w:val="26"/>
        </w:rPr>
        <w:t>Việc người dân Anh chọn rời Liên minh Châu Âu (Brexit) ngày 23/6/2016 đã ngay lập tức gây ảnh hưởng đến thị trường tài chính thế giới</w:t>
      </w:r>
    </w:p>
    <w:p w:rsidR="00ED1E50" w:rsidRPr="00F36FB7" w:rsidRDefault="00ED1E50" w:rsidP="00F36FB7">
      <w:pPr>
        <w:pStyle w:val="ListParagraph"/>
        <w:spacing w:before="120" w:line="288" w:lineRule="auto"/>
        <w:ind w:left="0"/>
        <w:contextualSpacing w:val="0"/>
        <w:rPr>
          <w:sz w:val="26"/>
          <w:szCs w:val="26"/>
        </w:rPr>
      </w:pPr>
      <w:r w:rsidRPr="00F36FB7">
        <w:rPr>
          <w:b/>
          <w:i/>
          <w:sz w:val="26"/>
          <w:szCs w:val="26"/>
        </w:rPr>
        <w:t>Thị trường chứng khoán toàn cầu giảm 5% (tương đương 2.080 tỷ USD)</w:t>
      </w:r>
      <w:r w:rsidRPr="00F36FB7">
        <w:rPr>
          <w:rStyle w:val="FootnoteReference"/>
          <w:b/>
          <w:i/>
          <w:sz w:val="26"/>
          <w:szCs w:val="26"/>
        </w:rPr>
        <w:footnoteReference w:id="1"/>
      </w:r>
      <w:r w:rsidRPr="00F36FB7">
        <w:rPr>
          <w:b/>
          <w:i/>
          <w:sz w:val="26"/>
          <w:szCs w:val="26"/>
        </w:rPr>
        <w:t xml:space="preserve"> vào ngày 24/6/2016. </w:t>
      </w:r>
      <w:r w:rsidRPr="00F36FB7">
        <w:rPr>
          <w:sz w:val="26"/>
          <w:szCs w:val="26"/>
        </w:rPr>
        <w:t>Các thị trường chứng khoán châu Âu bị ảnh hưởng nhiều nhất khi một số thị trường lớn đã có mức giảm lớn nhất trong lịch sử</w:t>
      </w:r>
      <w:r w:rsidRPr="00F36FB7">
        <w:rPr>
          <w:rStyle w:val="FootnoteReference"/>
          <w:sz w:val="26"/>
          <w:szCs w:val="26"/>
        </w:rPr>
        <w:footnoteReference w:id="2"/>
      </w:r>
      <w:r w:rsidRPr="00F36FB7">
        <w:rPr>
          <w:sz w:val="26"/>
          <w:szCs w:val="26"/>
        </w:rPr>
        <w:t>. Thị trường chứng khoán Mỹ, Châu Á, Úc và New Zealand giảm sút, thị trường chứng khoán Tokyo phục hồi chút ít sau khi Thủ tướng Nhật tuyên bố trấn an thị trường. Cổ phiếu một số ngân hàng Anh sụt giảm mạnh từ 15-19%.</w:t>
      </w:r>
    </w:p>
    <w:p w:rsidR="00ED1E50" w:rsidRPr="00F36FB7" w:rsidRDefault="00ED1E50" w:rsidP="00F36FB7">
      <w:pPr>
        <w:pStyle w:val="ListParagraph"/>
        <w:spacing w:before="120" w:line="288" w:lineRule="auto"/>
        <w:ind w:left="0"/>
        <w:contextualSpacing w:val="0"/>
        <w:rPr>
          <w:sz w:val="26"/>
          <w:szCs w:val="26"/>
        </w:rPr>
      </w:pPr>
      <w:r w:rsidRPr="00F36FB7">
        <w:rPr>
          <w:b/>
          <w:i/>
          <w:sz w:val="26"/>
          <w:szCs w:val="26"/>
        </w:rPr>
        <w:t>Đồng Bảng</w:t>
      </w:r>
      <w:r w:rsidRPr="00F36FB7">
        <w:rPr>
          <w:sz w:val="26"/>
          <w:szCs w:val="26"/>
        </w:rPr>
        <w:t xml:space="preserve"> giảm 8,1% vào ngày 24/6, và giảm tiếp 3,3% vào ngày giao dịch kế tiếp xuống mức 1,3214 USD/bảng. Đồng EUR giảm 0,8% so với đồng USD, trong khi Đồng yên tăng thêm 0,2% (sau khi tăng 3,7% ngày 24/6). Các thị trường mới nổi đặc biệt ở khu vực Châu Á cũng bị tác động mạnh do lo ngại biến động thị trường tài chính, tiền tệ Châu Âu, Mỹ và lo ngại các ngân hàng lớn, các quỹ đầu tư lớn rút vốn. </w:t>
      </w:r>
    </w:p>
    <w:p w:rsidR="00ED1E50" w:rsidRPr="00F36FB7" w:rsidRDefault="00ED1E50" w:rsidP="00F36FB7">
      <w:pPr>
        <w:pStyle w:val="ListParagraph"/>
        <w:spacing w:before="120" w:line="288" w:lineRule="auto"/>
        <w:ind w:left="0"/>
        <w:contextualSpacing w:val="0"/>
        <w:rPr>
          <w:sz w:val="26"/>
          <w:szCs w:val="26"/>
        </w:rPr>
      </w:pPr>
      <w:r w:rsidRPr="00F36FB7">
        <w:rPr>
          <w:b/>
          <w:i/>
          <w:sz w:val="26"/>
          <w:szCs w:val="26"/>
        </w:rPr>
        <w:t>Giá hàng hóa</w:t>
      </w:r>
      <w:r w:rsidRPr="00F36FB7">
        <w:rPr>
          <w:sz w:val="26"/>
          <w:szCs w:val="26"/>
        </w:rPr>
        <w:t xml:space="preserve"> biến động trái chiều khi giá dầu tụt xuống 47 USD/thùng và giá hàng hóa nguyên liệu giảm mạnh. Trong khi giá vàng tăng 0,9%, đánh dấu mức giá đóng cửa cao nhất kể từ tháng 7/2014. </w:t>
      </w:r>
    </w:p>
    <w:p w:rsidR="00ED1E50" w:rsidRPr="00F36FB7" w:rsidRDefault="00ED1E50" w:rsidP="00F36FB7">
      <w:pPr>
        <w:pStyle w:val="ListParagraph"/>
        <w:spacing w:before="120" w:line="288" w:lineRule="auto"/>
        <w:ind w:left="0"/>
        <w:contextualSpacing w:val="0"/>
        <w:rPr>
          <w:sz w:val="26"/>
          <w:szCs w:val="26"/>
        </w:rPr>
      </w:pPr>
      <w:r w:rsidRPr="00F36FB7">
        <w:rPr>
          <w:b/>
          <w:i/>
          <w:sz w:val="26"/>
          <w:szCs w:val="26"/>
        </w:rPr>
        <w:t>Trước biến động của thị trường tài chính thế giới, Chính phủ và Ngân hàng Trung ương (NHTW) các nước đã có phản ứng để ứng phó</w:t>
      </w:r>
      <w:r w:rsidRPr="00F36FB7">
        <w:rPr>
          <w:sz w:val="26"/>
          <w:szCs w:val="26"/>
        </w:rPr>
        <w:t xml:space="preserve">: NHTW Trung Quốc giảm tỷ giá tham chiếu đồng NDT 0,9% (6,6375NDT/USD); Chính Phủ Nhật tuyên bố sẵn sàng can thiệp thị trường, hỗ trợ thanh khoản cho các ngân hàng; Chủ tịch Fed bày tỏ lo ngại đối với kinh tế toàn cầu; IMF kêu gọi các nước phối hợp hành động để đảm bảo thanh khoản cho hệ thống ngân hàng. </w:t>
      </w:r>
    </w:p>
    <w:p w:rsidR="00ED1E50" w:rsidRPr="00F36FB7" w:rsidRDefault="002E47C2" w:rsidP="00F36FB7">
      <w:pPr>
        <w:pStyle w:val="ListParagraph"/>
        <w:numPr>
          <w:ilvl w:val="0"/>
          <w:numId w:val="44"/>
        </w:numPr>
        <w:spacing w:before="120" w:line="288" w:lineRule="auto"/>
        <w:ind w:left="426" w:hanging="426"/>
        <w:contextualSpacing w:val="0"/>
        <w:rPr>
          <w:b/>
          <w:sz w:val="26"/>
          <w:szCs w:val="26"/>
        </w:rPr>
      </w:pPr>
      <w:r w:rsidRPr="00F36FB7">
        <w:rPr>
          <w:b/>
          <w:sz w:val="26"/>
          <w:szCs w:val="26"/>
        </w:rPr>
        <w:t>Chính sách kinh t</w:t>
      </w:r>
      <w:r w:rsidR="00EE72D3" w:rsidRPr="00F36FB7">
        <w:rPr>
          <w:b/>
          <w:sz w:val="26"/>
          <w:szCs w:val="26"/>
        </w:rPr>
        <w:t>ế</w:t>
      </w:r>
    </w:p>
    <w:p w:rsidR="00ED1E50" w:rsidRPr="00F36FB7" w:rsidRDefault="00ED1E50" w:rsidP="00F36FB7">
      <w:pPr>
        <w:pStyle w:val="ListParagraph"/>
        <w:spacing w:before="120" w:line="288" w:lineRule="auto"/>
        <w:ind w:left="0"/>
        <w:contextualSpacing w:val="0"/>
        <w:rPr>
          <w:bCs/>
          <w:color w:val="000000"/>
          <w:sz w:val="26"/>
          <w:szCs w:val="26"/>
          <w:shd w:val="clear" w:color="auto" w:fill="FFFFFF"/>
        </w:rPr>
      </w:pPr>
      <w:r w:rsidRPr="00F36FB7">
        <w:rPr>
          <w:b/>
          <w:bCs/>
          <w:i/>
          <w:color w:val="000000"/>
          <w:sz w:val="26"/>
          <w:szCs w:val="26"/>
          <w:shd w:val="clear" w:color="auto" w:fill="FFFFFF"/>
        </w:rPr>
        <w:t xml:space="preserve">Ngân hàng Thế giới (WB) hạ dự báo tăng trưởng kinh tế toàn cầu năm 2016. </w:t>
      </w:r>
      <w:r w:rsidRPr="00F36FB7">
        <w:rPr>
          <w:bCs/>
          <w:color w:val="000000"/>
          <w:sz w:val="26"/>
          <w:szCs w:val="26"/>
          <w:shd w:val="clear" w:color="auto" w:fill="FFFFFF"/>
        </w:rPr>
        <w:t>Theo đó, ngày 7/6/2016, WB hạ mức dự báo tăng trưởng kinh tế toàn cầu xuống 2,4% từ mức 2,9% đưa ra vào tháng 1/2016. Nguyên nhân do các nền kinh tế phát triển có tốc độ tăng trưởng chậm,</w:t>
      </w:r>
      <w:r w:rsidRPr="00F36FB7">
        <w:rPr>
          <w:b/>
          <w:bCs/>
          <w:color w:val="000000"/>
          <w:sz w:val="26"/>
          <w:szCs w:val="26"/>
          <w:shd w:val="clear" w:color="auto" w:fill="FFFFFF"/>
        </w:rPr>
        <w:t xml:space="preserve"> </w:t>
      </w:r>
      <w:r w:rsidRPr="00F36FB7">
        <w:rPr>
          <w:bCs/>
          <w:color w:val="000000"/>
          <w:sz w:val="26"/>
          <w:szCs w:val="26"/>
          <w:shd w:val="clear" w:color="auto" w:fill="FFFFFF"/>
        </w:rPr>
        <w:t xml:space="preserve">thương mại toàn cầu yếu và dòng vốn luân chuyển đầu tư giảm mạnh. </w:t>
      </w:r>
    </w:p>
    <w:p w:rsidR="00ED1E50" w:rsidRPr="00F36FB7" w:rsidRDefault="00ED1E50" w:rsidP="00F36FB7">
      <w:pPr>
        <w:pStyle w:val="ListParagraph"/>
        <w:spacing w:before="120" w:line="288" w:lineRule="auto"/>
        <w:ind w:left="0"/>
        <w:contextualSpacing w:val="0"/>
        <w:rPr>
          <w:bCs/>
          <w:color w:val="000000"/>
          <w:sz w:val="26"/>
          <w:szCs w:val="26"/>
          <w:shd w:val="clear" w:color="auto" w:fill="FFFFFF"/>
        </w:rPr>
      </w:pPr>
      <w:r w:rsidRPr="00F36FB7">
        <w:rPr>
          <w:b/>
          <w:i/>
          <w:sz w:val="26"/>
          <w:szCs w:val="26"/>
        </w:rPr>
        <w:t>Fed chưa tăng lãi suất vào tháng 6 và có thể lùi đến tháng 9 do nền kinh tế Mỹ tăng trưởng chưa ổn định.</w:t>
      </w:r>
      <w:r w:rsidRPr="00F36FB7">
        <w:rPr>
          <w:sz w:val="26"/>
          <w:szCs w:val="26"/>
        </w:rPr>
        <w:t xml:space="preserve"> Sự sụt giảm mạnh của thị trường việc làm Mỹ trong tháng 5 đã tác động đến triển vọng kinh tế nước này khi số lượng việc làm mới trong tháng 5 ở mức thấp nhất trong hơn 5 năm qua.</w:t>
      </w:r>
      <w:r w:rsidRPr="00F36FB7">
        <w:rPr>
          <w:bCs/>
          <w:color w:val="000000"/>
          <w:sz w:val="26"/>
          <w:szCs w:val="26"/>
          <w:shd w:val="clear" w:color="auto" w:fill="FFFFFF"/>
        </w:rPr>
        <w:t xml:space="preserve"> </w:t>
      </w:r>
    </w:p>
    <w:p w:rsidR="00ED1E50" w:rsidRPr="00F36FB7" w:rsidRDefault="00ED1E50" w:rsidP="00F36FB7">
      <w:pPr>
        <w:pStyle w:val="ListParagraph"/>
        <w:spacing w:before="120" w:line="288" w:lineRule="auto"/>
        <w:ind w:left="0"/>
        <w:contextualSpacing w:val="0"/>
        <w:rPr>
          <w:color w:val="000000"/>
          <w:spacing w:val="-2"/>
          <w:sz w:val="26"/>
          <w:szCs w:val="26"/>
          <w:shd w:val="clear" w:color="auto" w:fill="FFFFFF"/>
        </w:rPr>
      </w:pPr>
      <w:r w:rsidRPr="00F36FB7">
        <w:rPr>
          <w:b/>
          <w:i/>
          <w:spacing w:val="-2"/>
          <w:sz w:val="26"/>
          <w:szCs w:val="26"/>
        </w:rPr>
        <w:t xml:space="preserve">Trung Quốc, kinh tế có một số chuyển biến tích cực. </w:t>
      </w:r>
      <w:r w:rsidRPr="00F36FB7">
        <w:rPr>
          <w:spacing w:val="-2"/>
          <w:sz w:val="26"/>
          <w:szCs w:val="26"/>
        </w:rPr>
        <w:t xml:space="preserve">Xuất khẩu trong tháng 5 tăng nhờ đồng nhân dân tệ giảm giá, trong khi nhập khẩu tăng nhẹ cho thấy nhu cầu nội </w:t>
      </w:r>
      <w:r w:rsidRPr="00F36FB7">
        <w:rPr>
          <w:spacing w:val="-2"/>
          <w:sz w:val="26"/>
          <w:szCs w:val="26"/>
        </w:rPr>
        <w:lastRenderedPageBreak/>
        <w:t xml:space="preserve">địa đang được cải thiện. </w:t>
      </w:r>
      <w:r w:rsidRPr="00F36FB7">
        <w:rPr>
          <w:color w:val="000000"/>
          <w:spacing w:val="-2"/>
          <w:sz w:val="26"/>
          <w:szCs w:val="26"/>
          <w:shd w:val="clear" w:color="auto" w:fill="FFFFFF"/>
        </w:rPr>
        <w:t>Ngân hàng trung ương Trung Quốc vẫn đang duy trì lãi suất ở mức thấp kỷ lục kể từ tháng 10/2015 nhằm kích thích tăng trưởng trong ngắn hạn.</w:t>
      </w:r>
    </w:p>
    <w:p w:rsidR="00ED1E50" w:rsidRPr="00F36FB7" w:rsidRDefault="00ED1E50" w:rsidP="00F36FB7">
      <w:pPr>
        <w:pStyle w:val="ListParagraph"/>
        <w:numPr>
          <w:ilvl w:val="0"/>
          <w:numId w:val="44"/>
        </w:numPr>
        <w:spacing w:before="120" w:line="288" w:lineRule="auto"/>
        <w:contextualSpacing w:val="0"/>
        <w:rPr>
          <w:b/>
          <w:sz w:val="26"/>
          <w:szCs w:val="26"/>
        </w:rPr>
      </w:pPr>
      <w:r w:rsidRPr="00F36FB7">
        <w:rPr>
          <w:b/>
          <w:sz w:val="26"/>
          <w:szCs w:val="26"/>
        </w:rPr>
        <w:t>Giá hàng hóa</w:t>
      </w:r>
    </w:p>
    <w:p w:rsidR="00ED1E50" w:rsidRPr="00F36FB7" w:rsidRDefault="00ED1E50" w:rsidP="00F36FB7">
      <w:pPr>
        <w:pStyle w:val="HTMLPreformatted"/>
        <w:shd w:val="clear" w:color="auto" w:fill="FFFFFF"/>
        <w:spacing w:before="120" w:after="120" w:line="288" w:lineRule="auto"/>
        <w:ind w:firstLine="720"/>
        <w:jc w:val="both"/>
        <w:rPr>
          <w:rFonts w:ascii="Times New Roman" w:eastAsiaTheme="minorHAnsi" w:hAnsi="Times New Roman" w:cs="Times New Roman"/>
          <w:color w:val="000000" w:themeColor="text1"/>
          <w:sz w:val="26"/>
          <w:szCs w:val="26"/>
        </w:rPr>
      </w:pPr>
      <w:r w:rsidRPr="00F36FB7">
        <w:rPr>
          <w:rFonts w:ascii="Times New Roman" w:eastAsiaTheme="minorHAnsi" w:hAnsi="Times New Roman" w:cs="Times New Roman"/>
          <w:b/>
          <w:i/>
          <w:color w:val="000000" w:themeColor="text1"/>
          <w:sz w:val="26"/>
          <w:szCs w:val="26"/>
        </w:rPr>
        <w:t>Giá dầu tháng 6 biến động trái chiều trước và sau Brexit</w:t>
      </w:r>
      <w:r w:rsidRPr="00F36FB7">
        <w:rPr>
          <w:rFonts w:ascii="Times New Roman" w:eastAsiaTheme="minorHAnsi" w:hAnsi="Times New Roman" w:cs="Times New Roman"/>
          <w:color w:val="000000" w:themeColor="text1"/>
          <w:sz w:val="26"/>
          <w:szCs w:val="26"/>
        </w:rPr>
        <w:t xml:space="preserve">. Trước Brexit, giá dầu đã có dấu hiệu phục hồi. Giá dầu thô đã tăng lên mức cao nhất kể từ đầu năm 2016, lên mức trên 51 đô/thùng trong tháng 6. Tuy nhiên sau Brexit, giá dầu giảm khá mạnh xuống mức </w:t>
      </w:r>
      <w:r w:rsidRPr="00F36FB7">
        <w:rPr>
          <w:rFonts w:ascii="Times New Roman" w:hAnsi="Times New Roman" w:cs="Times New Roman"/>
          <w:color w:val="000000" w:themeColor="text1"/>
          <w:sz w:val="26"/>
          <w:szCs w:val="26"/>
        </w:rPr>
        <w:t>46,33 USD/thùng trên thị trường New York.</w:t>
      </w:r>
      <w:r w:rsidRPr="00F36FB7">
        <w:rPr>
          <w:rStyle w:val="apple-converted-space"/>
          <w:rFonts w:ascii="Times New Roman" w:hAnsi="Times New Roman" w:cs="Times New Roman"/>
          <w:color w:val="000000" w:themeColor="text1"/>
          <w:sz w:val="26"/>
          <w:szCs w:val="26"/>
        </w:rPr>
        <w:t> </w:t>
      </w:r>
    </w:p>
    <w:p w:rsidR="00ED1E50" w:rsidRPr="00F36FB7" w:rsidRDefault="00ED1E50" w:rsidP="00F36FB7">
      <w:pPr>
        <w:spacing w:before="120" w:line="288" w:lineRule="auto"/>
        <w:rPr>
          <w:color w:val="000000" w:themeColor="text1"/>
          <w:sz w:val="26"/>
          <w:szCs w:val="26"/>
        </w:rPr>
      </w:pPr>
      <w:r w:rsidRPr="00F36FB7">
        <w:rPr>
          <w:b/>
          <w:i/>
          <w:color w:val="000000" w:themeColor="text1"/>
          <w:sz w:val="26"/>
          <w:szCs w:val="26"/>
        </w:rPr>
        <w:t>Giá hàng hóa</w:t>
      </w:r>
      <w:r w:rsidRPr="00F36FB7">
        <w:rPr>
          <w:color w:val="000000" w:themeColor="text1"/>
          <w:sz w:val="26"/>
          <w:szCs w:val="26"/>
        </w:rPr>
        <w:t xml:space="preserve"> thế giới vẫn tiếp tục tăng giá. Duy trì đà tăng mạnh nhất vẫn là giá năng lượng (tăng 10,74%), tiếp đến lần lượt là lương thực (4,51%); nông sản (2.37%); nguyên liệu thô (0,48%). Riêng giá kim loại đột ngột giảm mạnh sau 3 tháng tăng liên tiếp và giảm ở mức -3,23% so với tháng trước. </w:t>
      </w:r>
    </w:p>
    <w:p w:rsidR="00A8081D" w:rsidRPr="00F36FB7" w:rsidRDefault="00A8081D" w:rsidP="00F36FB7">
      <w:pPr>
        <w:spacing w:before="120" w:line="288" w:lineRule="auto"/>
        <w:jc w:val="center"/>
        <w:rPr>
          <w:b/>
          <w:sz w:val="26"/>
          <w:szCs w:val="26"/>
        </w:rPr>
      </w:pPr>
      <w:r w:rsidRPr="00F36FB7">
        <w:rPr>
          <w:b/>
          <w:sz w:val="26"/>
          <w:szCs w:val="26"/>
        </w:rPr>
        <w:t>Bảng giá hàng hóa</w:t>
      </w:r>
    </w:p>
    <w:tbl>
      <w:tblPr>
        <w:tblW w:w="9440" w:type="dxa"/>
        <w:jc w:val="center"/>
        <w:tblInd w:w="91" w:type="dxa"/>
        <w:tblLook w:val="04A0" w:firstRow="1" w:lastRow="0" w:firstColumn="1" w:lastColumn="0" w:noHBand="0" w:noVBand="1"/>
      </w:tblPr>
      <w:tblGrid>
        <w:gridCol w:w="1043"/>
        <w:gridCol w:w="853"/>
        <w:gridCol w:w="854"/>
        <w:gridCol w:w="853"/>
        <w:gridCol w:w="854"/>
        <w:gridCol w:w="853"/>
        <w:gridCol w:w="854"/>
        <w:gridCol w:w="853"/>
        <w:gridCol w:w="854"/>
        <w:gridCol w:w="853"/>
        <w:gridCol w:w="854"/>
      </w:tblGrid>
      <w:tr w:rsidR="00C33048" w:rsidRPr="00F36FB7" w:rsidTr="00F36FB7">
        <w:trPr>
          <w:trHeight w:val="282"/>
          <w:jc w:val="center"/>
        </w:trPr>
        <w:tc>
          <w:tcPr>
            <w:tcW w:w="905"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right="145" w:firstLine="0"/>
              <w:jc w:val="center"/>
              <w:rPr>
                <w:color w:val="000000"/>
                <w:sz w:val="24"/>
                <w:szCs w:val="26"/>
              </w:rPr>
            </w:pPr>
            <w:r w:rsidRPr="00F36FB7">
              <w:rPr>
                <w:color w:val="000000"/>
                <w:sz w:val="24"/>
                <w:szCs w:val="26"/>
              </w:rPr>
              <w:t> </w:t>
            </w:r>
          </w:p>
        </w:tc>
        <w:tc>
          <w:tcPr>
            <w:tcW w:w="170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120" w:after="0" w:line="288" w:lineRule="auto"/>
              <w:ind w:firstLine="0"/>
              <w:jc w:val="center"/>
              <w:rPr>
                <w:b/>
                <w:bCs/>
                <w:color w:val="000000"/>
                <w:sz w:val="24"/>
                <w:szCs w:val="26"/>
              </w:rPr>
            </w:pPr>
            <w:r w:rsidRPr="00F36FB7">
              <w:rPr>
                <w:b/>
                <w:bCs/>
                <w:color w:val="000000"/>
                <w:sz w:val="24"/>
                <w:szCs w:val="26"/>
              </w:rPr>
              <w:t>Năng lượng</w:t>
            </w:r>
          </w:p>
        </w:tc>
        <w:tc>
          <w:tcPr>
            <w:tcW w:w="170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120" w:after="0" w:line="288" w:lineRule="auto"/>
              <w:ind w:firstLine="0"/>
              <w:jc w:val="center"/>
              <w:rPr>
                <w:b/>
                <w:bCs/>
                <w:color w:val="000000"/>
                <w:sz w:val="24"/>
                <w:szCs w:val="26"/>
              </w:rPr>
            </w:pPr>
            <w:r w:rsidRPr="00F36FB7">
              <w:rPr>
                <w:b/>
                <w:bCs/>
                <w:color w:val="000000"/>
                <w:sz w:val="24"/>
                <w:szCs w:val="26"/>
              </w:rPr>
              <w:t>Nông sản</w:t>
            </w:r>
          </w:p>
        </w:tc>
        <w:tc>
          <w:tcPr>
            <w:tcW w:w="170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120" w:after="0" w:line="288" w:lineRule="auto"/>
              <w:ind w:firstLine="0"/>
              <w:jc w:val="center"/>
              <w:rPr>
                <w:b/>
                <w:bCs/>
                <w:color w:val="000000"/>
                <w:sz w:val="24"/>
                <w:szCs w:val="26"/>
              </w:rPr>
            </w:pPr>
            <w:r w:rsidRPr="00F36FB7">
              <w:rPr>
                <w:b/>
                <w:bCs/>
                <w:color w:val="000000"/>
                <w:sz w:val="24"/>
                <w:szCs w:val="26"/>
              </w:rPr>
              <w:t>Lương thực</w:t>
            </w:r>
          </w:p>
        </w:tc>
        <w:tc>
          <w:tcPr>
            <w:tcW w:w="170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120" w:after="0" w:line="288" w:lineRule="auto"/>
              <w:ind w:firstLine="0"/>
              <w:jc w:val="center"/>
              <w:rPr>
                <w:b/>
                <w:bCs/>
                <w:color w:val="000000"/>
                <w:sz w:val="24"/>
                <w:szCs w:val="26"/>
              </w:rPr>
            </w:pPr>
            <w:r w:rsidRPr="00F36FB7">
              <w:rPr>
                <w:b/>
                <w:bCs/>
                <w:color w:val="000000"/>
                <w:sz w:val="24"/>
                <w:szCs w:val="26"/>
              </w:rPr>
              <w:t>Nguyên liệu thô</w:t>
            </w:r>
          </w:p>
        </w:tc>
        <w:tc>
          <w:tcPr>
            <w:tcW w:w="170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120" w:after="0" w:line="288" w:lineRule="auto"/>
              <w:ind w:firstLine="0"/>
              <w:jc w:val="center"/>
              <w:rPr>
                <w:b/>
                <w:bCs/>
                <w:color w:val="000000"/>
                <w:sz w:val="24"/>
                <w:szCs w:val="26"/>
              </w:rPr>
            </w:pPr>
            <w:r w:rsidRPr="00F36FB7">
              <w:rPr>
                <w:b/>
                <w:bCs/>
                <w:color w:val="000000"/>
                <w:sz w:val="24"/>
                <w:szCs w:val="26"/>
              </w:rPr>
              <w:t>Kim loại</w:t>
            </w:r>
          </w:p>
        </w:tc>
      </w:tr>
      <w:tr w:rsidR="00A8081D" w:rsidRPr="00F36FB7" w:rsidTr="00DF7769">
        <w:trPr>
          <w:trHeight w:val="282"/>
          <w:jc w:val="center"/>
        </w:trPr>
        <w:tc>
          <w:tcPr>
            <w:tcW w:w="905" w:type="dxa"/>
            <w:vMerge/>
            <w:tcBorders>
              <w:top w:val="single" w:sz="4" w:space="0" w:color="auto"/>
              <w:left w:val="single" w:sz="4" w:space="0" w:color="auto"/>
              <w:bottom w:val="single" w:sz="4" w:space="0" w:color="auto"/>
              <w:right w:val="single" w:sz="4" w:space="0" w:color="auto"/>
            </w:tcBorders>
            <w:vAlign w:val="center"/>
            <w:hideMark/>
          </w:tcPr>
          <w:p w:rsidR="00A8081D" w:rsidRPr="00F36FB7" w:rsidRDefault="00A8081D" w:rsidP="00F36FB7">
            <w:pPr>
              <w:spacing w:before="120" w:after="0" w:line="288" w:lineRule="auto"/>
              <w:ind w:firstLine="0"/>
              <w:rPr>
                <w:color w:val="000000"/>
                <w:sz w:val="24"/>
                <w:szCs w:val="26"/>
              </w:rPr>
            </w:pPr>
          </w:p>
        </w:tc>
        <w:tc>
          <w:tcPr>
            <w:tcW w:w="8535" w:type="dxa"/>
            <w:gridSpan w:val="10"/>
            <w:tcBorders>
              <w:top w:val="single" w:sz="4" w:space="0" w:color="auto"/>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 xml:space="preserve">Tốc độ tăng, giảm % </w:t>
            </w:r>
          </w:p>
        </w:tc>
      </w:tr>
      <w:tr w:rsidR="00C33048" w:rsidRPr="00F36FB7" w:rsidTr="00DF7769">
        <w:trPr>
          <w:trHeight w:val="846"/>
          <w:jc w:val="center"/>
        </w:trPr>
        <w:tc>
          <w:tcPr>
            <w:tcW w:w="905" w:type="dxa"/>
            <w:vMerge/>
            <w:tcBorders>
              <w:top w:val="single" w:sz="4" w:space="0" w:color="auto"/>
              <w:left w:val="single" w:sz="4" w:space="0" w:color="auto"/>
              <w:bottom w:val="single" w:sz="4" w:space="0" w:color="auto"/>
              <w:right w:val="single" w:sz="4" w:space="0" w:color="auto"/>
            </w:tcBorders>
            <w:vAlign w:val="center"/>
            <w:hideMark/>
          </w:tcPr>
          <w:p w:rsidR="00A8081D" w:rsidRPr="00F36FB7" w:rsidRDefault="00A8081D" w:rsidP="00F36FB7">
            <w:pPr>
              <w:spacing w:before="120" w:after="0" w:line="288" w:lineRule="auto"/>
              <w:ind w:firstLine="0"/>
              <w:rPr>
                <w:color w:val="000000"/>
                <w:sz w:val="24"/>
                <w:szCs w:val="26"/>
              </w:rPr>
            </w:pPr>
          </w:p>
        </w:tc>
        <w:tc>
          <w:tcPr>
            <w:tcW w:w="853" w:type="dxa"/>
            <w:tcBorders>
              <w:top w:val="nil"/>
              <w:left w:val="nil"/>
              <w:bottom w:val="single" w:sz="4" w:space="0" w:color="auto"/>
              <w:right w:val="single" w:sz="4" w:space="0" w:color="auto"/>
            </w:tcBorders>
            <w:shd w:val="clear" w:color="auto" w:fill="auto"/>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 xml:space="preserve">So với tháng trước </w:t>
            </w:r>
          </w:p>
        </w:tc>
        <w:tc>
          <w:tcPr>
            <w:tcW w:w="854" w:type="dxa"/>
            <w:tcBorders>
              <w:top w:val="nil"/>
              <w:left w:val="nil"/>
              <w:bottom w:val="single" w:sz="4" w:space="0" w:color="auto"/>
              <w:right w:val="single" w:sz="4" w:space="0" w:color="auto"/>
            </w:tcBorders>
            <w:shd w:val="clear" w:color="000000" w:fill="D8D8D8"/>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So với cùng kỳ</w:t>
            </w:r>
          </w:p>
        </w:tc>
        <w:tc>
          <w:tcPr>
            <w:tcW w:w="853" w:type="dxa"/>
            <w:tcBorders>
              <w:top w:val="nil"/>
              <w:left w:val="nil"/>
              <w:bottom w:val="single" w:sz="4" w:space="0" w:color="auto"/>
              <w:right w:val="single" w:sz="4" w:space="0" w:color="auto"/>
            </w:tcBorders>
            <w:shd w:val="clear" w:color="auto" w:fill="auto"/>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 xml:space="preserve">So với tháng trước </w:t>
            </w:r>
          </w:p>
        </w:tc>
        <w:tc>
          <w:tcPr>
            <w:tcW w:w="854" w:type="dxa"/>
            <w:tcBorders>
              <w:top w:val="nil"/>
              <w:left w:val="nil"/>
              <w:bottom w:val="single" w:sz="4" w:space="0" w:color="auto"/>
              <w:right w:val="single" w:sz="4" w:space="0" w:color="auto"/>
            </w:tcBorders>
            <w:shd w:val="clear" w:color="000000" w:fill="D8D8D8"/>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So với cùng kỳ</w:t>
            </w:r>
          </w:p>
        </w:tc>
        <w:tc>
          <w:tcPr>
            <w:tcW w:w="853" w:type="dxa"/>
            <w:tcBorders>
              <w:top w:val="nil"/>
              <w:left w:val="nil"/>
              <w:bottom w:val="single" w:sz="4" w:space="0" w:color="auto"/>
              <w:right w:val="single" w:sz="4" w:space="0" w:color="auto"/>
            </w:tcBorders>
            <w:shd w:val="clear" w:color="auto" w:fill="auto"/>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 xml:space="preserve">So với tháng trước </w:t>
            </w:r>
          </w:p>
        </w:tc>
        <w:tc>
          <w:tcPr>
            <w:tcW w:w="854" w:type="dxa"/>
            <w:tcBorders>
              <w:top w:val="nil"/>
              <w:left w:val="nil"/>
              <w:bottom w:val="single" w:sz="4" w:space="0" w:color="auto"/>
              <w:right w:val="single" w:sz="4" w:space="0" w:color="auto"/>
            </w:tcBorders>
            <w:shd w:val="clear" w:color="000000" w:fill="D8D8D8"/>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So với cùng kỳ</w:t>
            </w:r>
          </w:p>
        </w:tc>
        <w:tc>
          <w:tcPr>
            <w:tcW w:w="853" w:type="dxa"/>
            <w:tcBorders>
              <w:top w:val="nil"/>
              <w:left w:val="nil"/>
              <w:bottom w:val="single" w:sz="4" w:space="0" w:color="auto"/>
              <w:right w:val="single" w:sz="4" w:space="0" w:color="auto"/>
            </w:tcBorders>
            <w:shd w:val="clear" w:color="auto" w:fill="auto"/>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 xml:space="preserve">So với tháng trước </w:t>
            </w:r>
          </w:p>
        </w:tc>
        <w:tc>
          <w:tcPr>
            <w:tcW w:w="854" w:type="dxa"/>
            <w:tcBorders>
              <w:top w:val="nil"/>
              <w:left w:val="nil"/>
              <w:bottom w:val="single" w:sz="4" w:space="0" w:color="auto"/>
              <w:right w:val="single" w:sz="4" w:space="0" w:color="auto"/>
            </w:tcBorders>
            <w:shd w:val="clear" w:color="000000" w:fill="D8D8D8"/>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So với cùng kỳ</w:t>
            </w:r>
          </w:p>
        </w:tc>
        <w:tc>
          <w:tcPr>
            <w:tcW w:w="853" w:type="dxa"/>
            <w:tcBorders>
              <w:top w:val="nil"/>
              <w:left w:val="nil"/>
              <w:bottom w:val="single" w:sz="4" w:space="0" w:color="auto"/>
              <w:right w:val="single" w:sz="4" w:space="0" w:color="auto"/>
            </w:tcBorders>
            <w:shd w:val="clear" w:color="auto" w:fill="auto"/>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 xml:space="preserve">So với tháng trước </w:t>
            </w:r>
          </w:p>
        </w:tc>
        <w:tc>
          <w:tcPr>
            <w:tcW w:w="854" w:type="dxa"/>
            <w:tcBorders>
              <w:top w:val="nil"/>
              <w:left w:val="nil"/>
              <w:bottom w:val="single" w:sz="4" w:space="0" w:color="auto"/>
              <w:right w:val="single" w:sz="4" w:space="0" w:color="auto"/>
            </w:tcBorders>
            <w:shd w:val="clear" w:color="000000" w:fill="D8D8D8"/>
            <w:vAlign w:val="bottom"/>
            <w:hideMark/>
          </w:tcPr>
          <w:p w:rsidR="00A8081D" w:rsidRPr="00F36FB7" w:rsidRDefault="00A8081D" w:rsidP="00F36FB7">
            <w:pPr>
              <w:spacing w:before="120" w:after="0" w:line="288" w:lineRule="auto"/>
              <w:ind w:firstLine="0"/>
              <w:jc w:val="center"/>
              <w:rPr>
                <w:color w:val="000000"/>
                <w:sz w:val="24"/>
                <w:szCs w:val="26"/>
              </w:rPr>
            </w:pPr>
            <w:r w:rsidRPr="00F36FB7">
              <w:rPr>
                <w:color w:val="000000"/>
                <w:sz w:val="24"/>
                <w:szCs w:val="26"/>
              </w:rPr>
              <w:t>So với cùng kỳ</w:t>
            </w:r>
          </w:p>
        </w:tc>
      </w:tr>
      <w:tr w:rsidR="00C33048" w:rsidRPr="00F36FB7" w:rsidTr="00DF7769">
        <w:trPr>
          <w:trHeight w:val="282"/>
          <w:jc w:val="center"/>
        </w:trPr>
        <w:tc>
          <w:tcPr>
            <w:tcW w:w="905" w:type="dxa"/>
            <w:tcBorders>
              <w:top w:val="nil"/>
              <w:left w:val="single" w:sz="4" w:space="0" w:color="auto"/>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rPr>
                <w:b/>
                <w:bCs/>
                <w:color w:val="000000"/>
                <w:sz w:val="24"/>
                <w:szCs w:val="26"/>
              </w:rPr>
            </w:pPr>
            <w:r w:rsidRPr="00F36FB7">
              <w:rPr>
                <w:b/>
                <w:bCs/>
                <w:color w:val="000000"/>
                <w:sz w:val="24"/>
                <w:szCs w:val="26"/>
              </w:rPr>
              <w:t>T1/2016</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-15,34</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-35,78</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-2,2</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-11,81</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-0,94</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-13,9</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-2,19</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-6,07</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-2,04</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-25,18</w:t>
            </w:r>
          </w:p>
        </w:tc>
      </w:tr>
      <w:tr w:rsidR="00C33048" w:rsidRPr="00F36FB7" w:rsidTr="00DF7769">
        <w:trPr>
          <w:trHeight w:val="282"/>
          <w:jc w:val="center"/>
        </w:trPr>
        <w:tc>
          <w:tcPr>
            <w:tcW w:w="905" w:type="dxa"/>
            <w:tcBorders>
              <w:top w:val="nil"/>
              <w:left w:val="single" w:sz="4" w:space="0" w:color="auto"/>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rPr>
                <w:b/>
                <w:bCs/>
                <w:color w:val="000000"/>
                <w:sz w:val="24"/>
                <w:szCs w:val="26"/>
              </w:rPr>
            </w:pPr>
            <w:r w:rsidRPr="00F36FB7">
              <w:rPr>
                <w:b/>
                <w:bCs/>
                <w:color w:val="000000"/>
                <w:sz w:val="24"/>
                <w:szCs w:val="26"/>
              </w:rPr>
              <w:t>T2/2016</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1,83</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-41,46</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1,08</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-9,6</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1,61</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-10,44</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1,03</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-6,85</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4,47</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-20,3</w:t>
            </w:r>
          </w:p>
        </w:tc>
      </w:tr>
      <w:tr w:rsidR="00C33048" w:rsidRPr="00F36FB7" w:rsidTr="00DF7769">
        <w:trPr>
          <w:trHeight w:val="282"/>
          <w:jc w:val="center"/>
        </w:trPr>
        <w:tc>
          <w:tcPr>
            <w:tcW w:w="905" w:type="dxa"/>
            <w:tcBorders>
              <w:top w:val="nil"/>
              <w:left w:val="single" w:sz="4" w:space="0" w:color="auto"/>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rPr>
                <w:b/>
                <w:bCs/>
                <w:color w:val="000000"/>
                <w:sz w:val="24"/>
                <w:szCs w:val="26"/>
              </w:rPr>
            </w:pPr>
            <w:r w:rsidRPr="00F36FB7">
              <w:rPr>
                <w:b/>
                <w:bCs/>
                <w:color w:val="000000"/>
                <w:sz w:val="24"/>
                <w:szCs w:val="26"/>
              </w:rPr>
              <w:t>T3/2016</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14,86</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-30,63</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2,2</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-4,95</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2,12</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-6,05</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1,24</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-4,14</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6,01</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-14,77</w:t>
            </w:r>
          </w:p>
        </w:tc>
      </w:tr>
      <w:tr w:rsidR="00C33048" w:rsidRPr="00F36FB7" w:rsidTr="00DF7769">
        <w:trPr>
          <w:trHeight w:val="282"/>
          <w:jc w:val="center"/>
        </w:trPr>
        <w:tc>
          <w:tcPr>
            <w:tcW w:w="905" w:type="dxa"/>
            <w:tcBorders>
              <w:top w:val="nil"/>
              <w:left w:val="single" w:sz="4" w:space="0" w:color="auto"/>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rPr>
                <w:b/>
                <w:bCs/>
                <w:color w:val="000000"/>
                <w:sz w:val="24"/>
                <w:szCs w:val="26"/>
              </w:rPr>
            </w:pPr>
            <w:r w:rsidRPr="00F36FB7">
              <w:rPr>
                <w:b/>
                <w:bCs/>
                <w:color w:val="000000"/>
                <w:sz w:val="24"/>
                <w:szCs w:val="26"/>
              </w:rPr>
              <w:t>T4/2016</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8,09</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-29,1</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2,74</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-2,05</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2,91</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-2,33</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3,33</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-1,05</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1,36</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-14,01</w:t>
            </w:r>
          </w:p>
        </w:tc>
      </w:tr>
      <w:tr w:rsidR="00C33048" w:rsidRPr="00F36FB7" w:rsidTr="00DF7769">
        <w:trPr>
          <w:trHeight w:val="282"/>
          <w:jc w:val="center"/>
        </w:trPr>
        <w:tc>
          <w:tcPr>
            <w:tcW w:w="905" w:type="dxa"/>
            <w:tcBorders>
              <w:top w:val="nil"/>
              <w:left w:val="single" w:sz="4" w:space="0" w:color="auto"/>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rPr>
                <w:b/>
                <w:bCs/>
                <w:color w:val="000000"/>
                <w:sz w:val="24"/>
                <w:szCs w:val="26"/>
              </w:rPr>
            </w:pPr>
            <w:r w:rsidRPr="00F36FB7">
              <w:rPr>
                <w:b/>
                <w:bCs/>
                <w:color w:val="000000"/>
                <w:sz w:val="24"/>
                <w:szCs w:val="26"/>
              </w:rPr>
              <w:t>T5/2016</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10,74</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-27,11</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3,27</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1,57</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4,51</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4,32</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0,48</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-3,28</w:t>
            </w:r>
          </w:p>
        </w:tc>
        <w:tc>
          <w:tcPr>
            <w:tcW w:w="853" w:type="dxa"/>
            <w:tcBorders>
              <w:top w:val="nil"/>
              <w:left w:val="nil"/>
              <w:bottom w:val="single" w:sz="4" w:space="0" w:color="auto"/>
              <w:right w:val="single" w:sz="4" w:space="0" w:color="auto"/>
            </w:tcBorders>
            <w:shd w:val="clear" w:color="auto" w:fill="auto"/>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-3,23</w:t>
            </w:r>
          </w:p>
        </w:tc>
        <w:tc>
          <w:tcPr>
            <w:tcW w:w="854" w:type="dxa"/>
            <w:tcBorders>
              <w:top w:val="nil"/>
              <w:left w:val="nil"/>
              <w:bottom w:val="single" w:sz="4" w:space="0" w:color="auto"/>
              <w:right w:val="single" w:sz="4" w:space="0" w:color="auto"/>
            </w:tcBorders>
            <w:shd w:val="clear" w:color="000000" w:fill="D8D8D8"/>
            <w:noWrap/>
            <w:vAlign w:val="bottom"/>
            <w:hideMark/>
          </w:tcPr>
          <w:p w:rsidR="00A8081D" w:rsidRPr="00F36FB7" w:rsidRDefault="00A8081D" w:rsidP="00F36FB7">
            <w:pPr>
              <w:spacing w:before="120" w:after="0" w:line="288" w:lineRule="auto"/>
              <w:ind w:firstLine="0"/>
              <w:jc w:val="right"/>
              <w:rPr>
                <w:color w:val="000000"/>
                <w:sz w:val="24"/>
                <w:szCs w:val="26"/>
              </w:rPr>
            </w:pPr>
            <w:r w:rsidRPr="00F36FB7">
              <w:rPr>
                <w:color w:val="000000"/>
                <w:sz w:val="24"/>
                <w:szCs w:val="26"/>
              </w:rPr>
              <w:t>-19,57</w:t>
            </w:r>
          </w:p>
        </w:tc>
      </w:tr>
    </w:tbl>
    <w:p w:rsidR="00A8081D" w:rsidRPr="00F36FB7" w:rsidRDefault="00A8081D" w:rsidP="00F36FB7">
      <w:pPr>
        <w:spacing w:before="120" w:line="288" w:lineRule="auto"/>
        <w:jc w:val="center"/>
        <w:rPr>
          <w:b/>
          <w:sz w:val="26"/>
          <w:szCs w:val="26"/>
        </w:rPr>
      </w:pPr>
    </w:p>
    <w:p w:rsidR="00A8081D" w:rsidRPr="00F36FB7" w:rsidRDefault="00A8081D" w:rsidP="00F36FB7">
      <w:pPr>
        <w:spacing w:before="120" w:line="288" w:lineRule="auto"/>
        <w:jc w:val="center"/>
        <w:rPr>
          <w:b/>
          <w:sz w:val="26"/>
          <w:szCs w:val="26"/>
        </w:rPr>
      </w:pPr>
      <w:r w:rsidRPr="00F36FB7">
        <w:rPr>
          <w:b/>
          <w:sz w:val="26"/>
          <w:szCs w:val="26"/>
        </w:rPr>
        <w:t>Dự báo giá hàng hóa 2016</w:t>
      </w:r>
    </w:p>
    <w:tbl>
      <w:tblPr>
        <w:tblW w:w="9187" w:type="dxa"/>
        <w:jc w:val="center"/>
        <w:tblInd w:w="91" w:type="dxa"/>
        <w:tblLook w:val="04A0" w:firstRow="1" w:lastRow="0" w:firstColumn="1" w:lastColumn="0" w:noHBand="0" w:noVBand="1"/>
      </w:tblPr>
      <w:tblGrid>
        <w:gridCol w:w="763"/>
        <w:gridCol w:w="1065"/>
        <w:gridCol w:w="763"/>
        <w:gridCol w:w="994"/>
        <w:gridCol w:w="763"/>
        <w:gridCol w:w="1083"/>
        <w:gridCol w:w="858"/>
        <w:gridCol w:w="1040"/>
        <w:gridCol w:w="799"/>
        <w:gridCol w:w="1059"/>
      </w:tblGrid>
      <w:tr w:rsidR="00A8081D" w:rsidRPr="00F36FB7" w:rsidTr="00DF7769">
        <w:trPr>
          <w:trHeight w:val="315"/>
          <w:jc w:val="center"/>
        </w:trPr>
        <w:tc>
          <w:tcPr>
            <w:tcW w:w="182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8081D" w:rsidRPr="00F36FB7" w:rsidRDefault="00A8081D" w:rsidP="00F36FB7">
            <w:pPr>
              <w:spacing w:before="60" w:after="60" w:line="288" w:lineRule="auto"/>
              <w:ind w:firstLine="0"/>
              <w:jc w:val="center"/>
              <w:rPr>
                <w:b/>
                <w:bCs/>
                <w:color w:val="000000"/>
                <w:sz w:val="24"/>
                <w:szCs w:val="26"/>
              </w:rPr>
            </w:pPr>
            <w:r w:rsidRPr="00F36FB7">
              <w:rPr>
                <w:b/>
                <w:bCs/>
                <w:color w:val="000000"/>
                <w:sz w:val="24"/>
                <w:szCs w:val="26"/>
              </w:rPr>
              <w:t>Năng lượng</w:t>
            </w:r>
          </w:p>
        </w:tc>
        <w:tc>
          <w:tcPr>
            <w:tcW w:w="175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60" w:after="60" w:line="288" w:lineRule="auto"/>
              <w:ind w:firstLine="0"/>
              <w:jc w:val="center"/>
              <w:rPr>
                <w:b/>
                <w:bCs/>
                <w:color w:val="000000"/>
                <w:sz w:val="24"/>
                <w:szCs w:val="26"/>
              </w:rPr>
            </w:pPr>
            <w:r w:rsidRPr="00F36FB7">
              <w:rPr>
                <w:b/>
                <w:bCs/>
                <w:color w:val="000000"/>
                <w:sz w:val="24"/>
                <w:szCs w:val="26"/>
              </w:rPr>
              <w:t>Nông sản</w:t>
            </w:r>
          </w:p>
        </w:tc>
        <w:tc>
          <w:tcPr>
            <w:tcW w:w="1846"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60" w:after="60" w:line="288" w:lineRule="auto"/>
              <w:ind w:firstLine="0"/>
              <w:jc w:val="center"/>
              <w:rPr>
                <w:b/>
                <w:bCs/>
                <w:color w:val="000000"/>
                <w:sz w:val="24"/>
                <w:szCs w:val="26"/>
              </w:rPr>
            </w:pPr>
            <w:r w:rsidRPr="00F36FB7">
              <w:rPr>
                <w:b/>
                <w:bCs/>
                <w:color w:val="000000"/>
                <w:sz w:val="24"/>
                <w:szCs w:val="26"/>
              </w:rPr>
              <w:t>Lương thực</w:t>
            </w:r>
          </w:p>
        </w:tc>
        <w:tc>
          <w:tcPr>
            <w:tcW w:w="1898"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60" w:after="60" w:line="288" w:lineRule="auto"/>
              <w:ind w:firstLine="0"/>
              <w:jc w:val="center"/>
              <w:rPr>
                <w:b/>
                <w:bCs/>
                <w:color w:val="000000"/>
                <w:sz w:val="24"/>
                <w:szCs w:val="26"/>
              </w:rPr>
            </w:pPr>
            <w:r w:rsidRPr="00F36FB7">
              <w:rPr>
                <w:b/>
                <w:bCs/>
                <w:color w:val="000000"/>
                <w:sz w:val="24"/>
                <w:szCs w:val="26"/>
              </w:rPr>
              <w:t>Nguyên liệu thô</w:t>
            </w:r>
          </w:p>
        </w:tc>
        <w:tc>
          <w:tcPr>
            <w:tcW w:w="1858"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60" w:after="60" w:line="288" w:lineRule="auto"/>
              <w:ind w:firstLine="0"/>
              <w:jc w:val="center"/>
              <w:rPr>
                <w:b/>
                <w:bCs/>
                <w:color w:val="000000"/>
                <w:sz w:val="24"/>
                <w:szCs w:val="26"/>
              </w:rPr>
            </w:pPr>
            <w:r w:rsidRPr="00F36FB7">
              <w:rPr>
                <w:b/>
                <w:bCs/>
                <w:color w:val="000000"/>
                <w:sz w:val="24"/>
                <w:szCs w:val="26"/>
              </w:rPr>
              <w:t>Kim loại</w:t>
            </w:r>
          </w:p>
        </w:tc>
      </w:tr>
      <w:tr w:rsidR="00C33048" w:rsidRPr="00F36FB7" w:rsidTr="00DF7769">
        <w:trPr>
          <w:trHeight w:val="630"/>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Index</w:t>
            </w:r>
          </w:p>
        </w:tc>
        <w:tc>
          <w:tcPr>
            <w:tcW w:w="1065" w:type="dxa"/>
            <w:tcBorders>
              <w:top w:val="nil"/>
              <w:left w:val="nil"/>
              <w:bottom w:val="single" w:sz="4" w:space="0" w:color="auto"/>
              <w:right w:val="single" w:sz="4" w:space="0" w:color="auto"/>
            </w:tcBorders>
            <w:shd w:val="clear" w:color="000000" w:fill="D8D8D8"/>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Tăng, giảm % so với 2015</w:t>
            </w:r>
          </w:p>
        </w:tc>
        <w:tc>
          <w:tcPr>
            <w:tcW w:w="763" w:type="dxa"/>
            <w:tcBorders>
              <w:top w:val="nil"/>
              <w:left w:val="nil"/>
              <w:bottom w:val="single" w:sz="4" w:space="0" w:color="auto"/>
              <w:right w:val="single" w:sz="4" w:space="0" w:color="auto"/>
            </w:tcBorders>
            <w:shd w:val="clear" w:color="auto" w:fill="auto"/>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Index</w:t>
            </w:r>
          </w:p>
        </w:tc>
        <w:tc>
          <w:tcPr>
            <w:tcW w:w="994" w:type="dxa"/>
            <w:tcBorders>
              <w:top w:val="nil"/>
              <w:left w:val="nil"/>
              <w:bottom w:val="single" w:sz="4" w:space="0" w:color="auto"/>
              <w:right w:val="single" w:sz="4" w:space="0" w:color="auto"/>
            </w:tcBorders>
            <w:shd w:val="clear" w:color="000000" w:fill="D8D8D8"/>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Tăng, giảm % so với 2015</w:t>
            </w:r>
          </w:p>
        </w:tc>
        <w:tc>
          <w:tcPr>
            <w:tcW w:w="763" w:type="dxa"/>
            <w:tcBorders>
              <w:top w:val="nil"/>
              <w:left w:val="nil"/>
              <w:bottom w:val="single" w:sz="4" w:space="0" w:color="auto"/>
              <w:right w:val="single" w:sz="4" w:space="0" w:color="auto"/>
            </w:tcBorders>
            <w:shd w:val="clear" w:color="auto" w:fill="auto"/>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Index</w:t>
            </w:r>
          </w:p>
        </w:tc>
        <w:tc>
          <w:tcPr>
            <w:tcW w:w="1083" w:type="dxa"/>
            <w:tcBorders>
              <w:top w:val="nil"/>
              <w:left w:val="nil"/>
              <w:bottom w:val="single" w:sz="4" w:space="0" w:color="auto"/>
              <w:right w:val="single" w:sz="4" w:space="0" w:color="auto"/>
            </w:tcBorders>
            <w:shd w:val="clear" w:color="000000" w:fill="D8D8D8"/>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Tăng, giảm % so với 2015</w:t>
            </w:r>
          </w:p>
        </w:tc>
        <w:tc>
          <w:tcPr>
            <w:tcW w:w="858" w:type="dxa"/>
            <w:tcBorders>
              <w:top w:val="nil"/>
              <w:left w:val="nil"/>
              <w:bottom w:val="single" w:sz="4" w:space="0" w:color="auto"/>
              <w:right w:val="single" w:sz="4" w:space="0" w:color="auto"/>
            </w:tcBorders>
            <w:shd w:val="clear" w:color="auto" w:fill="auto"/>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Index</w:t>
            </w:r>
          </w:p>
        </w:tc>
        <w:tc>
          <w:tcPr>
            <w:tcW w:w="1040" w:type="dxa"/>
            <w:tcBorders>
              <w:top w:val="nil"/>
              <w:left w:val="nil"/>
              <w:bottom w:val="single" w:sz="4" w:space="0" w:color="auto"/>
              <w:right w:val="single" w:sz="4" w:space="0" w:color="auto"/>
            </w:tcBorders>
            <w:shd w:val="clear" w:color="000000" w:fill="D8D8D8"/>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Tăng, giảm % so với 2015</w:t>
            </w:r>
          </w:p>
        </w:tc>
        <w:tc>
          <w:tcPr>
            <w:tcW w:w="799" w:type="dxa"/>
            <w:tcBorders>
              <w:top w:val="nil"/>
              <w:left w:val="nil"/>
              <w:bottom w:val="single" w:sz="4" w:space="0" w:color="auto"/>
              <w:right w:val="single" w:sz="4" w:space="0" w:color="auto"/>
            </w:tcBorders>
            <w:shd w:val="clear" w:color="auto" w:fill="auto"/>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Index</w:t>
            </w:r>
          </w:p>
        </w:tc>
        <w:tc>
          <w:tcPr>
            <w:tcW w:w="1059" w:type="dxa"/>
            <w:tcBorders>
              <w:top w:val="nil"/>
              <w:left w:val="nil"/>
              <w:bottom w:val="single" w:sz="4" w:space="0" w:color="auto"/>
              <w:right w:val="single" w:sz="4" w:space="0" w:color="auto"/>
            </w:tcBorders>
            <w:shd w:val="clear" w:color="000000" w:fill="D8D8D8"/>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Tăng, giảm % so với 2015</w:t>
            </w:r>
          </w:p>
        </w:tc>
      </w:tr>
      <w:tr w:rsidR="00C33048" w:rsidRPr="00F36FB7" w:rsidTr="00DF7769">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52,4</w:t>
            </w:r>
          </w:p>
        </w:tc>
        <w:tc>
          <w:tcPr>
            <w:tcW w:w="1065" w:type="dxa"/>
            <w:tcBorders>
              <w:top w:val="nil"/>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-19,3</w:t>
            </w:r>
          </w:p>
        </w:tc>
        <w:tc>
          <w:tcPr>
            <w:tcW w:w="763" w:type="dxa"/>
            <w:tcBorders>
              <w:top w:val="nil"/>
              <w:left w:val="nil"/>
              <w:bottom w:val="single" w:sz="4" w:space="0" w:color="auto"/>
              <w:right w:val="single" w:sz="4" w:space="0" w:color="auto"/>
            </w:tcBorders>
            <w:shd w:val="clear" w:color="auto" w:fill="auto"/>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86,2</w:t>
            </w:r>
          </w:p>
        </w:tc>
        <w:tc>
          <w:tcPr>
            <w:tcW w:w="994" w:type="dxa"/>
            <w:tcBorders>
              <w:top w:val="nil"/>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-3,5</w:t>
            </w:r>
          </w:p>
        </w:tc>
        <w:tc>
          <w:tcPr>
            <w:tcW w:w="763" w:type="dxa"/>
            <w:tcBorders>
              <w:top w:val="nil"/>
              <w:left w:val="nil"/>
              <w:bottom w:val="single" w:sz="4" w:space="0" w:color="auto"/>
              <w:right w:val="single" w:sz="4" w:space="0" w:color="auto"/>
            </w:tcBorders>
            <w:shd w:val="clear" w:color="auto" w:fill="auto"/>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87,8</w:t>
            </w:r>
          </w:p>
        </w:tc>
        <w:tc>
          <w:tcPr>
            <w:tcW w:w="1083" w:type="dxa"/>
            <w:tcBorders>
              <w:top w:val="nil"/>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-3,4</w:t>
            </w:r>
          </w:p>
        </w:tc>
        <w:tc>
          <w:tcPr>
            <w:tcW w:w="858" w:type="dxa"/>
            <w:tcBorders>
              <w:top w:val="nil"/>
              <w:left w:val="nil"/>
              <w:bottom w:val="single" w:sz="4" w:space="0" w:color="auto"/>
              <w:right w:val="single" w:sz="4" w:space="0" w:color="auto"/>
            </w:tcBorders>
            <w:shd w:val="clear" w:color="auto" w:fill="auto"/>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80,8</w:t>
            </w:r>
          </w:p>
        </w:tc>
        <w:tc>
          <w:tcPr>
            <w:tcW w:w="1040" w:type="dxa"/>
            <w:tcBorders>
              <w:top w:val="nil"/>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-2,9</w:t>
            </w:r>
          </w:p>
        </w:tc>
        <w:tc>
          <w:tcPr>
            <w:tcW w:w="799" w:type="dxa"/>
            <w:tcBorders>
              <w:top w:val="nil"/>
              <w:left w:val="nil"/>
              <w:bottom w:val="single" w:sz="4" w:space="0" w:color="auto"/>
              <w:right w:val="single" w:sz="4" w:space="0" w:color="auto"/>
            </w:tcBorders>
            <w:shd w:val="clear" w:color="auto" w:fill="auto"/>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61,4</w:t>
            </w:r>
          </w:p>
        </w:tc>
        <w:tc>
          <w:tcPr>
            <w:tcW w:w="1059" w:type="dxa"/>
            <w:tcBorders>
              <w:top w:val="nil"/>
              <w:left w:val="nil"/>
              <w:bottom w:val="single" w:sz="4" w:space="0" w:color="auto"/>
              <w:right w:val="single" w:sz="4" w:space="0" w:color="auto"/>
            </w:tcBorders>
            <w:shd w:val="clear" w:color="000000" w:fill="D8D8D8"/>
            <w:noWrap/>
            <w:vAlign w:val="center"/>
            <w:hideMark/>
          </w:tcPr>
          <w:p w:rsidR="00A8081D" w:rsidRPr="00F36FB7" w:rsidRDefault="00A8081D" w:rsidP="00F36FB7">
            <w:pPr>
              <w:spacing w:before="60" w:after="60" w:line="288" w:lineRule="auto"/>
              <w:ind w:firstLine="0"/>
              <w:jc w:val="center"/>
              <w:rPr>
                <w:color w:val="000000"/>
                <w:sz w:val="24"/>
                <w:szCs w:val="26"/>
              </w:rPr>
            </w:pPr>
            <w:r w:rsidRPr="00F36FB7">
              <w:rPr>
                <w:color w:val="000000"/>
                <w:sz w:val="24"/>
                <w:szCs w:val="26"/>
              </w:rPr>
              <w:t>-8,2</w:t>
            </w:r>
          </w:p>
        </w:tc>
      </w:tr>
    </w:tbl>
    <w:p w:rsidR="00D41269" w:rsidRPr="00F36FB7" w:rsidRDefault="00C33048" w:rsidP="00F36FB7">
      <w:pPr>
        <w:tabs>
          <w:tab w:val="left" w:pos="142"/>
          <w:tab w:val="left" w:pos="426"/>
        </w:tabs>
        <w:spacing w:before="120" w:line="288" w:lineRule="auto"/>
        <w:ind w:firstLine="0"/>
        <w:jc w:val="right"/>
        <w:rPr>
          <w:rFonts w:eastAsiaTheme="minorHAnsi"/>
          <w:i/>
          <w:sz w:val="26"/>
          <w:szCs w:val="26"/>
        </w:rPr>
      </w:pPr>
      <w:r w:rsidRPr="00F36FB7">
        <w:rPr>
          <w:rFonts w:eastAsiaTheme="minorHAnsi"/>
          <w:i/>
          <w:sz w:val="26"/>
          <w:szCs w:val="26"/>
        </w:rPr>
        <w:t>Nguồn: WB</w:t>
      </w:r>
    </w:p>
    <w:p w:rsidR="00D41269" w:rsidRPr="00F36FB7" w:rsidRDefault="00D41269" w:rsidP="00F36FB7">
      <w:pPr>
        <w:spacing w:before="120" w:line="288" w:lineRule="auto"/>
        <w:ind w:firstLine="0"/>
        <w:jc w:val="left"/>
        <w:rPr>
          <w:b/>
          <w:sz w:val="26"/>
          <w:szCs w:val="26"/>
        </w:rPr>
      </w:pPr>
      <w:r w:rsidRPr="00F36FB7">
        <w:rPr>
          <w:b/>
          <w:sz w:val="26"/>
          <w:szCs w:val="26"/>
        </w:rPr>
        <w:br w:type="page"/>
      </w:r>
    </w:p>
    <w:p w:rsidR="00BC12DD" w:rsidRDefault="00BC12DD" w:rsidP="00F36FB7">
      <w:pPr>
        <w:spacing w:before="120" w:line="288" w:lineRule="auto"/>
        <w:ind w:firstLine="0"/>
        <w:jc w:val="left"/>
        <w:rPr>
          <w:b/>
          <w:sz w:val="26"/>
          <w:szCs w:val="26"/>
        </w:rPr>
      </w:pPr>
    </w:p>
    <w:p w:rsidR="005926AC" w:rsidRPr="00F36FB7" w:rsidRDefault="009060FA" w:rsidP="00F36FB7">
      <w:pPr>
        <w:spacing w:before="120" w:line="288" w:lineRule="auto"/>
        <w:ind w:firstLine="0"/>
        <w:jc w:val="left"/>
        <w:rPr>
          <w:b/>
          <w:sz w:val="26"/>
          <w:szCs w:val="26"/>
        </w:rPr>
      </w:pPr>
      <w:r w:rsidRPr="00F36FB7">
        <w:rPr>
          <w:b/>
          <w:sz w:val="26"/>
          <w:szCs w:val="26"/>
        </w:rPr>
        <w:t xml:space="preserve">I.  </w:t>
      </w:r>
      <w:r w:rsidR="008025B2" w:rsidRPr="00F36FB7">
        <w:rPr>
          <w:b/>
          <w:sz w:val="26"/>
          <w:szCs w:val="26"/>
        </w:rPr>
        <w:t>KINH</w:t>
      </w:r>
      <w:r w:rsidR="005926AC" w:rsidRPr="00F36FB7">
        <w:rPr>
          <w:b/>
          <w:sz w:val="26"/>
          <w:szCs w:val="26"/>
        </w:rPr>
        <w:t xml:space="preserve"> TẾ VIỆT NAM</w:t>
      </w:r>
    </w:p>
    <w:p w:rsidR="00E43672" w:rsidRDefault="00966A63" w:rsidP="00F36FB7">
      <w:pPr>
        <w:tabs>
          <w:tab w:val="left" w:pos="270"/>
        </w:tabs>
        <w:spacing w:before="120" w:line="288" w:lineRule="auto"/>
        <w:ind w:left="270" w:hanging="270"/>
        <w:rPr>
          <w:b/>
          <w:sz w:val="26"/>
          <w:szCs w:val="26"/>
          <w:lang w:val="pl-PL"/>
        </w:rPr>
      </w:pPr>
      <w:r w:rsidRPr="00F36FB7">
        <w:rPr>
          <w:b/>
          <w:sz w:val="26"/>
          <w:szCs w:val="26"/>
          <w:lang w:val="pl-PL"/>
        </w:rPr>
        <w:t xml:space="preserve">1. </w:t>
      </w:r>
      <w:r w:rsidR="009D2B81" w:rsidRPr="00F36FB7">
        <w:rPr>
          <w:b/>
          <w:sz w:val="26"/>
          <w:szCs w:val="26"/>
          <w:lang w:val="pl-PL"/>
        </w:rPr>
        <w:t>Về tăng trưởng kinh tế</w:t>
      </w:r>
    </w:p>
    <w:p w:rsidR="00BC12DD" w:rsidRPr="00D53469" w:rsidRDefault="00BC12DD" w:rsidP="00BC12DD">
      <w:pPr>
        <w:spacing w:before="120" w:line="288" w:lineRule="auto"/>
        <w:ind w:firstLine="567"/>
        <w:rPr>
          <w:sz w:val="26"/>
          <w:szCs w:val="26"/>
          <w:lang w:val="pl-PL"/>
        </w:rPr>
      </w:pPr>
      <w:r w:rsidRPr="00F36FB7">
        <w:rPr>
          <w:b/>
          <w:sz w:val="26"/>
          <w:szCs w:val="26"/>
          <w:lang w:val="pl-PL"/>
        </w:rPr>
        <w:t>Tăng trưởng GDP 6 tháng đầu năm 2016 tiếp tục tăng thấp hơn so với cùng kỳ 2015</w:t>
      </w:r>
      <w:r w:rsidRPr="00F36FB7">
        <w:rPr>
          <w:b/>
          <w:i/>
          <w:sz w:val="26"/>
          <w:szCs w:val="26"/>
          <w:lang w:val="pl-PL"/>
        </w:rPr>
        <w:t xml:space="preserve"> </w:t>
      </w:r>
      <w:r w:rsidRPr="00D53469">
        <w:rPr>
          <w:sz w:val="26"/>
          <w:szCs w:val="26"/>
          <w:lang w:val="pl-PL"/>
        </w:rPr>
        <w:t>(6T/2016: 5,52%; 6T/2015: 6,28%)</w:t>
      </w:r>
    </w:p>
    <w:p w:rsidR="00BC12DD" w:rsidRPr="00F36FB7" w:rsidRDefault="00BC12DD" w:rsidP="00BC12DD">
      <w:pPr>
        <w:spacing w:before="120" w:line="288" w:lineRule="auto"/>
        <w:ind w:firstLine="567"/>
        <w:rPr>
          <w:sz w:val="26"/>
          <w:szCs w:val="26"/>
          <w:lang w:val="pl-PL"/>
        </w:rPr>
      </w:pPr>
      <w:r w:rsidRPr="00F36FB7">
        <w:rPr>
          <w:b/>
          <w:i/>
          <w:sz w:val="26"/>
          <w:szCs w:val="26"/>
          <w:lang w:val="pl-PL"/>
        </w:rPr>
        <w:t>-</w:t>
      </w:r>
      <w:r>
        <w:rPr>
          <w:b/>
          <w:i/>
          <w:sz w:val="26"/>
          <w:szCs w:val="26"/>
          <w:lang w:val="pl-PL"/>
        </w:rPr>
        <w:t xml:space="preserve"> Nguyên nhân GDP tăng thấp chủ </w:t>
      </w:r>
      <w:r w:rsidRPr="00F36FB7">
        <w:rPr>
          <w:b/>
          <w:i/>
          <w:sz w:val="26"/>
          <w:szCs w:val="26"/>
          <w:lang w:val="pl-PL"/>
        </w:rPr>
        <w:t>yếu do sự suy giảm tăng trưởng của khu vực nông nghiệp và khai khoáng</w:t>
      </w:r>
      <w:r w:rsidRPr="00F36FB7">
        <w:rPr>
          <w:sz w:val="26"/>
          <w:szCs w:val="26"/>
          <w:lang w:val="pl-PL"/>
        </w:rPr>
        <w:t>. Cụ thể:</w:t>
      </w:r>
    </w:p>
    <w:tbl>
      <w:tblPr>
        <w:tblStyle w:val="TableGrid"/>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866"/>
      </w:tblGrid>
      <w:tr w:rsidR="00E43672" w:rsidRPr="00F36FB7" w:rsidTr="00BC12DD">
        <w:trPr>
          <w:trHeight w:val="8393"/>
        </w:trPr>
        <w:tc>
          <w:tcPr>
            <w:tcW w:w="4340" w:type="dxa"/>
          </w:tcPr>
          <w:p w:rsidR="004A3996" w:rsidRPr="004A3996" w:rsidRDefault="004A3996" w:rsidP="004A3996">
            <w:pPr>
              <w:pStyle w:val="ListParagraph"/>
              <w:numPr>
                <w:ilvl w:val="0"/>
                <w:numId w:val="15"/>
              </w:numPr>
              <w:tabs>
                <w:tab w:val="left" w:pos="651"/>
                <w:tab w:val="left" w:pos="818"/>
              </w:tabs>
              <w:spacing w:before="120" w:line="288" w:lineRule="auto"/>
              <w:ind w:left="0" w:firstLine="432"/>
              <w:contextualSpacing w:val="0"/>
              <w:rPr>
                <w:b/>
                <w:i/>
                <w:sz w:val="26"/>
                <w:szCs w:val="26"/>
                <w:lang w:val="pl-PL"/>
              </w:rPr>
            </w:pPr>
            <w:r>
              <w:rPr>
                <w:rFonts w:eastAsiaTheme="minorHAnsi"/>
                <w:sz w:val="26"/>
                <w:szCs w:val="26"/>
                <w:lang w:val="pl-PL"/>
              </w:rPr>
              <w:t xml:space="preserve">Trong khi vốn đầu tư toàn xã hội vẫn đảm bảo 32,9% GDP trong 6 tháng/2016 (cùng kì 2015 là 31,1% GDP), </w:t>
            </w:r>
            <w:r>
              <w:rPr>
                <w:rFonts w:eastAsiaTheme="minorHAnsi"/>
                <w:b/>
                <w:i/>
                <w:sz w:val="26"/>
                <w:szCs w:val="26"/>
                <w:lang w:val="pl-PL"/>
              </w:rPr>
              <w:t>t</w:t>
            </w:r>
            <w:r w:rsidRPr="004917C0">
              <w:rPr>
                <w:rFonts w:eastAsiaTheme="minorHAnsi"/>
                <w:b/>
                <w:i/>
                <w:sz w:val="26"/>
                <w:szCs w:val="26"/>
                <w:lang w:val="pl-PL"/>
              </w:rPr>
              <w:t xml:space="preserve">ăng </w:t>
            </w:r>
            <w:r>
              <w:rPr>
                <w:rFonts w:eastAsiaTheme="minorHAnsi"/>
                <w:b/>
                <w:i/>
                <w:sz w:val="26"/>
                <w:szCs w:val="26"/>
                <w:lang w:val="pl-PL"/>
              </w:rPr>
              <w:t xml:space="preserve">trưởng GDP </w:t>
            </w:r>
            <w:r w:rsidRPr="004917C0">
              <w:rPr>
                <w:rFonts w:eastAsiaTheme="minorHAnsi"/>
                <w:b/>
                <w:i/>
                <w:sz w:val="26"/>
                <w:szCs w:val="26"/>
                <w:lang w:val="pl-PL"/>
              </w:rPr>
              <w:t>chậm chủ yếu do suy giảm tăng trưởng của nông nghiệp và khai khoáng</w:t>
            </w:r>
            <w:r>
              <w:rPr>
                <w:rFonts w:eastAsiaTheme="minorHAnsi"/>
                <w:sz w:val="26"/>
                <w:szCs w:val="26"/>
                <w:lang w:val="pl-PL"/>
              </w:rPr>
              <w:t>.</w:t>
            </w:r>
            <w:r w:rsidRPr="00590034">
              <w:rPr>
                <w:rFonts w:eastAsiaTheme="minorHAnsi"/>
                <w:sz w:val="26"/>
                <w:szCs w:val="26"/>
                <w:lang w:val="pl-PL"/>
              </w:rPr>
              <w:t xml:space="preserve"> </w:t>
            </w:r>
            <w:r>
              <w:rPr>
                <w:rFonts w:eastAsiaTheme="minorHAnsi"/>
                <w:sz w:val="26"/>
                <w:szCs w:val="26"/>
                <w:lang w:val="pl-PL"/>
              </w:rPr>
              <w:t xml:space="preserve">Sáu tháng đầu năm 2016, </w:t>
            </w:r>
            <w:r w:rsidRPr="00590034">
              <w:rPr>
                <w:rFonts w:eastAsiaTheme="minorHAnsi"/>
                <w:sz w:val="26"/>
                <w:szCs w:val="26"/>
                <w:lang w:val="pl-PL"/>
              </w:rPr>
              <w:t xml:space="preserve">nông nghiệp tăng trưởng -0,18% (cùng kì 2015 </w:t>
            </w:r>
            <w:r>
              <w:rPr>
                <w:rFonts w:eastAsiaTheme="minorHAnsi"/>
                <w:sz w:val="26"/>
                <w:szCs w:val="26"/>
                <w:lang w:val="pl-PL"/>
              </w:rPr>
              <w:t>là</w:t>
            </w:r>
            <w:r w:rsidRPr="00590034">
              <w:rPr>
                <w:rFonts w:eastAsiaTheme="minorHAnsi"/>
                <w:sz w:val="26"/>
                <w:szCs w:val="26"/>
                <w:lang w:val="pl-PL"/>
              </w:rPr>
              <w:t xml:space="preserve"> 2,36%) và khai khoáng tăng trưởng -2,2% (cùng kì 2015 </w:t>
            </w:r>
            <w:r>
              <w:rPr>
                <w:rFonts w:eastAsiaTheme="minorHAnsi"/>
                <w:sz w:val="26"/>
                <w:szCs w:val="26"/>
                <w:lang w:val="pl-PL"/>
              </w:rPr>
              <w:t>là</w:t>
            </w:r>
            <w:r w:rsidRPr="00590034">
              <w:rPr>
                <w:rFonts w:eastAsiaTheme="minorHAnsi"/>
                <w:sz w:val="26"/>
                <w:szCs w:val="26"/>
                <w:lang w:val="pl-PL"/>
              </w:rPr>
              <w:t xml:space="preserve"> 8,18%).</w:t>
            </w:r>
            <w:r>
              <w:rPr>
                <w:rFonts w:eastAsiaTheme="minorHAnsi"/>
                <w:b/>
                <w:sz w:val="26"/>
                <w:szCs w:val="26"/>
                <w:lang w:val="pl-PL"/>
              </w:rPr>
              <w:t xml:space="preserve"> </w:t>
            </w:r>
            <w:r>
              <w:rPr>
                <w:rFonts w:eastAsiaTheme="minorHAnsi"/>
                <w:sz w:val="26"/>
                <w:szCs w:val="26"/>
                <w:lang w:val="pl-PL"/>
              </w:rPr>
              <w:t>S</w:t>
            </w:r>
            <w:r w:rsidRPr="006945AC">
              <w:rPr>
                <w:rFonts w:eastAsiaTheme="minorHAnsi"/>
                <w:sz w:val="26"/>
                <w:szCs w:val="26"/>
                <w:lang w:val="pl-PL"/>
              </w:rPr>
              <w:t xml:space="preserve">uy giảm tăng trưởng của hai khu vực này khiến cho tăng trưởng GDP 6 tháng/2016 </w:t>
            </w:r>
            <w:r w:rsidRPr="00E815A4">
              <w:rPr>
                <w:rFonts w:eastAsiaTheme="minorHAnsi"/>
                <w:i/>
                <w:sz w:val="26"/>
                <w:szCs w:val="26"/>
                <w:lang w:val="pl-PL"/>
              </w:rPr>
              <w:t>giảm 0,8 điểm %</w:t>
            </w:r>
            <w:r w:rsidRPr="006945AC">
              <w:rPr>
                <w:rFonts w:eastAsiaTheme="minorHAnsi"/>
                <w:sz w:val="26"/>
                <w:szCs w:val="26"/>
                <w:lang w:val="pl-PL"/>
              </w:rPr>
              <w:t xml:space="preserve"> so với </w:t>
            </w:r>
            <w:r>
              <w:rPr>
                <w:rFonts w:eastAsiaTheme="minorHAnsi"/>
                <w:sz w:val="26"/>
                <w:szCs w:val="26"/>
                <w:lang w:val="pl-PL"/>
              </w:rPr>
              <w:t xml:space="preserve">mức </w:t>
            </w:r>
            <w:r w:rsidRPr="006945AC">
              <w:rPr>
                <w:rFonts w:eastAsiaTheme="minorHAnsi"/>
                <w:sz w:val="26"/>
                <w:szCs w:val="26"/>
                <w:lang w:val="pl-PL"/>
              </w:rPr>
              <w:t>tăng trưởng của cùng kì 2015</w:t>
            </w:r>
            <w:r>
              <w:rPr>
                <w:rFonts w:eastAsiaTheme="minorHAnsi"/>
                <w:sz w:val="26"/>
                <w:szCs w:val="26"/>
                <w:lang w:val="pl-PL"/>
              </w:rPr>
              <w:t xml:space="preserve"> (nông nghiệp làm giảm 0,35 điểm %, khai khoáng làm giảm 0,45 điểm %)</w:t>
            </w:r>
            <w:r w:rsidRPr="006945AC">
              <w:rPr>
                <w:rFonts w:eastAsiaTheme="minorHAnsi"/>
                <w:sz w:val="26"/>
                <w:szCs w:val="26"/>
                <w:lang w:val="pl-PL"/>
              </w:rPr>
              <w:t>.</w:t>
            </w:r>
            <w:r>
              <w:rPr>
                <w:rFonts w:eastAsiaTheme="minorHAnsi"/>
                <w:sz w:val="26"/>
                <w:szCs w:val="26"/>
                <w:lang w:val="pl-PL"/>
              </w:rPr>
              <w:t xml:space="preserve"> Nông nghiệp suy giảm tăng trưởng do xâm</w:t>
            </w:r>
            <w:r w:rsidRPr="00BC3541">
              <w:rPr>
                <w:rFonts w:eastAsiaTheme="minorHAnsi"/>
                <w:sz w:val="26"/>
                <w:szCs w:val="26"/>
                <w:lang w:val="pl-PL"/>
              </w:rPr>
              <w:t xml:space="preserve"> nhập mặn, hạn hán</w:t>
            </w:r>
            <w:r>
              <w:rPr>
                <w:rFonts w:eastAsiaTheme="minorHAnsi"/>
                <w:sz w:val="26"/>
                <w:szCs w:val="26"/>
                <w:lang w:val="pl-PL"/>
              </w:rPr>
              <w:t>, thiên tai. Trong khi, khai khoáng suy giảm tăng trưởng chủ yếu do sản lượng khai thác dầu thô</w:t>
            </w:r>
            <w:r w:rsidRPr="006945AC">
              <w:rPr>
                <w:rFonts w:eastAsiaTheme="minorHAnsi"/>
                <w:sz w:val="26"/>
                <w:szCs w:val="26"/>
                <w:lang w:val="pl-PL"/>
              </w:rPr>
              <w:t xml:space="preserve"> </w:t>
            </w:r>
            <w:r>
              <w:rPr>
                <w:rFonts w:eastAsiaTheme="minorHAnsi"/>
                <w:sz w:val="26"/>
                <w:szCs w:val="26"/>
                <w:lang w:val="pl-PL"/>
              </w:rPr>
              <w:t>6</w:t>
            </w:r>
            <w:r w:rsidRPr="001D6817">
              <w:rPr>
                <w:rFonts w:eastAsiaTheme="minorHAnsi"/>
                <w:sz w:val="26"/>
                <w:szCs w:val="26"/>
                <w:lang w:val="pl-PL"/>
              </w:rPr>
              <w:t xml:space="preserve"> tháng</w:t>
            </w:r>
            <w:r>
              <w:rPr>
                <w:rFonts w:eastAsiaTheme="minorHAnsi"/>
                <w:sz w:val="26"/>
                <w:szCs w:val="26"/>
                <w:lang w:val="pl-PL"/>
              </w:rPr>
              <w:t>/2016</w:t>
            </w:r>
            <w:r w:rsidRPr="001D6817">
              <w:rPr>
                <w:rFonts w:eastAsiaTheme="minorHAnsi"/>
                <w:sz w:val="26"/>
                <w:szCs w:val="26"/>
                <w:lang w:val="pl-PL"/>
              </w:rPr>
              <w:t xml:space="preserve"> giảm </w:t>
            </w:r>
            <w:r>
              <w:rPr>
                <w:rFonts w:eastAsiaTheme="minorHAnsi"/>
                <w:sz w:val="26"/>
                <w:szCs w:val="26"/>
                <w:lang w:val="pl-PL"/>
              </w:rPr>
              <w:t>6,1</w:t>
            </w:r>
            <w:r w:rsidRPr="001D6817">
              <w:rPr>
                <w:rFonts w:eastAsiaTheme="minorHAnsi"/>
                <w:sz w:val="26"/>
                <w:szCs w:val="26"/>
                <w:lang w:val="pl-PL"/>
              </w:rPr>
              <w:t>% so cùng kì năm trướ</w:t>
            </w:r>
            <w:r>
              <w:rPr>
                <w:rFonts w:eastAsiaTheme="minorHAnsi"/>
                <w:sz w:val="26"/>
                <w:szCs w:val="26"/>
                <w:lang w:val="pl-PL"/>
              </w:rPr>
              <w:t xml:space="preserve">c (cùng kì 2015 tăng 11%). </w:t>
            </w:r>
          </w:p>
          <w:p w:rsidR="004A3996" w:rsidRPr="00BC12DD" w:rsidRDefault="004A3996" w:rsidP="00BC12DD">
            <w:pPr>
              <w:pStyle w:val="ListParagraph"/>
              <w:numPr>
                <w:ilvl w:val="0"/>
                <w:numId w:val="15"/>
              </w:numPr>
              <w:tabs>
                <w:tab w:val="left" w:pos="651"/>
                <w:tab w:val="left" w:pos="818"/>
              </w:tabs>
              <w:spacing w:before="120" w:line="288" w:lineRule="auto"/>
              <w:ind w:left="0" w:firstLine="432"/>
              <w:contextualSpacing w:val="0"/>
              <w:rPr>
                <w:b/>
                <w:i/>
                <w:sz w:val="26"/>
                <w:szCs w:val="26"/>
                <w:lang w:val="pl-PL"/>
              </w:rPr>
            </w:pPr>
            <w:r>
              <w:rPr>
                <w:rFonts w:eastAsiaTheme="minorHAnsi"/>
                <w:sz w:val="26"/>
                <w:szCs w:val="26"/>
                <w:lang w:val="pl-PL"/>
              </w:rPr>
              <w:t xml:space="preserve"> </w:t>
            </w:r>
            <w:r w:rsidRPr="004A3996">
              <w:rPr>
                <w:rFonts w:eastAsiaTheme="minorHAnsi"/>
                <w:sz w:val="26"/>
                <w:szCs w:val="26"/>
                <w:lang w:val="pl-PL"/>
              </w:rPr>
              <w:t xml:space="preserve">Do sự suy giảm của nông nghiệp và khai thác dầu, </w:t>
            </w:r>
            <w:r w:rsidRPr="004A3996">
              <w:rPr>
                <w:rFonts w:eastAsiaTheme="minorHAnsi"/>
                <w:b/>
                <w:i/>
                <w:sz w:val="26"/>
                <w:szCs w:val="26"/>
                <w:lang w:val="pl-PL"/>
              </w:rPr>
              <w:t>lượng hàng xuất khẩu (kim ngạch xuất khẩu loại trừ yếu tố giá) 6 tháng/2016 chỉ tăng 10,1%</w:t>
            </w:r>
            <w:r w:rsidRPr="004A3996">
              <w:rPr>
                <w:rFonts w:eastAsiaTheme="minorHAnsi"/>
                <w:sz w:val="26"/>
                <w:szCs w:val="26"/>
                <w:lang w:val="pl-PL"/>
              </w:rPr>
              <w:t xml:space="preserve"> so cùng kì năm trước (cùng kì 2015 tăng 13,4%). </w:t>
            </w:r>
          </w:p>
        </w:tc>
        <w:tc>
          <w:tcPr>
            <w:tcW w:w="4866" w:type="dxa"/>
          </w:tcPr>
          <w:p w:rsidR="00E43672" w:rsidRPr="00F36FB7" w:rsidRDefault="00E43672" w:rsidP="00F36FB7">
            <w:pPr>
              <w:spacing w:before="120" w:line="288" w:lineRule="auto"/>
              <w:ind w:firstLine="0"/>
              <w:jc w:val="center"/>
              <w:rPr>
                <w:b/>
                <w:sz w:val="24"/>
                <w:szCs w:val="26"/>
                <w:lang w:val="pl-PL"/>
              </w:rPr>
            </w:pPr>
            <w:r w:rsidRPr="00F36FB7">
              <w:rPr>
                <w:b/>
                <w:sz w:val="24"/>
                <w:szCs w:val="26"/>
                <w:lang w:val="pl-PL"/>
              </w:rPr>
              <w:t>Tốc độ tăng  GDP  theo ngành, 6 tháng các năm 2012-2016 (% so với cùng kỳ)</w:t>
            </w:r>
          </w:p>
          <w:p w:rsidR="00E43672" w:rsidRDefault="00E43672" w:rsidP="00F36FB7">
            <w:pPr>
              <w:pStyle w:val="ListParagraph"/>
              <w:tabs>
                <w:tab w:val="left" w:pos="360"/>
              </w:tabs>
              <w:spacing w:before="120" w:line="288" w:lineRule="auto"/>
              <w:ind w:left="0" w:firstLine="0"/>
              <w:contextualSpacing w:val="0"/>
              <w:jc w:val="right"/>
              <w:rPr>
                <w:sz w:val="24"/>
                <w:szCs w:val="26"/>
                <w:lang w:val="pl-PL"/>
              </w:rPr>
            </w:pPr>
            <w:r w:rsidRPr="00F36FB7">
              <w:rPr>
                <w:b/>
                <w:i/>
                <w:noProof/>
                <w:sz w:val="24"/>
                <w:szCs w:val="26"/>
              </w:rPr>
              <w:drawing>
                <wp:inline distT="0" distB="0" distL="0" distR="0" wp14:anchorId="16D75432" wp14:editId="5DC5AD9F">
                  <wp:extent cx="2857500" cy="22764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F142F">
              <w:rPr>
                <w:i/>
                <w:sz w:val="24"/>
                <w:szCs w:val="26"/>
                <w:lang w:val="pl-PL"/>
              </w:rPr>
              <w:t>Nguồn: TCTK</w:t>
            </w:r>
          </w:p>
          <w:p w:rsidR="004A3996" w:rsidRPr="00F36FB7" w:rsidRDefault="004A3996" w:rsidP="00F36FB7">
            <w:pPr>
              <w:pStyle w:val="ListParagraph"/>
              <w:tabs>
                <w:tab w:val="left" w:pos="360"/>
              </w:tabs>
              <w:spacing w:before="120" w:line="288" w:lineRule="auto"/>
              <w:ind w:left="0" w:firstLine="0"/>
              <w:contextualSpacing w:val="0"/>
              <w:jc w:val="right"/>
              <w:rPr>
                <w:sz w:val="24"/>
                <w:szCs w:val="26"/>
                <w:lang w:val="pl-PL"/>
              </w:rPr>
            </w:pPr>
          </w:p>
          <w:p w:rsidR="00992742" w:rsidRPr="00F36FB7" w:rsidRDefault="00992742" w:rsidP="00F36FB7">
            <w:pPr>
              <w:spacing w:before="120" w:line="288" w:lineRule="auto"/>
              <w:ind w:firstLine="0"/>
              <w:jc w:val="center"/>
              <w:rPr>
                <w:b/>
                <w:sz w:val="24"/>
                <w:szCs w:val="26"/>
                <w:lang w:val="pl-PL"/>
              </w:rPr>
            </w:pPr>
            <w:r w:rsidRPr="00F36FB7">
              <w:rPr>
                <w:b/>
                <w:sz w:val="24"/>
                <w:szCs w:val="26"/>
                <w:lang w:val="pl-PL"/>
              </w:rPr>
              <w:t>Chỉ số IIP các tháng đầu năm 2015 và 2016 (%, so cùng kỳ)</w:t>
            </w:r>
          </w:p>
          <w:p w:rsidR="00992742" w:rsidRPr="00F36FB7" w:rsidRDefault="00992742" w:rsidP="00F36FB7">
            <w:pPr>
              <w:spacing w:before="120" w:line="288" w:lineRule="auto"/>
              <w:ind w:firstLine="0"/>
              <w:jc w:val="center"/>
              <w:rPr>
                <w:b/>
                <w:sz w:val="24"/>
                <w:szCs w:val="26"/>
                <w:lang w:val="pl-PL"/>
              </w:rPr>
            </w:pPr>
            <w:r w:rsidRPr="00F36FB7">
              <w:rPr>
                <w:b/>
                <w:noProof/>
                <w:sz w:val="24"/>
                <w:szCs w:val="26"/>
              </w:rPr>
              <w:drawing>
                <wp:inline distT="0" distB="0" distL="0" distR="0" wp14:anchorId="74C3B68D" wp14:editId="133F3949">
                  <wp:extent cx="2952750" cy="1771650"/>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1AAD" w:rsidRPr="00F36FB7" w:rsidRDefault="00992742" w:rsidP="00F36FB7">
            <w:pPr>
              <w:pStyle w:val="ListParagraph"/>
              <w:tabs>
                <w:tab w:val="left" w:pos="360"/>
              </w:tabs>
              <w:spacing w:before="120" w:line="288" w:lineRule="auto"/>
              <w:ind w:left="0" w:firstLine="0"/>
              <w:contextualSpacing w:val="0"/>
              <w:jc w:val="right"/>
              <w:rPr>
                <w:b/>
                <w:i/>
                <w:sz w:val="24"/>
                <w:szCs w:val="26"/>
                <w:lang w:val="pl-PL"/>
              </w:rPr>
            </w:pPr>
            <w:r w:rsidRPr="00F36FB7">
              <w:rPr>
                <w:i/>
                <w:noProof/>
                <w:sz w:val="24"/>
                <w:szCs w:val="26"/>
                <w:lang w:val="pl-PL"/>
              </w:rPr>
              <w:t>Nguồn: TCTK</w:t>
            </w:r>
          </w:p>
        </w:tc>
      </w:tr>
    </w:tbl>
    <w:p w:rsidR="00BC12DD" w:rsidRDefault="00BC12DD" w:rsidP="00F36FB7">
      <w:pPr>
        <w:spacing w:before="120" w:line="288" w:lineRule="auto"/>
        <w:rPr>
          <w:b/>
          <w:i/>
          <w:sz w:val="26"/>
          <w:szCs w:val="26"/>
          <w:lang w:val="pl-PL"/>
        </w:rPr>
      </w:pPr>
    </w:p>
    <w:p w:rsidR="00BC12DD" w:rsidRDefault="00BC12DD" w:rsidP="00F36FB7">
      <w:pPr>
        <w:spacing w:before="120" w:line="288" w:lineRule="auto"/>
        <w:rPr>
          <w:b/>
          <w:i/>
          <w:sz w:val="26"/>
          <w:szCs w:val="26"/>
          <w:lang w:val="pl-PL"/>
        </w:rPr>
      </w:pPr>
    </w:p>
    <w:p w:rsidR="00BC12DD" w:rsidRDefault="00BC12DD" w:rsidP="00F36FB7">
      <w:pPr>
        <w:spacing w:before="120" w:line="288" w:lineRule="auto"/>
        <w:rPr>
          <w:b/>
          <w:i/>
          <w:sz w:val="26"/>
          <w:szCs w:val="26"/>
          <w:lang w:val="pl-PL"/>
        </w:rPr>
      </w:pPr>
    </w:p>
    <w:p w:rsidR="00DF34EF" w:rsidRPr="00F36FB7" w:rsidRDefault="00C33048" w:rsidP="00F36FB7">
      <w:pPr>
        <w:spacing w:before="120" w:line="288" w:lineRule="auto"/>
        <w:rPr>
          <w:sz w:val="26"/>
          <w:szCs w:val="26"/>
          <w:lang w:val="pl-PL"/>
        </w:rPr>
      </w:pPr>
      <w:r w:rsidRPr="00F36FB7">
        <w:rPr>
          <w:b/>
          <w:i/>
          <w:sz w:val="26"/>
          <w:szCs w:val="26"/>
          <w:lang w:val="pl-PL"/>
        </w:rPr>
        <w:lastRenderedPageBreak/>
        <w:t xml:space="preserve">- </w:t>
      </w:r>
      <w:r w:rsidR="00DF34EF" w:rsidRPr="00F36FB7">
        <w:rPr>
          <w:b/>
          <w:i/>
          <w:sz w:val="26"/>
          <w:szCs w:val="26"/>
          <w:lang w:val="pl-PL"/>
        </w:rPr>
        <w:t xml:space="preserve">Tổng </w:t>
      </w:r>
      <w:r w:rsidR="00A81F15" w:rsidRPr="00F36FB7">
        <w:rPr>
          <w:b/>
          <w:i/>
          <w:sz w:val="26"/>
          <w:szCs w:val="26"/>
          <w:lang w:val="pl-PL"/>
        </w:rPr>
        <w:t>cầu</w:t>
      </w:r>
      <w:r w:rsidR="009D2B81" w:rsidRPr="00F36FB7">
        <w:rPr>
          <w:b/>
          <w:i/>
          <w:sz w:val="26"/>
          <w:szCs w:val="26"/>
          <w:lang w:val="pl-PL"/>
        </w:rPr>
        <w:t xml:space="preserve"> </w:t>
      </w:r>
      <w:r w:rsidR="00AE1D90" w:rsidRPr="00F36FB7">
        <w:rPr>
          <w:b/>
          <w:i/>
          <w:sz w:val="26"/>
          <w:szCs w:val="26"/>
          <w:lang w:val="pl-PL"/>
        </w:rPr>
        <w:t>cải thiện ở mức thấp hơn so với cùng kỳ năm trước</w:t>
      </w:r>
      <w:r w:rsidR="00DF34EF" w:rsidRPr="00F36FB7">
        <w:rPr>
          <w:b/>
          <w:i/>
          <w:sz w:val="26"/>
          <w:szCs w:val="26"/>
          <w:lang w:val="pl-PL"/>
        </w:rPr>
        <w:t xml:space="preserve">. </w:t>
      </w:r>
      <w:r w:rsidR="00DF34EF" w:rsidRPr="00F36FB7">
        <w:rPr>
          <w:sz w:val="26"/>
          <w:szCs w:val="26"/>
          <w:lang w:val="pl-PL"/>
        </w:rPr>
        <w:t xml:space="preserve">Biểu hiện: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770BB6" w:rsidRPr="00F36FB7" w:rsidTr="00C33048">
        <w:tc>
          <w:tcPr>
            <w:tcW w:w="4644" w:type="dxa"/>
          </w:tcPr>
          <w:p w:rsidR="00DF34EF" w:rsidRPr="00F36FB7" w:rsidRDefault="00086081" w:rsidP="00F36FB7">
            <w:pPr>
              <w:pStyle w:val="ListParagraph"/>
              <w:spacing w:before="120" w:line="288" w:lineRule="auto"/>
              <w:ind w:left="0" w:firstLine="450"/>
              <w:contextualSpacing w:val="0"/>
              <w:rPr>
                <w:rFonts w:eastAsiaTheme="minorHAnsi"/>
                <w:spacing w:val="-2"/>
                <w:sz w:val="26"/>
                <w:szCs w:val="26"/>
                <w:lang w:val="pl-PL"/>
              </w:rPr>
            </w:pPr>
            <w:r w:rsidRPr="00F36FB7">
              <w:rPr>
                <w:spacing w:val="-4"/>
                <w:sz w:val="26"/>
                <w:szCs w:val="26"/>
                <w:lang w:val="pl-PL"/>
              </w:rPr>
              <w:t xml:space="preserve">(i) </w:t>
            </w:r>
            <w:r w:rsidR="00DF34EF" w:rsidRPr="00F36FB7">
              <w:rPr>
                <w:rFonts w:eastAsiaTheme="minorHAnsi"/>
                <w:spacing w:val="-2"/>
                <w:sz w:val="26"/>
                <w:szCs w:val="26"/>
                <w:lang w:val="pl-PL"/>
              </w:rPr>
              <w:t>Tốc độ tăng trưởng tổng mức bán lẻ hàng hóa và dịch vụ 6T/2016 (loại trừ yếu tố</w:t>
            </w:r>
            <w:r w:rsidR="0042479A" w:rsidRPr="00F36FB7">
              <w:rPr>
                <w:rFonts w:eastAsiaTheme="minorHAnsi"/>
                <w:spacing w:val="-2"/>
                <w:sz w:val="26"/>
                <w:szCs w:val="26"/>
                <w:lang w:val="pl-PL"/>
              </w:rPr>
              <w:t xml:space="preserve"> giá) tăng 7,5</w:t>
            </w:r>
            <w:r w:rsidR="00DF34EF" w:rsidRPr="00F36FB7">
              <w:rPr>
                <w:rFonts w:eastAsiaTheme="minorHAnsi"/>
                <w:spacing w:val="-2"/>
                <w:sz w:val="26"/>
                <w:szCs w:val="26"/>
                <w:lang w:val="pl-PL"/>
              </w:rPr>
              <w:t xml:space="preserve">% so với cùng kỳ, </w:t>
            </w:r>
            <w:r w:rsidR="002E47C2" w:rsidRPr="00F36FB7">
              <w:rPr>
                <w:rFonts w:eastAsiaTheme="minorHAnsi"/>
                <w:spacing w:val="-2"/>
                <w:sz w:val="26"/>
                <w:szCs w:val="26"/>
                <w:lang w:val="pl-PL"/>
              </w:rPr>
              <w:t xml:space="preserve">thấp hơn mức tăng </w:t>
            </w:r>
            <w:r w:rsidR="00B36028" w:rsidRPr="00F36FB7">
              <w:rPr>
                <w:rFonts w:eastAsiaTheme="minorHAnsi"/>
                <w:spacing w:val="-2"/>
                <w:sz w:val="26"/>
                <w:szCs w:val="26"/>
                <w:lang w:val="pl-PL"/>
              </w:rPr>
              <w:t xml:space="preserve">8,3% </w:t>
            </w:r>
            <w:r w:rsidR="002E47C2" w:rsidRPr="00F36FB7">
              <w:rPr>
                <w:rFonts w:eastAsiaTheme="minorHAnsi"/>
                <w:spacing w:val="-2"/>
                <w:sz w:val="26"/>
                <w:szCs w:val="26"/>
                <w:lang w:val="pl-PL"/>
              </w:rPr>
              <w:t>của cùng kỳ năm 2015.</w:t>
            </w:r>
          </w:p>
          <w:p w:rsidR="003C5607" w:rsidRPr="00F36FB7" w:rsidRDefault="00770BB6" w:rsidP="00F36FB7">
            <w:pPr>
              <w:pStyle w:val="ListParagraph"/>
              <w:spacing w:before="120" w:line="288" w:lineRule="auto"/>
              <w:ind w:left="0" w:firstLine="567"/>
              <w:contextualSpacing w:val="0"/>
              <w:rPr>
                <w:sz w:val="26"/>
                <w:szCs w:val="26"/>
                <w:lang w:val="pl-PL"/>
              </w:rPr>
            </w:pPr>
            <w:r w:rsidRPr="00F36FB7">
              <w:rPr>
                <w:spacing w:val="-4"/>
                <w:sz w:val="26"/>
                <w:szCs w:val="26"/>
                <w:lang w:val="pl-PL"/>
              </w:rPr>
              <w:t>(ii</w:t>
            </w:r>
            <w:r w:rsidRPr="00F36FB7">
              <w:rPr>
                <w:sz w:val="26"/>
                <w:szCs w:val="26"/>
                <w:lang w:val="pl-PL"/>
              </w:rPr>
              <w:t>)</w:t>
            </w:r>
            <w:r w:rsidR="00305D19" w:rsidRPr="00F36FB7">
              <w:rPr>
                <w:sz w:val="26"/>
                <w:szCs w:val="26"/>
                <w:lang w:val="pl-PL"/>
              </w:rPr>
              <w:t xml:space="preserve"> </w:t>
            </w:r>
            <w:r w:rsidR="00A966DC" w:rsidRPr="00F36FB7">
              <w:rPr>
                <w:i/>
                <w:sz w:val="26"/>
                <w:szCs w:val="26"/>
                <w:lang w:val="pl-PL"/>
              </w:rPr>
              <w:t xml:space="preserve">Kim ngạch xuất nhập khẩu hàng hóa nửa đầu năm 2016 </w:t>
            </w:r>
            <w:r w:rsidR="0042479A" w:rsidRPr="00F36FB7">
              <w:rPr>
                <w:i/>
                <w:sz w:val="26"/>
                <w:szCs w:val="26"/>
                <w:lang w:val="pl-PL"/>
              </w:rPr>
              <w:t xml:space="preserve">chưa </w:t>
            </w:r>
            <w:r w:rsidR="00A966DC" w:rsidRPr="00F36FB7">
              <w:rPr>
                <w:i/>
                <w:sz w:val="26"/>
                <w:szCs w:val="26"/>
                <w:lang w:val="pl-PL"/>
              </w:rPr>
              <w:t xml:space="preserve">có </w:t>
            </w:r>
            <w:r w:rsidR="0042479A" w:rsidRPr="00F36FB7">
              <w:rPr>
                <w:i/>
                <w:sz w:val="26"/>
                <w:szCs w:val="26"/>
                <w:lang w:val="pl-PL"/>
              </w:rPr>
              <w:t xml:space="preserve">sự </w:t>
            </w:r>
            <w:r w:rsidR="00A966DC" w:rsidRPr="00F36FB7">
              <w:rPr>
                <w:i/>
                <w:sz w:val="26"/>
                <w:szCs w:val="26"/>
                <w:lang w:val="pl-PL"/>
              </w:rPr>
              <w:t>cải thiện mạnh mẽ</w:t>
            </w:r>
            <w:r w:rsidR="00A966DC" w:rsidRPr="00F36FB7">
              <w:rPr>
                <w:sz w:val="26"/>
                <w:szCs w:val="26"/>
                <w:lang w:val="pl-PL"/>
              </w:rPr>
              <w:t xml:space="preserve">. </w:t>
            </w:r>
            <w:r w:rsidR="003C5607" w:rsidRPr="00F36FB7">
              <w:rPr>
                <w:sz w:val="26"/>
                <w:szCs w:val="26"/>
                <w:lang w:val="pl-PL"/>
              </w:rPr>
              <w:t>T</w:t>
            </w:r>
            <w:r w:rsidR="00A966DC" w:rsidRPr="00F36FB7">
              <w:rPr>
                <w:sz w:val="26"/>
                <w:szCs w:val="26"/>
                <w:lang w:val="pl-PL"/>
              </w:rPr>
              <w:t xml:space="preserve">rong 6 tháng đầu năm 2016, kim ngạch xuất khẩu tăng </w:t>
            </w:r>
            <w:r w:rsidR="00FC3F9E">
              <w:rPr>
                <w:sz w:val="26"/>
                <w:szCs w:val="26"/>
                <w:lang w:val="pl-PL"/>
              </w:rPr>
              <w:t>5,9% so với cùng kỳ năm trước (6</w:t>
            </w:r>
            <w:r w:rsidR="00A966DC" w:rsidRPr="00F36FB7">
              <w:rPr>
                <w:sz w:val="26"/>
                <w:szCs w:val="26"/>
                <w:lang w:val="pl-PL"/>
              </w:rPr>
              <w:t xml:space="preserve"> tháng/2015 tăng 9,3%)</w:t>
            </w:r>
            <w:r w:rsidR="006750C1" w:rsidRPr="00F36FB7">
              <w:rPr>
                <w:sz w:val="26"/>
                <w:szCs w:val="26"/>
                <w:lang w:val="pl-PL"/>
              </w:rPr>
              <w:t xml:space="preserve"> </w:t>
            </w:r>
            <w:r w:rsidR="00A966DC" w:rsidRPr="00F36FB7">
              <w:rPr>
                <w:rStyle w:val="FootnoteReference"/>
                <w:sz w:val="26"/>
                <w:szCs w:val="26"/>
                <w:lang w:val="pl-PL"/>
              </w:rPr>
              <w:footnoteReference w:id="3"/>
            </w:r>
            <w:r w:rsidR="00A966DC" w:rsidRPr="00F36FB7">
              <w:rPr>
                <w:sz w:val="26"/>
                <w:szCs w:val="26"/>
                <w:lang w:val="pl-PL"/>
              </w:rPr>
              <w:t xml:space="preserve">; kim ngạch nhập khẩu giảm </w:t>
            </w:r>
            <w:r w:rsidR="00FC3F9E">
              <w:rPr>
                <w:sz w:val="26"/>
                <w:szCs w:val="26"/>
                <w:lang w:val="pl-PL"/>
              </w:rPr>
              <w:t>0,5% so với cùng kỳ năm trước (6</w:t>
            </w:r>
            <w:r w:rsidR="00A966DC" w:rsidRPr="00F36FB7">
              <w:rPr>
                <w:sz w:val="26"/>
                <w:szCs w:val="26"/>
                <w:lang w:val="pl-PL"/>
              </w:rPr>
              <w:t xml:space="preserve"> tháng/2015 tăng 17,7%)</w:t>
            </w:r>
            <w:r w:rsidR="00A966DC" w:rsidRPr="00F36FB7">
              <w:rPr>
                <w:rStyle w:val="FootnoteReference"/>
                <w:sz w:val="26"/>
                <w:szCs w:val="26"/>
                <w:lang w:val="pl-PL"/>
              </w:rPr>
              <w:footnoteReference w:id="4"/>
            </w:r>
            <w:r w:rsidR="00A966DC" w:rsidRPr="00F36FB7">
              <w:rPr>
                <w:sz w:val="26"/>
                <w:szCs w:val="26"/>
                <w:lang w:val="pl-PL"/>
              </w:rPr>
              <w:t xml:space="preserve">. </w:t>
            </w:r>
          </w:p>
          <w:p w:rsidR="00A966DC" w:rsidRPr="00F36FB7" w:rsidRDefault="00FC3F9E" w:rsidP="00F36FB7">
            <w:pPr>
              <w:pStyle w:val="ListParagraph"/>
              <w:spacing w:before="120" w:line="288" w:lineRule="auto"/>
              <w:ind w:left="0" w:firstLine="567"/>
              <w:contextualSpacing w:val="0"/>
              <w:rPr>
                <w:i/>
                <w:sz w:val="26"/>
                <w:szCs w:val="26"/>
                <w:lang w:val="pl-PL"/>
              </w:rPr>
            </w:pPr>
            <w:r>
              <w:rPr>
                <w:i/>
                <w:sz w:val="26"/>
                <w:szCs w:val="26"/>
                <w:lang w:val="pl-PL"/>
              </w:rPr>
              <w:t>Giá trị nhập khẩu hàng hóa giảm không chỉ do giá hàng hóa thế giới giảm (giá nhập khẩu giảm 7,8%) mà còn do lượng nhập khẩu tăng chậm lại , chỉ tăng 7,9% so cùng kỳ năm trước (cùng kỳ 2015 tăng 22,1%)</w:t>
            </w:r>
          </w:p>
          <w:p w:rsidR="00770BB6" w:rsidRPr="00F36FB7" w:rsidRDefault="00A966DC" w:rsidP="00845CF4">
            <w:pPr>
              <w:pStyle w:val="ListParagraph"/>
              <w:spacing w:before="120" w:line="288" w:lineRule="auto"/>
              <w:ind w:left="0" w:firstLine="567"/>
              <w:contextualSpacing w:val="0"/>
              <w:rPr>
                <w:sz w:val="26"/>
                <w:szCs w:val="26"/>
                <w:lang w:val="pl-PL"/>
              </w:rPr>
            </w:pPr>
            <w:r w:rsidRPr="00F36FB7">
              <w:rPr>
                <w:sz w:val="26"/>
                <w:szCs w:val="26"/>
                <w:lang w:val="pl-PL"/>
              </w:rPr>
              <w:t xml:space="preserve">Tính toán chỉ số dẫn báo tổng hợp (LEI) của UBGSTCQG và các chỉ số thành phần cho thấy: chỉ số </w:t>
            </w:r>
            <w:r w:rsidRPr="00F36FB7">
              <w:rPr>
                <w:noProof/>
                <w:sz w:val="26"/>
                <w:szCs w:val="26"/>
                <w:lang w:val="pl-PL"/>
              </w:rPr>
              <w:t xml:space="preserve">nhập khẩu </w:t>
            </w:r>
            <w:r w:rsidRPr="00F36FB7">
              <w:rPr>
                <w:sz w:val="26"/>
                <w:szCs w:val="26"/>
                <w:lang w:val="pl-PL"/>
              </w:rPr>
              <w:t>nguyên phụ liệu dệt, may, giày dép</w:t>
            </w:r>
            <w:r w:rsidRPr="00F36FB7">
              <w:rPr>
                <w:noProof/>
                <w:sz w:val="26"/>
                <w:szCs w:val="26"/>
                <w:lang w:val="pl-PL"/>
              </w:rPr>
              <w:t xml:space="preserve"> </w:t>
            </w:r>
            <w:r w:rsidR="009D2B81" w:rsidRPr="00F36FB7">
              <w:rPr>
                <w:sz w:val="26"/>
                <w:szCs w:val="26"/>
                <w:lang w:val="pl-PL"/>
              </w:rPr>
              <w:t xml:space="preserve"> </w:t>
            </w:r>
            <w:r w:rsidRPr="00F36FB7">
              <w:rPr>
                <w:sz w:val="26"/>
                <w:szCs w:val="26"/>
                <w:lang w:val="pl-PL"/>
              </w:rPr>
              <w:t>đang có xu hướng hồi</w:t>
            </w:r>
            <w:r w:rsidR="009D2B81" w:rsidRPr="00F36FB7">
              <w:rPr>
                <w:sz w:val="26"/>
                <w:szCs w:val="26"/>
                <w:lang w:val="pl-PL"/>
              </w:rPr>
              <w:t xml:space="preserve"> phục trong những tháng gần đây</w:t>
            </w:r>
            <w:r w:rsidR="001733C0" w:rsidRPr="00F36FB7">
              <w:rPr>
                <w:sz w:val="26"/>
                <w:szCs w:val="26"/>
                <w:lang w:val="pl-PL"/>
              </w:rPr>
              <w:t>, báo hiệu</w:t>
            </w:r>
            <w:r w:rsidR="009D2B81" w:rsidRPr="00F36FB7">
              <w:rPr>
                <w:sz w:val="26"/>
                <w:szCs w:val="26"/>
                <w:lang w:val="pl-PL"/>
              </w:rPr>
              <w:t xml:space="preserve"> </w:t>
            </w:r>
            <w:r w:rsidR="001733C0" w:rsidRPr="00F36FB7">
              <w:rPr>
                <w:sz w:val="26"/>
                <w:szCs w:val="26"/>
                <w:lang w:val="pl-PL"/>
              </w:rPr>
              <w:t>lĩ</w:t>
            </w:r>
            <w:r w:rsidR="009D2B81" w:rsidRPr="00F36FB7">
              <w:rPr>
                <w:sz w:val="26"/>
                <w:szCs w:val="26"/>
                <w:lang w:val="pl-PL"/>
              </w:rPr>
              <w:t xml:space="preserve">nh vực sản xuất dệt may, giày dép có thể sẽ có những chuyển biến tốt hơn trong thời gian tới. Tuy nhiên chỉ số nhập khẩu máy móc thiết bị không </w:t>
            </w:r>
            <w:r w:rsidR="00845CF4">
              <w:rPr>
                <w:sz w:val="26"/>
                <w:szCs w:val="26"/>
                <w:lang w:val="pl-PL"/>
              </w:rPr>
              <w:t xml:space="preserve">cải thiện </w:t>
            </w:r>
            <w:r w:rsidR="009D2B81" w:rsidRPr="00F36FB7">
              <w:rPr>
                <w:sz w:val="26"/>
                <w:szCs w:val="26"/>
                <w:lang w:val="pl-PL"/>
              </w:rPr>
              <w:t xml:space="preserve">trong những tháng qua </w:t>
            </w:r>
            <w:r w:rsidR="006750C1" w:rsidRPr="00F36FB7">
              <w:rPr>
                <w:sz w:val="26"/>
                <w:szCs w:val="26"/>
                <w:lang w:val="pl-PL"/>
              </w:rPr>
              <w:t xml:space="preserve">chỉ ra rằng </w:t>
            </w:r>
            <w:r w:rsidR="009D2B81" w:rsidRPr="00F36FB7">
              <w:rPr>
                <w:sz w:val="26"/>
                <w:szCs w:val="26"/>
                <w:lang w:val="pl-PL"/>
              </w:rPr>
              <w:t>lĩnh vực sản xuất công nghiệp sẽ chưa có sự cải thiện mạnh hơn trong quý 3 năm 2016</w:t>
            </w:r>
            <w:r w:rsidRPr="00F36FB7">
              <w:rPr>
                <w:sz w:val="26"/>
                <w:szCs w:val="26"/>
                <w:lang w:val="pl-PL"/>
              </w:rPr>
              <w:t xml:space="preserve">.  </w:t>
            </w:r>
          </w:p>
        </w:tc>
        <w:tc>
          <w:tcPr>
            <w:tcW w:w="4678" w:type="dxa"/>
          </w:tcPr>
          <w:p w:rsidR="00086081" w:rsidRPr="00F36FB7" w:rsidRDefault="00086081" w:rsidP="00F36FB7">
            <w:pPr>
              <w:spacing w:after="0"/>
              <w:ind w:firstLine="0"/>
              <w:jc w:val="center"/>
              <w:rPr>
                <w:b/>
                <w:sz w:val="24"/>
                <w:szCs w:val="26"/>
                <w:lang w:val="pl-PL"/>
              </w:rPr>
            </w:pPr>
            <w:r w:rsidRPr="00F36FB7">
              <w:rPr>
                <w:b/>
                <w:sz w:val="24"/>
                <w:szCs w:val="26"/>
                <w:lang w:val="pl-PL"/>
              </w:rPr>
              <w:t xml:space="preserve">Tổng mức bán lẻ hàng hóa và dịch vụ </w:t>
            </w:r>
            <w:r w:rsidR="00286F70" w:rsidRPr="00F36FB7">
              <w:rPr>
                <w:b/>
                <w:sz w:val="24"/>
                <w:szCs w:val="26"/>
                <w:lang w:val="pl-PL"/>
              </w:rPr>
              <w:t>các</w:t>
            </w:r>
            <w:r w:rsidR="006750C1" w:rsidRPr="00F36FB7">
              <w:rPr>
                <w:b/>
                <w:sz w:val="24"/>
                <w:szCs w:val="26"/>
                <w:lang w:val="pl-PL"/>
              </w:rPr>
              <w:t xml:space="preserve"> 6</w:t>
            </w:r>
            <w:r w:rsidR="00286F70" w:rsidRPr="00F36FB7">
              <w:rPr>
                <w:b/>
                <w:sz w:val="24"/>
                <w:szCs w:val="26"/>
                <w:lang w:val="pl-PL"/>
              </w:rPr>
              <w:t xml:space="preserve"> tháng</w:t>
            </w:r>
            <w:r w:rsidR="006750C1" w:rsidRPr="00F36FB7">
              <w:rPr>
                <w:b/>
                <w:sz w:val="24"/>
                <w:szCs w:val="26"/>
                <w:lang w:val="pl-PL"/>
              </w:rPr>
              <w:t xml:space="preserve"> các năm, </w:t>
            </w:r>
            <w:r w:rsidRPr="00F36FB7">
              <w:rPr>
                <w:b/>
                <w:sz w:val="24"/>
                <w:szCs w:val="26"/>
                <w:lang w:val="pl-PL"/>
              </w:rPr>
              <w:t>loại trừ yếu tố giá</w:t>
            </w:r>
            <w:r w:rsidR="006750C1" w:rsidRPr="00F36FB7">
              <w:rPr>
                <w:b/>
                <w:sz w:val="24"/>
                <w:szCs w:val="26"/>
                <w:lang w:val="pl-PL"/>
              </w:rPr>
              <w:t>, 2011- 2016</w:t>
            </w:r>
            <w:r w:rsidRPr="00F36FB7">
              <w:rPr>
                <w:b/>
                <w:sz w:val="24"/>
                <w:szCs w:val="26"/>
                <w:lang w:val="pl-PL"/>
              </w:rPr>
              <w:t xml:space="preserve"> (%, so cùng kỳ)</w:t>
            </w:r>
          </w:p>
          <w:p w:rsidR="00770BB6" w:rsidRPr="00F36FB7" w:rsidRDefault="00DF34EF" w:rsidP="00F36FB7">
            <w:pPr>
              <w:spacing w:before="120" w:line="288" w:lineRule="auto"/>
              <w:ind w:firstLine="14"/>
              <w:jc w:val="center"/>
              <w:rPr>
                <w:b/>
                <w:spacing w:val="-8"/>
                <w:sz w:val="24"/>
                <w:szCs w:val="26"/>
                <w:lang w:val="pl-PL"/>
              </w:rPr>
            </w:pPr>
            <w:r w:rsidRPr="00F36FB7">
              <w:rPr>
                <w:noProof/>
                <w:sz w:val="24"/>
                <w:szCs w:val="26"/>
              </w:rPr>
              <w:drawing>
                <wp:inline distT="0" distB="0" distL="0" distR="0">
                  <wp:extent cx="2714625" cy="1228725"/>
                  <wp:effectExtent l="0" t="0" r="0"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6081" w:rsidRPr="00F36FB7" w:rsidRDefault="00086081" w:rsidP="00F36FB7">
            <w:pPr>
              <w:spacing w:before="120" w:line="288" w:lineRule="auto"/>
              <w:jc w:val="right"/>
              <w:rPr>
                <w:b/>
                <w:sz w:val="24"/>
                <w:szCs w:val="26"/>
                <w:lang w:val="pl-PL"/>
              </w:rPr>
            </w:pPr>
            <w:r w:rsidRPr="00F36FB7">
              <w:rPr>
                <w:i/>
                <w:noProof/>
                <w:sz w:val="24"/>
                <w:szCs w:val="26"/>
                <w:lang w:val="pl-PL"/>
              </w:rPr>
              <w:t>Nguồn: TCTK</w:t>
            </w:r>
          </w:p>
          <w:p w:rsidR="00A966DC" w:rsidRPr="00834031" w:rsidRDefault="00A966DC" w:rsidP="00F36FB7">
            <w:pPr>
              <w:spacing w:before="120" w:line="288" w:lineRule="auto"/>
              <w:ind w:firstLine="0"/>
              <w:jc w:val="center"/>
              <w:rPr>
                <w:b/>
                <w:sz w:val="20"/>
                <w:szCs w:val="20"/>
                <w:lang w:val="pl-PL"/>
              </w:rPr>
            </w:pPr>
            <w:r w:rsidRPr="00834031">
              <w:rPr>
                <w:b/>
                <w:sz w:val="20"/>
                <w:szCs w:val="20"/>
                <w:lang w:val="pl-PL"/>
              </w:rPr>
              <w:t xml:space="preserve">Cán cân thương mại của Việt Nam </w:t>
            </w:r>
            <w:r w:rsidR="00E003BC" w:rsidRPr="00834031">
              <w:rPr>
                <w:b/>
                <w:sz w:val="20"/>
                <w:szCs w:val="20"/>
                <w:lang w:val="pl-PL"/>
              </w:rPr>
              <w:t>6</w:t>
            </w:r>
            <w:r w:rsidRPr="00834031">
              <w:rPr>
                <w:b/>
                <w:sz w:val="20"/>
                <w:szCs w:val="20"/>
                <w:lang w:val="pl-PL"/>
              </w:rPr>
              <w:t xml:space="preserve"> tháng đầu năm 2016, triệu USD</w:t>
            </w:r>
            <w:r w:rsidR="00AF1BDB" w:rsidRPr="00834031">
              <w:rPr>
                <w:rStyle w:val="FootnoteReference"/>
                <w:b/>
                <w:sz w:val="20"/>
                <w:szCs w:val="20"/>
                <w:lang w:val="pl-PL"/>
              </w:rPr>
              <w:footnoteReference w:id="5"/>
            </w:r>
          </w:p>
          <w:p w:rsidR="00A966DC" w:rsidRPr="00F36FB7" w:rsidRDefault="00A966DC" w:rsidP="003722C3">
            <w:pPr>
              <w:spacing w:after="0" w:line="288" w:lineRule="auto"/>
              <w:jc w:val="right"/>
              <w:rPr>
                <w:i/>
                <w:noProof/>
                <w:sz w:val="24"/>
                <w:szCs w:val="26"/>
                <w:lang w:val="pl-PL"/>
              </w:rPr>
            </w:pPr>
            <w:r w:rsidRPr="00F36FB7">
              <w:rPr>
                <w:noProof/>
                <w:sz w:val="24"/>
                <w:szCs w:val="26"/>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62865</wp:posOffset>
                  </wp:positionV>
                  <wp:extent cx="2781300" cy="1104900"/>
                  <wp:effectExtent l="0" t="0" r="0" b="0"/>
                  <wp:wrapSquare wrapText="bothSides"/>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Pr="00F36FB7">
              <w:rPr>
                <w:i/>
                <w:noProof/>
                <w:sz w:val="24"/>
                <w:szCs w:val="26"/>
                <w:lang w:val="pl-PL"/>
              </w:rPr>
              <w:t>Nguồn: TCTK</w:t>
            </w:r>
          </w:p>
          <w:p w:rsidR="00A966DC" w:rsidRPr="00F36FB7" w:rsidRDefault="00A966DC" w:rsidP="00AF1BDB">
            <w:pPr>
              <w:tabs>
                <w:tab w:val="left" w:pos="4504"/>
              </w:tabs>
              <w:spacing w:after="0"/>
              <w:ind w:firstLine="0"/>
              <w:jc w:val="center"/>
              <w:rPr>
                <w:b/>
                <w:sz w:val="24"/>
                <w:szCs w:val="26"/>
                <w:lang w:val="pl-PL"/>
              </w:rPr>
            </w:pPr>
            <w:r w:rsidRPr="00F36FB7">
              <w:rPr>
                <w:b/>
                <w:sz w:val="24"/>
                <w:szCs w:val="26"/>
                <w:lang w:val="pl-PL"/>
              </w:rPr>
              <w:t xml:space="preserve">Chỉ số nhập khẩu </w:t>
            </w:r>
            <w:r w:rsidR="00F36FB7">
              <w:rPr>
                <w:b/>
                <w:noProof/>
                <w:sz w:val="24"/>
                <w:szCs w:val="26"/>
                <w:lang w:val="pl-PL"/>
              </w:rPr>
              <w:t>NPL</w:t>
            </w:r>
            <w:r w:rsidRPr="00F36FB7">
              <w:rPr>
                <w:b/>
                <w:noProof/>
                <w:sz w:val="24"/>
                <w:szCs w:val="26"/>
                <w:lang w:val="pl-PL"/>
              </w:rPr>
              <w:t xml:space="preserve"> dệt, may, giày dép </w:t>
            </w:r>
            <w:r w:rsidRPr="00F36FB7">
              <w:rPr>
                <w:i/>
                <w:sz w:val="24"/>
                <w:szCs w:val="26"/>
                <w:lang w:val="pl-PL"/>
              </w:rPr>
              <w:t>(100 = Khả năng sản xuất dài hạn)</w:t>
            </w:r>
          </w:p>
          <w:p w:rsidR="00A966DC" w:rsidRPr="00F36FB7" w:rsidRDefault="003B581F" w:rsidP="00F36FB7">
            <w:pPr>
              <w:spacing w:before="120" w:line="288" w:lineRule="auto"/>
              <w:ind w:firstLine="0"/>
              <w:jc w:val="center"/>
              <w:rPr>
                <w:sz w:val="24"/>
                <w:szCs w:val="26"/>
              </w:rPr>
            </w:pPr>
            <w:r w:rsidRPr="00F36FB7">
              <w:rPr>
                <w:noProof/>
                <w:sz w:val="24"/>
                <w:szCs w:val="26"/>
              </w:rPr>
              <w:drawing>
                <wp:inline distT="0" distB="0" distL="0" distR="0">
                  <wp:extent cx="2743200" cy="12954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66DC" w:rsidRPr="00F36FB7" w:rsidRDefault="00A966DC" w:rsidP="003722C3">
            <w:pPr>
              <w:spacing w:after="0"/>
              <w:jc w:val="right"/>
              <w:rPr>
                <w:i/>
                <w:sz w:val="24"/>
                <w:szCs w:val="26"/>
              </w:rPr>
            </w:pPr>
            <w:r w:rsidRPr="00F36FB7">
              <w:rPr>
                <w:i/>
                <w:sz w:val="24"/>
                <w:szCs w:val="26"/>
              </w:rPr>
              <w:t>Nguồn: UBGSTCQG</w:t>
            </w:r>
          </w:p>
          <w:p w:rsidR="00A966DC" w:rsidRPr="00F36FB7" w:rsidRDefault="00A966DC" w:rsidP="00F36FB7">
            <w:pPr>
              <w:tabs>
                <w:tab w:val="left" w:pos="4504"/>
              </w:tabs>
              <w:spacing w:before="120" w:after="0" w:line="288" w:lineRule="auto"/>
              <w:ind w:firstLine="34"/>
              <w:jc w:val="center"/>
              <w:rPr>
                <w:b/>
                <w:sz w:val="24"/>
                <w:szCs w:val="26"/>
                <w:lang w:val="pl-PL"/>
              </w:rPr>
            </w:pPr>
            <w:r w:rsidRPr="00F36FB7">
              <w:rPr>
                <w:b/>
                <w:sz w:val="24"/>
                <w:szCs w:val="26"/>
                <w:lang w:val="pl-PL"/>
              </w:rPr>
              <w:t xml:space="preserve">Chỉ số nhập khẩu máy móc thiết bị </w:t>
            </w:r>
          </w:p>
          <w:p w:rsidR="00A966DC" w:rsidRPr="00F36FB7" w:rsidRDefault="00A966DC" w:rsidP="00AF1BDB">
            <w:pPr>
              <w:tabs>
                <w:tab w:val="left" w:pos="4504"/>
              </w:tabs>
              <w:spacing w:after="0"/>
              <w:ind w:firstLine="29"/>
              <w:jc w:val="center"/>
              <w:rPr>
                <w:b/>
                <w:sz w:val="24"/>
                <w:szCs w:val="26"/>
                <w:lang w:val="pl-PL"/>
              </w:rPr>
            </w:pPr>
            <w:r w:rsidRPr="00F36FB7">
              <w:rPr>
                <w:i/>
                <w:sz w:val="24"/>
                <w:szCs w:val="26"/>
                <w:lang w:val="pl-PL"/>
              </w:rPr>
              <w:t>(100 = Khả năng sản xuất dài hạn)</w:t>
            </w:r>
          </w:p>
          <w:p w:rsidR="00A966DC" w:rsidRPr="00F36FB7" w:rsidRDefault="003B581F" w:rsidP="00F36FB7">
            <w:pPr>
              <w:spacing w:before="120" w:line="288" w:lineRule="auto"/>
              <w:ind w:firstLine="0"/>
              <w:jc w:val="center"/>
              <w:rPr>
                <w:b/>
                <w:sz w:val="24"/>
                <w:szCs w:val="26"/>
                <w:lang w:val="pl-PL"/>
              </w:rPr>
            </w:pPr>
            <w:r w:rsidRPr="00F36FB7">
              <w:rPr>
                <w:noProof/>
                <w:sz w:val="24"/>
                <w:szCs w:val="26"/>
              </w:rPr>
              <w:drawing>
                <wp:inline distT="0" distB="0" distL="0" distR="0">
                  <wp:extent cx="2667000" cy="1200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0BB6" w:rsidRPr="00F36FB7" w:rsidRDefault="00A966DC" w:rsidP="00F36FB7">
            <w:pPr>
              <w:spacing w:before="120" w:line="288" w:lineRule="auto"/>
              <w:jc w:val="right"/>
              <w:rPr>
                <w:i/>
                <w:sz w:val="24"/>
                <w:szCs w:val="26"/>
                <w:lang w:val="pl-PL"/>
              </w:rPr>
            </w:pPr>
            <w:r w:rsidRPr="00F36FB7">
              <w:rPr>
                <w:i/>
                <w:sz w:val="24"/>
                <w:szCs w:val="26"/>
                <w:lang w:val="pl-PL"/>
              </w:rPr>
              <w:t>Nguồn: UBGSTCQG</w:t>
            </w:r>
          </w:p>
        </w:tc>
      </w:tr>
    </w:tbl>
    <w:p w:rsidR="00FF1C33" w:rsidRPr="00F36FB7" w:rsidRDefault="00FF1C33" w:rsidP="00AF1BDB">
      <w:pPr>
        <w:pStyle w:val="ListParagraph"/>
        <w:numPr>
          <w:ilvl w:val="0"/>
          <w:numId w:val="35"/>
        </w:numPr>
        <w:spacing w:after="0" w:line="276" w:lineRule="auto"/>
        <w:ind w:left="-144" w:firstLine="562"/>
        <w:contextualSpacing w:val="0"/>
        <w:rPr>
          <w:i/>
          <w:sz w:val="26"/>
          <w:szCs w:val="26"/>
        </w:rPr>
      </w:pPr>
      <w:r w:rsidRPr="00F36FB7">
        <w:rPr>
          <w:b/>
          <w:i/>
          <w:sz w:val="26"/>
          <w:szCs w:val="26"/>
        </w:rPr>
        <w:lastRenderedPageBreak/>
        <w:t>Phân rã tăng trưởng cho thấy xu thế dài hạn của tăng trưởng (tiềm năng tăng trưởng) đang tiếp tục duy trì được xu hướng tăng</w:t>
      </w:r>
      <w:r w:rsidRPr="00F36FB7">
        <w:rPr>
          <w:i/>
          <w:sz w:val="26"/>
          <w:szCs w:val="26"/>
        </w:rPr>
        <w:t>.</w:t>
      </w:r>
    </w:p>
    <w:p w:rsidR="00FF1C33" w:rsidRPr="00F36FB7" w:rsidRDefault="00FF1C33" w:rsidP="00834031">
      <w:pPr>
        <w:spacing w:before="120" w:after="0"/>
        <w:ind w:firstLine="0"/>
        <w:jc w:val="center"/>
        <w:rPr>
          <w:b/>
          <w:sz w:val="24"/>
          <w:szCs w:val="26"/>
          <w:lang w:val="de-DE"/>
        </w:rPr>
      </w:pPr>
      <w:r w:rsidRPr="00F36FB7">
        <w:rPr>
          <w:b/>
          <w:sz w:val="24"/>
          <w:szCs w:val="26"/>
          <w:lang w:val="de-DE"/>
        </w:rPr>
        <w:t>Phân rã tăng trưởng, Q1/2005-Q2/2016 (%, so cùng kỳ)</w:t>
      </w:r>
    </w:p>
    <w:p w:rsidR="00FF1C33" w:rsidRPr="00F36FB7" w:rsidRDefault="00FF1C33" w:rsidP="00F36FB7">
      <w:pPr>
        <w:spacing w:before="120" w:line="288" w:lineRule="auto"/>
        <w:ind w:left="-142" w:firstLine="0"/>
        <w:jc w:val="center"/>
        <w:rPr>
          <w:b/>
          <w:i/>
          <w:sz w:val="26"/>
          <w:szCs w:val="26"/>
          <w:lang w:val="de-DE"/>
        </w:rPr>
      </w:pPr>
      <w:r w:rsidRPr="00F36FB7">
        <w:rPr>
          <w:noProof/>
          <w:sz w:val="26"/>
          <w:szCs w:val="26"/>
        </w:rPr>
        <w:drawing>
          <wp:inline distT="0" distB="0" distL="0" distR="0">
            <wp:extent cx="5267325" cy="16383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1C33" w:rsidRDefault="00FF1C33" w:rsidP="00F36FB7">
      <w:pPr>
        <w:spacing w:before="120" w:line="288" w:lineRule="auto"/>
        <w:ind w:left="-142" w:firstLine="862"/>
        <w:rPr>
          <w:b/>
          <w:i/>
          <w:sz w:val="26"/>
          <w:szCs w:val="26"/>
          <w:lang w:val="de-DE"/>
        </w:rPr>
      </w:pPr>
      <w:r w:rsidRPr="00F36FB7">
        <w:rPr>
          <w:b/>
          <w:i/>
          <w:sz w:val="26"/>
          <w:szCs w:val="26"/>
          <w:lang w:val="de-DE"/>
        </w:rPr>
        <w:t>Song, tăng trưởng ngắn hạn (chu kỳ kinh tế) vẫn đang trong giai đoạn suy giảm kể từ Q3/2015 và chưa có dấu hiệu t</w:t>
      </w:r>
      <w:r w:rsidR="00326082" w:rsidRPr="00F36FB7">
        <w:rPr>
          <w:b/>
          <w:i/>
          <w:sz w:val="26"/>
          <w:szCs w:val="26"/>
          <w:lang w:val="de-DE"/>
        </w:rPr>
        <w:t>hoát đáy chu kỳ trong năm 2016.</w:t>
      </w:r>
    </w:p>
    <w:p w:rsidR="00845CF4" w:rsidRPr="00A15913" w:rsidRDefault="00845CF4" w:rsidP="00845CF4">
      <w:pPr>
        <w:spacing w:before="120"/>
        <w:ind w:firstLine="0"/>
        <w:jc w:val="center"/>
        <w:rPr>
          <w:sz w:val="24"/>
          <w:szCs w:val="26"/>
          <w:lang w:val="pl-PL"/>
        </w:rPr>
      </w:pPr>
      <w:r w:rsidRPr="00A15913">
        <w:rPr>
          <w:b/>
          <w:sz w:val="24"/>
          <w:szCs w:val="26"/>
          <w:lang w:val="pl-PL"/>
        </w:rPr>
        <w:t>Chu kỳ kinh tế của Việt Nam, Th1/2000 – Th</w:t>
      </w:r>
      <w:r>
        <w:rPr>
          <w:b/>
          <w:sz w:val="24"/>
          <w:szCs w:val="26"/>
          <w:lang w:val="pl-PL"/>
        </w:rPr>
        <w:t>6</w:t>
      </w:r>
      <w:r w:rsidRPr="00A15913">
        <w:rPr>
          <w:b/>
          <w:sz w:val="24"/>
          <w:szCs w:val="26"/>
          <w:lang w:val="pl-PL"/>
        </w:rPr>
        <w:t>/2016</w:t>
      </w:r>
    </w:p>
    <w:p w:rsidR="00FF1C33" w:rsidRPr="00F36FB7" w:rsidRDefault="00FF1C33" w:rsidP="00F36FB7">
      <w:pPr>
        <w:spacing w:before="120" w:line="288" w:lineRule="auto"/>
        <w:ind w:firstLine="0"/>
        <w:jc w:val="center"/>
        <w:rPr>
          <w:sz w:val="26"/>
          <w:szCs w:val="26"/>
        </w:rPr>
      </w:pPr>
      <w:r w:rsidRPr="00F36FB7">
        <w:rPr>
          <w:noProof/>
          <w:sz w:val="26"/>
          <w:szCs w:val="26"/>
        </w:rPr>
        <w:drawing>
          <wp:inline distT="0" distB="0" distL="0" distR="0">
            <wp:extent cx="5524500" cy="1533525"/>
            <wp:effectExtent l="0" t="0" r="0" b="9525"/>
            <wp:docPr id="11" name="Picture 1" descr="H:\tang truong chu ky thang 6.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ang truong chu ky thang 6.2016.jpg"/>
                    <pic:cNvPicPr>
                      <a:picLocks noChangeAspect="1" noChangeArrowheads="1"/>
                    </pic:cNvPicPr>
                  </pic:nvPicPr>
                  <pic:blipFill>
                    <a:blip r:embed="rId16" cstate="print"/>
                    <a:srcRect/>
                    <a:stretch>
                      <a:fillRect/>
                    </a:stretch>
                  </pic:blipFill>
                  <pic:spPr bwMode="auto">
                    <a:xfrm>
                      <a:off x="0" y="0"/>
                      <a:ext cx="5556292" cy="1542350"/>
                    </a:xfrm>
                    <a:prstGeom prst="rect">
                      <a:avLst/>
                    </a:prstGeom>
                    <a:noFill/>
                    <a:ln w="9525">
                      <a:noFill/>
                      <a:miter lim="800000"/>
                      <a:headEnd/>
                      <a:tailEnd/>
                    </a:ln>
                  </pic:spPr>
                </pic:pic>
              </a:graphicData>
            </a:graphic>
          </wp:inline>
        </w:drawing>
      </w:r>
    </w:p>
    <w:p w:rsidR="00FF1C33" w:rsidRDefault="00FF1C33" w:rsidP="00F36FB7">
      <w:pPr>
        <w:spacing w:before="120" w:line="288" w:lineRule="auto"/>
        <w:rPr>
          <w:i/>
          <w:spacing w:val="-2"/>
          <w:sz w:val="20"/>
          <w:szCs w:val="20"/>
          <w:lang w:val="pl-PL"/>
        </w:rPr>
      </w:pPr>
      <w:r w:rsidRPr="002F6752">
        <w:rPr>
          <w:i/>
          <w:spacing w:val="-2"/>
          <w:sz w:val="20"/>
          <w:szCs w:val="20"/>
          <w:lang w:val="pl-PL"/>
        </w:rPr>
        <w:t>Nguồn: Tính toán của UBGSTCQG dựa trên phần mềm của OECD. Chú thích: Tăng trưởng GDP theo quý được loại bỏ yếu tố mùa vụ, xu thế dài hạn và chuyển theo tháng bằng phương pháp nội suy tuyến tính.</w:t>
      </w:r>
    </w:p>
    <w:p w:rsidR="002F6752" w:rsidRDefault="00B515D3" w:rsidP="00B515D3">
      <w:pPr>
        <w:spacing w:before="120" w:line="288" w:lineRule="auto"/>
        <w:ind w:left="66" w:firstLine="654"/>
        <w:rPr>
          <w:i/>
          <w:spacing w:val="-2"/>
          <w:sz w:val="26"/>
          <w:szCs w:val="26"/>
          <w:lang w:val="pl-PL"/>
        </w:rPr>
      </w:pPr>
      <w:r w:rsidRPr="00CF1273">
        <w:rPr>
          <w:spacing w:val="-2"/>
          <w:sz w:val="26"/>
          <w:szCs w:val="26"/>
          <w:lang w:val="pl-PL"/>
        </w:rPr>
        <w:t>Kết hợp các yếu tố trên cho thấy xu thế tăng trưởng dài hạn của nền kinh tế Việt Nam vẫn đang duy trì được xu hướng tăng tích cực nhờ vào những nỗ lực cải cách thể chế, cải thiện môi trường kinh doanh</w:t>
      </w:r>
      <w:r w:rsidR="00CF1273" w:rsidRPr="00CF1273">
        <w:rPr>
          <w:spacing w:val="-2"/>
          <w:sz w:val="26"/>
          <w:szCs w:val="26"/>
          <w:lang w:val="pl-PL"/>
        </w:rPr>
        <w:t xml:space="preserve"> nhằm</w:t>
      </w:r>
      <w:r w:rsidRPr="00CF1273">
        <w:rPr>
          <w:spacing w:val="-2"/>
          <w:sz w:val="26"/>
          <w:szCs w:val="26"/>
          <w:lang w:val="pl-PL"/>
        </w:rPr>
        <w:t xml:space="preserve"> nâng cao năng lực cạnh tranh quốc gia. </w:t>
      </w:r>
      <w:r w:rsidR="00D53469">
        <w:rPr>
          <w:spacing w:val="-2"/>
          <w:sz w:val="26"/>
          <w:szCs w:val="26"/>
          <w:lang w:val="pl-PL"/>
        </w:rPr>
        <w:t>Song</w:t>
      </w:r>
      <w:r w:rsidR="00CF1273" w:rsidRPr="00CF1273">
        <w:rPr>
          <w:spacing w:val="-2"/>
          <w:sz w:val="26"/>
          <w:szCs w:val="26"/>
          <w:lang w:val="pl-PL"/>
        </w:rPr>
        <w:t>, t</w:t>
      </w:r>
      <w:r w:rsidRPr="00CF1273">
        <w:rPr>
          <w:spacing w:val="-2"/>
          <w:sz w:val="26"/>
          <w:szCs w:val="26"/>
          <w:lang w:val="pl-PL"/>
        </w:rPr>
        <w:t xml:space="preserve">ăng trưởng trong ngắn hạn </w:t>
      </w:r>
      <w:r w:rsidR="00CF1273" w:rsidRPr="00CF1273">
        <w:rPr>
          <w:spacing w:val="-2"/>
          <w:sz w:val="26"/>
          <w:szCs w:val="26"/>
          <w:lang w:val="pl-PL"/>
        </w:rPr>
        <w:t xml:space="preserve">đang </w:t>
      </w:r>
      <w:r w:rsidRPr="00CF1273">
        <w:rPr>
          <w:spacing w:val="-2"/>
          <w:sz w:val="26"/>
          <w:szCs w:val="26"/>
          <w:lang w:val="pl-PL"/>
        </w:rPr>
        <w:t>suy giảm chủ yếu do chịu tác động của các yếu tố chu kỳ</w:t>
      </w:r>
      <w:r w:rsidR="00CF1273" w:rsidRPr="00CF1273">
        <w:rPr>
          <w:spacing w:val="-2"/>
          <w:sz w:val="26"/>
          <w:szCs w:val="26"/>
          <w:lang w:val="pl-PL"/>
        </w:rPr>
        <w:t xml:space="preserve"> kinh tế</w:t>
      </w:r>
      <w:r w:rsidRPr="00CF1273">
        <w:rPr>
          <w:spacing w:val="-2"/>
          <w:sz w:val="26"/>
          <w:szCs w:val="26"/>
          <w:lang w:val="pl-PL"/>
        </w:rPr>
        <w:t xml:space="preserve"> và </w:t>
      </w:r>
      <w:r w:rsidR="00FA4BED">
        <w:rPr>
          <w:spacing w:val="-2"/>
          <w:sz w:val="26"/>
          <w:szCs w:val="26"/>
          <w:lang w:val="pl-PL"/>
        </w:rPr>
        <w:t>suy giảm</w:t>
      </w:r>
      <w:r w:rsidR="00AF142F">
        <w:rPr>
          <w:spacing w:val="-2"/>
          <w:sz w:val="26"/>
          <w:szCs w:val="26"/>
          <w:lang w:val="pl-PL"/>
        </w:rPr>
        <w:t xml:space="preserve"> về tổng cung</w:t>
      </w:r>
      <w:r w:rsidRPr="00CF1273">
        <w:rPr>
          <w:spacing w:val="-2"/>
          <w:sz w:val="26"/>
          <w:szCs w:val="26"/>
          <w:lang w:val="pl-PL"/>
        </w:rPr>
        <w:t xml:space="preserve"> (</w:t>
      </w:r>
      <w:r w:rsidR="00AF142F">
        <w:rPr>
          <w:spacing w:val="-2"/>
          <w:sz w:val="26"/>
          <w:szCs w:val="26"/>
          <w:lang w:val="pl-PL"/>
        </w:rPr>
        <w:t>do hạn hán, thiên tai và giá dầu thế giới giảm</w:t>
      </w:r>
      <w:r w:rsidRPr="00CF1273">
        <w:rPr>
          <w:spacing w:val="-2"/>
          <w:sz w:val="26"/>
          <w:szCs w:val="26"/>
          <w:lang w:val="pl-PL"/>
        </w:rPr>
        <w:t>)</w:t>
      </w:r>
      <w:r w:rsidR="00CF1273" w:rsidRPr="00CF1273">
        <w:rPr>
          <w:spacing w:val="-2"/>
          <w:sz w:val="26"/>
          <w:szCs w:val="26"/>
          <w:lang w:val="pl-PL"/>
        </w:rPr>
        <w:t xml:space="preserve">. Do đó, </w:t>
      </w:r>
      <w:r w:rsidR="00CF1273" w:rsidRPr="00CF1273">
        <w:rPr>
          <w:i/>
          <w:spacing w:val="-2"/>
          <w:sz w:val="26"/>
          <w:szCs w:val="26"/>
          <w:lang w:val="pl-PL"/>
        </w:rPr>
        <w:t xml:space="preserve">để đạt được mục tiêu tăng trưởng kinh tế 6,7% trong năm 2016 </w:t>
      </w:r>
      <w:r w:rsidR="00FA4BED">
        <w:rPr>
          <w:i/>
          <w:spacing w:val="-2"/>
          <w:sz w:val="26"/>
          <w:szCs w:val="26"/>
          <w:lang w:val="pl-PL"/>
        </w:rPr>
        <w:t xml:space="preserve">cần có biện pháp hỗ trợ về tổng cầu để bù đắp sự suy giảm của tổng cung, nhất là việc đẩy nhanh giải ngân vốn đầu tư phát triển, phấn đấu đạt tốc độ tăng trưởng tín dụng 16-18% và mở rộng thị trường hàng xuất khẩu. </w:t>
      </w:r>
    </w:p>
    <w:p w:rsidR="00FC3F9E" w:rsidRDefault="00FC3F9E" w:rsidP="00FC3F9E">
      <w:pPr>
        <w:pStyle w:val="ListParagraph"/>
        <w:numPr>
          <w:ilvl w:val="0"/>
          <w:numId w:val="25"/>
        </w:numPr>
        <w:tabs>
          <w:tab w:val="left" w:pos="284"/>
        </w:tabs>
        <w:spacing w:before="120" w:after="0" w:line="288" w:lineRule="auto"/>
        <w:ind w:left="0" w:firstLine="0"/>
        <w:contextualSpacing w:val="0"/>
        <w:rPr>
          <w:b/>
          <w:i/>
          <w:sz w:val="26"/>
          <w:szCs w:val="26"/>
          <w:lang w:val="pl-PL"/>
        </w:rPr>
      </w:pPr>
      <w:r w:rsidRPr="00FC3F9E">
        <w:rPr>
          <w:b/>
          <w:i/>
          <w:sz w:val="26"/>
          <w:szCs w:val="26"/>
          <w:lang w:val="pl-PL"/>
        </w:rPr>
        <w:t>Về tình hình doanh nghiệp</w:t>
      </w:r>
    </w:p>
    <w:p w:rsidR="00FC3F9E" w:rsidRDefault="00FC3F9E" w:rsidP="00FC3F9E">
      <w:pPr>
        <w:pStyle w:val="ListParagraph"/>
        <w:tabs>
          <w:tab w:val="left" w:pos="284"/>
        </w:tabs>
        <w:spacing w:before="120" w:after="0" w:line="288" w:lineRule="auto"/>
        <w:ind w:left="0" w:firstLine="0"/>
        <w:contextualSpacing w:val="0"/>
        <w:rPr>
          <w:b/>
          <w:i/>
          <w:sz w:val="26"/>
          <w:szCs w:val="26"/>
          <w:lang w:val="pl-PL"/>
        </w:rPr>
      </w:pPr>
      <w:r>
        <w:rPr>
          <w:rFonts w:eastAsiaTheme="minorHAnsi"/>
          <w:b/>
          <w:i/>
          <w:spacing w:val="-4"/>
          <w:sz w:val="26"/>
          <w:szCs w:val="26"/>
          <w:lang w:val="pl-PL"/>
        </w:rPr>
        <w:tab/>
      </w:r>
      <w:r>
        <w:rPr>
          <w:rFonts w:eastAsiaTheme="minorHAnsi"/>
          <w:b/>
          <w:i/>
          <w:spacing w:val="-4"/>
          <w:sz w:val="26"/>
          <w:szCs w:val="26"/>
          <w:lang w:val="pl-PL"/>
        </w:rPr>
        <w:tab/>
      </w:r>
      <w:r w:rsidRPr="00660EA6">
        <w:rPr>
          <w:rFonts w:eastAsiaTheme="minorHAnsi"/>
          <w:b/>
          <w:i/>
          <w:spacing w:val="-4"/>
          <w:sz w:val="26"/>
          <w:szCs w:val="26"/>
          <w:lang w:val="pl-PL"/>
        </w:rPr>
        <w:t>Doanh nghiệp vẫn tiếp tục khó khăn</w:t>
      </w:r>
      <w:r>
        <w:rPr>
          <w:rFonts w:eastAsiaTheme="minorHAnsi"/>
          <w:b/>
          <w:i/>
          <w:spacing w:val="-4"/>
          <w:sz w:val="26"/>
          <w:szCs w:val="26"/>
          <w:lang w:val="pl-PL"/>
        </w:rPr>
        <w:t>.</w:t>
      </w:r>
      <w:r>
        <w:rPr>
          <w:rFonts w:eastAsiaTheme="minorHAnsi"/>
          <w:sz w:val="26"/>
          <w:szCs w:val="26"/>
          <w:lang w:val="pl-PL"/>
        </w:rPr>
        <w:t xml:space="preserve"> </w:t>
      </w:r>
      <w:r w:rsidRPr="00627466">
        <w:rPr>
          <w:rFonts w:eastAsiaTheme="minorHAnsi"/>
          <w:sz w:val="26"/>
          <w:szCs w:val="26"/>
          <w:lang w:val="pl-PL"/>
        </w:rPr>
        <w:t xml:space="preserve">Trong </w:t>
      </w:r>
      <w:r>
        <w:rPr>
          <w:rFonts w:eastAsiaTheme="minorHAnsi"/>
          <w:sz w:val="26"/>
          <w:szCs w:val="26"/>
          <w:lang w:val="pl-PL"/>
        </w:rPr>
        <w:t>6</w:t>
      </w:r>
      <w:r w:rsidRPr="00627466">
        <w:rPr>
          <w:rFonts w:eastAsiaTheme="minorHAnsi"/>
          <w:sz w:val="26"/>
          <w:szCs w:val="26"/>
          <w:lang w:val="pl-PL"/>
        </w:rPr>
        <w:t xml:space="preserve"> tháng</w:t>
      </w:r>
      <w:r>
        <w:rPr>
          <w:rFonts w:eastAsiaTheme="minorHAnsi"/>
          <w:sz w:val="26"/>
          <w:szCs w:val="26"/>
          <w:lang w:val="pl-PL"/>
        </w:rPr>
        <w:t>/2016</w:t>
      </w:r>
      <w:r w:rsidRPr="00627466">
        <w:rPr>
          <w:rFonts w:eastAsiaTheme="minorHAnsi"/>
          <w:sz w:val="26"/>
          <w:szCs w:val="26"/>
          <w:lang w:val="pl-PL"/>
        </w:rPr>
        <w:t xml:space="preserve">, </w:t>
      </w:r>
      <w:r>
        <w:rPr>
          <w:rFonts w:eastAsiaTheme="minorHAnsi"/>
          <w:sz w:val="26"/>
          <w:szCs w:val="26"/>
          <w:lang w:val="pl-PL"/>
        </w:rPr>
        <w:t>s</w:t>
      </w:r>
      <w:r w:rsidRPr="00660EA6">
        <w:rPr>
          <w:rFonts w:eastAsiaTheme="minorHAnsi"/>
          <w:sz w:val="26"/>
          <w:szCs w:val="26"/>
          <w:lang w:val="pl-PL"/>
        </w:rPr>
        <w:t>ố doanh nghiệp hoàn tất thủ tục giải thể, chấm dứt hoạt động sản xuất, kinh doanh tăng 17% so với cùng kỳ năm trước (cùng kỳ năm 2015 giảm 0,9%</w:t>
      </w:r>
      <w:r>
        <w:rPr>
          <w:rFonts w:eastAsiaTheme="minorHAnsi"/>
          <w:sz w:val="26"/>
          <w:szCs w:val="26"/>
          <w:lang w:val="pl-PL"/>
        </w:rPr>
        <w:t>)</w:t>
      </w:r>
      <w:r w:rsidRPr="00627466">
        <w:rPr>
          <w:rFonts w:eastAsiaTheme="minorHAnsi"/>
          <w:sz w:val="26"/>
          <w:szCs w:val="26"/>
          <w:lang w:val="pl-PL"/>
        </w:rPr>
        <w:t>.</w:t>
      </w:r>
      <w:r>
        <w:rPr>
          <w:rFonts w:eastAsiaTheme="minorHAnsi"/>
          <w:sz w:val="26"/>
          <w:szCs w:val="26"/>
          <w:lang w:val="pl-PL"/>
        </w:rPr>
        <w:t xml:space="preserve"> Theo</w:t>
      </w:r>
      <w:r w:rsidRPr="006A6448">
        <w:rPr>
          <w:rFonts w:eastAsiaTheme="minorHAnsi"/>
          <w:sz w:val="26"/>
          <w:szCs w:val="26"/>
          <w:lang w:val="pl-PL"/>
        </w:rPr>
        <w:t xml:space="preserve"> tính toán của UBGSTCQG</w:t>
      </w:r>
      <w:r>
        <w:rPr>
          <w:rFonts w:eastAsiaTheme="minorHAnsi"/>
          <w:sz w:val="26"/>
          <w:szCs w:val="26"/>
          <w:lang w:val="pl-PL"/>
        </w:rPr>
        <w:t>,</w:t>
      </w:r>
      <w:r>
        <w:rPr>
          <w:rStyle w:val="FootnoteReference"/>
          <w:rFonts w:eastAsiaTheme="minorHAnsi"/>
          <w:sz w:val="26"/>
          <w:szCs w:val="26"/>
          <w:lang w:val="pl-PL"/>
        </w:rPr>
        <w:footnoteReference w:id="6"/>
      </w:r>
      <w:r w:rsidRPr="006A6448">
        <w:rPr>
          <w:rFonts w:eastAsiaTheme="minorHAnsi"/>
          <w:sz w:val="26"/>
          <w:szCs w:val="26"/>
          <w:lang w:val="pl-PL"/>
        </w:rPr>
        <w:t xml:space="preserve"> hiệu quả sinh lời và lợi nhuận của khối doanh nghiệp phi tài chính đang có xu hướng </w:t>
      </w:r>
      <w:r w:rsidRPr="006A6448">
        <w:rPr>
          <w:rFonts w:eastAsiaTheme="minorHAnsi"/>
          <w:sz w:val="26"/>
          <w:szCs w:val="26"/>
          <w:lang w:val="pl-PL"/>
        </w:rPr>
        <w:lastRenderedPageBreak/>
        <w:t xml:space="preserve">giảm do các loại phí (chi phí tài chính, chi phí sản xuất, các loại thuế và phí...) tăng lên nhanh chóng.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C3F9E" w:rsidRPr="00F86348" w:rsidTr="00FC3F9E">
        <w:tc>
          <w:tcPr>
            <w:tcW w:w="4644" w:type="dxa"/>
          </w:tcPr>
          <w:p w:rsidR="00FC3F9E" w:rsidRPr="00FC3F9E" w:rsidRDefault="00FC3F9E" w:rsidP="00FC3F9E">
            <w:pPr>
              <w:spacing w:before="120" w:line="288" w:lineRule="auto"/>
              <w:rPr>
                <w:rFonts w:eastAsiaTheme="minorHAnsi"/>
                <w:sz w:val="26"/>
                <w:szCs w:val="26"/>
                <w:lang w:val="pl-PL"/>
              </w:rPr>
            </w:pPr>
            <w:r w:rsidRPr="006A6448">
              <w:rPr>
                <w:rFonts w:eastAsiaTheme="minorHAnsi"/>
                <w:sz w:val="26"/>
                <w:szCs w:val="26"/>
                <w:lang w:val="pl-PL"/>
              </w:rPr>
              <w:t>Trong Q1/2016 ROA, ROE của khu vực lần lượt ở mức 1,16% và 2,66% giảm khá mạnh so với cùng kỳ năm trước (Q1/2015 ROA, ROE lần lượt là 3,22% và 1,3%). Tăng trưở</w:t>
            </w:r>
            <w:r>
              <w:rPr>
                <w:rFonts w:eastAsiaTheme="minorHAnsi"/>
                <w:sz w:val="26"/>
                <w:szCs w:val="26"/>
                <w:lang w:val="pl-PL"/>
              </w:rPr>
              <w:t xml:space="preserve">ng doanh thu bình quân và </w:t>
            </w:r>
            <w:r w:rsidRPr="006A6448">
              <w:rPr>
                <w:rFonts w:eastAsiaTheme="minorHAnsi"/>
                <w:sz w:val="26"/>
                <w:szCs w:val="26"/>
                <w:lang w:val="pl-PL"/>
              </w:rPr>
              <w:t>tổng tài sản bình quân của khu vực trong Q1/2016 lần lượt ở mức -6,4% và 11,94% thấp hơn nhiều so với cùng kỳ năm 2015 (Q1/2015 tăng trưởng doanh thu bình quân, tổng tài sả</w:t>
            </w:r>
            <w:r>
              <w:rPr>
                <w:rFonts w:eastAsiaTheme="minorHAnsi"/>
                <w:sz w:val="26"/>
                <w:szCs w:val="26"/>
                <w:lang w:val="pl-PL"/>
              </w:rPr>
              <w:t>n bình quân l</w:t>
            </w:r>
            <w:r w:rsidRPr="006A6448">
              <w:rPr>
                <w:rFonts w:eastAsiaTheme="minorHAnsi"/>
                <w:sz w:val="26"/>
                <w:szCs w:val="26"/>
                <w:lang w:val="pl-PL"/>
              </w:rPr>
              <w:t>ần lượt là 49,29% và 86,31%)</w:t>
            </w:r>
            <w:r>
              <w:rPr>
                <w:rFonts w:eastAsiaTheme="minorHAnsi"/>
                <w:sz w:val="26"/>
                <w:szCs w:val="26"/>
                <w:lang w:val="pl-PL"/>
              </w:rPr>
              <w:t>.</w:t>
            </w:r>
          </w:p>
        </w:tc>
        <w:tc>
          <w:tcPr>
            <w:tcW w:w="4644" w:type="dxa"/>
          </w:tcPr>
          <w:p w:rsidR="00FC3F9E" w:rsidRDefault="00FC3F9E" w:rsidP="00FC3F9E">
            <w:pPr>
              <w:ind w:firstLine="0"/>
              <w:jc w:val="center"/>
              <w:rPr>
                <w:b/>
                <w:sz w:val="24"/>
                <w:lang w:val="pl-PL"/>
              </w:rPr>
            </w:pPr>
          </w:p>
          <w:p w:rsidR="00FC3F9E" w:rsidRPr="00750859" w:rsidRDefault="00FC3F9E" w:rsidP="001037A1">
            <w:pPr>
              <w:pStyle w:val="ListParagraph"/>
              <w:spacing w:before="120" w:line="300" w:lineRule="auto"/>
              <w:ind w:left="0" w:firstLine="34"/>
              <w:contextualSpacing w:val="0"/>
              <w:jc w:val="right"/>
              <w:rPr>
                <w:b/>
                <w:sz w:val="24"/>
                <w:szCs w:val="26"/>
                <w:u w:val="single"/>
                <w:lang w:val="pl-PL"/>
              </w:rPr>
            </w:pPr>
            <w:r w:rsidRPr="00FC3F9E">
              <w:rPr>
                <w:b/>
                <w:sz w:val="24"/>
                <w:lang w:val="pl-PL"/>
              </w:rPr>
              <w:t>Hiệu quả hoạt động của khu vực doanh nghiệp phi tài chính</w:t>
            </w:r>
            <w:r w:rsidRPr="00FC3F9E">
              <w:rPr>
                <w:rStyle w:val="FootnoteReference"/>
                <w:b/>
                <w:sz w:val="24"/>
              </w:rPr>
              <w:footnoteReference w:id="7"/>
            </w:r>
            <w:r w:rsidRPr="00FC3F9E">
              <w:rPr>
                <w:b/>
                <w:sz w:val="24"/>
                <w:lang w:val="pl-PL"/>
              </w:rPr>
              <w:t xml:space="preserve"> Q1/2008-Q1/2016</w:t>
            </w:r>
            <w:r>
              <w:rPr>
                <w:noProof/>
              </w:rPr>
              <w:drawing>
                <wp:inline distT="0" distB="0" distL="0" distR="0" wp14:anchorId="70FB5A28" wp14:editId="75BEB6CD">
                  <wp:extent cx="2466975" cy="19145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50859">
              <w:rPr>
                <w:i/>
                <w:sz w:val="24"/>
                <w:szCs w:val="26"/>
                <w:lang w:val="pl-PL"/>
              </w:rPr>
              <w:t>Nguồn:</w:t>
            </w:r>
            <w:r w:rsidR="000F1535">
              <w:rPr>
                <w:i/>
                <w:sz w:val="24"/>
                <w:szCs w:val="26"/>
                <w:lang w:val="pl-PL"/>
              </w:rPr>
              <w:t xml:space="preserve"> Stoxplus và tính toán của UBGSTCQG</w:t>
            </w:r>
            <w:r w:rsidR="00750859">
              <w:rPr>
                <w:i/>
                <w:sz w:val="24"/>
                <w:szCs w:val="26"/>
                <w:lang w:val="pl-PL"/>
              </w:rPr>
              <w:t xml:space="preserve"> </w:t>
            </w:r>
          </w:p>
        </w:tc>
      </w:tr>
    </w:tbl>
    <w:p w:rsidR="008B25FE" w:rsidRPr="00F36FB7" w:rsidRDefault="004B7A57" w:rsidP="00FC3F9E">
      <w:pPr>
        <w:pStyle w:val="ListParagraph"/>
        <w:numPr>
          <w:ilvl w:val="0"/>
          <w:numId w:val="25"/>
        </w:numPr>
        <w:tabs>
          <w:tab w:val="left" w:pos="284"/>
        </w:tabs>
        <w:spacing w:before="120" w:line="288" w:lineRule="auto"/>
        <w:ind w:left="0" w:firstLine="0"/>
        <w:contextualSpacing w:val="0"/>
        <w:rPr>
          <w:b/>
          <w:i/>
          <w:sz w:val="26"/>
          <w:szCs w:val="26"/>
          <w:lang w:val="pl-PL"/>
        </w:rPr>
      </w:pPr>
      <w:r w:rsidRPr="00F36FB7">
        <w:rPr>
          <w:b/>
          <w:i/>
          <w:sz w:val="26"/>
          <w:szCs w:val="26"/>
          <w:lang w:val="pl-PL"/>
        </w:rPr>
        <w:t>Về lạm phát</w:t>
      </w:r>
      <w:r w:rsidR="008B25FE" w:rsidRPr="00F36FB7">
        <w:rPr>
          <w:sz w:val="26"/>
          <w:szCs w:val="26"/>
          <w:lang w:val="pl-P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9"/>
      </w:tblGrid>
      <w:tr w:rsidR="00F36FB7" w:rsidRPr="00750859" w:rsidTr="00D53469">
        <w:trPr>
          <w:trHeight w:val="4605"/>
        </w:trPr>
        <w:tc>
          <w:tcPr>
            <w:tcW w:w="4599" w:type="dxa"/>
          </w:tcPr>
          <w:p w:rsidR="00F36FB7" w:rsidRPr="005A5B2A" w:rsidRDefault="00F36FB7" w:rsidP="00FC3F9E">
            <w:pPr>
              <w:spacing w:before="120" w:line="300" w:lineRule="auto"/>
              <w:ind w:left="66" w:firstLine="654"/>
              <w:rPr>
                <w:spacing w:val="-6"/>
                <w:sz w:val="26"/>
                <w:szCs w:val="26"/>
                <w:lang w:val="pl-PL"/>
              </w:rPr>
            </w:pPr>
            <w:r w:rsidRPr="005A5B2A">
              <w:rPr>
                <w:spacing w:val="-6"/>
                <w:sz w:val="26"/>
                <w:szCs w:val="26"/>
                <w:lang w:val="pl-PL"/>
              </w:rPr>
              <w:t>Chỉ số giá tiêu dùng tiếp tục tăng kể từ tháng 11/2015. Tính đến tháng 6/2016, CPI tổng thể tăng 2,4% so với cùng kỳ và tăng 2,35% so với đầu năm.</w:t>
            </w:r>
          </w:p>
          <w:p w:rsidR="00F36FB7" w:rsidRPr="00FA4AC5" w:rsidRDefault="00F36FB7" w:rsidP="00FC3F9E">
            <w:pPr>
              <w:spacing w:before="120" w:line="300" w:lineRule="auto"/>
              <w:ind w:firstLine="567"/>
              <w:rPr>
                <w:sz w:val="26"/>
                <w:szCs w:val="26"/>
                <w:lang w:val="pl-PL"/>
              </w:rPr>
            </w:pPr>
            <w:r w:rsidRPr="00FA4AC5">
              <w:rPr>
                <w:sz w:val="26"/>
                <w:szCs w:val="26"/>
                <w:lang w:val="pl-PL"/>
              </w:rPr>
              <w:t xml:space="preserve">Nguyên nhân tăng lạm phát chủ yếu do tăng giá một </w:t>
            </w:r>
            <w:r w:rsidR="00FA4AC5" w:rsidRPr="00FA4AC5">
              <w:rPr>
                <w:sz w:val="26"/>
                <w:szCs w:val="26"/>
                <w:lang w:val="pl-PL"/>
              </w:rPr>
              <w:t xml:space="preserve">số </w:t>
            </w:r>
            <w:r w:rsidRPr="00FA4AC5">
              <w:rPr>
                <w:sz w:val="26"/>
                <w:szCs w:val="26"/>
                <w:lang w:val="pl-PL"/>
              </w:rPr>
              <w:t>nhóm hàng như: dịch vụ y tế (tăng 23,15% so với đầu năm); giáo dục (tăng 4,47% so với đầu năm). Tính chung, trong 6 tháng đầu năm</w:t>
            </w:r>
            <w:r w:rsidR="00FA4AC5" w:rsidRPr="00FA4AC5">
              <w:rPr>
                <w:sz w:val="26"/>
                <w:szCs w:val="26"/>
                <w:lang w:val="pl-PL"/>
              </w:rPr>
              <w:t>,</w:t>
            </w:r>
            <w:r w:rsidRPr="00FA4AC5">
              <w:rPr>
                <w:sz w:val="26"/>
                <w:szCs w:val="26"/>
                <w:lang w:val="pl-PL"/>
              </w:rPr>
              <w:t xml:space="preserve"> 2 nhóm này góp phần làm cho CPI 6 tháng đầu năm tăng khoảng 1,08% so với</w:t>
            </w:r>
            <w:r w:rsidR="00FA4AC5" w:rsidRPr="00FA4AC5">
              <w:rPr>
                <w:sz w:val="26"/>
                <w:szCs w:val="26"/>
                <w:lang w:val="pl-PL"/>
              </w:rPr>
              <w:t xml:space="preserve"> đầu năm, đóng góp 46% vào tổng mức tăng kể từ đầu năm</w:t>
            </w:r>
            <w:r w:rsidRPr="00FA4AC5">
              <w:rPr>
                <w:sz w:val="26"/>
                <w:szCs w:val="26"/>
                <w:lang w:val="pl-PL"/>
              </w:rPr>
              <w:t xml:space="preserve">. Trong khi đó, lạm phát cơ bản vẫn duy trì ổn định ở mức dưới 2% từ đầu năm đến nay. </w:t>
            </w:r>
          </w:p>
        </w:tc>
        <w:tc>
          <w:tcPr>
            <w:tcW w:w="4599" w:type="dxa"/>
          </w:tcPr>
          <w:p w:rsidR="00F36FB7" w:rsidRPr="00F36FB7" w:rsidRDefault="00F36FB7" w:rsidP="00FC3F9E">
            <w:pPr>
              <w:pStyle w:val="ListParagraph"/>
              <w:spacing w:before="120" w:line="300" w:lineRule="auto"/>
              <w:ind w:left="-14" w:firstLine="14"/>
              <w:contextualSpacing w:val="0"/>
              <w:jc w:val="center"/>
              <w:rPr>
                <w:rFonts w:eastAsia="Arial"/>
                <w:b/>
                <w:spacing w:val="-4"/>
                <w:sz w:val="24"/>
                <w:szCs w:val="26"/>
                <w:lang w:val="pl-PL"/>
              </w:rPr>
            </w:pPr>
            <w:r w:rsidRPr="00F36FB7">
              <w:rPr>
                <w:rFonts w:eastAsia="Arial"/>
                <w:b/>
                <w:spacing w:val="-4"/>
                <w:sz w:val="24"/>
                <w:szCs w:val="26"/>
                <w:lang w:val="pl-PL"/>
              </w:rPr>
              <w:t>Lạm phát và lạm phát cơ bản (%, tháng so với cùng kỳ)</w:t>
            </w:r>
          </w:p>
          <w:p w:rsidR="00F36FB7" w:rsidRPr="00F36FB7" w:rsidRDefault="00F36FB7" w:rsidP="00FC3F9E">
            <w:pPr>
              <w:pStyle w:val="ListParagraph"/>
              <w:spacing w:before="120" w:line="300" w:lineRule="auto"/>
              <w:ind w:left="0" w:firstLine="0"/>
              <w:contextualSpacing w:val="0"/>
              <w:jc w:val="center"/>
              <w:rPr>
                <w:b/>
                <w:sz w:val="24"/>
                <w:szCs w:val="26"/>
                <w:lang w:val="pl-PL"/>
              </w:rPr>
            </w:pPr>
            <w:r w:rsidRPr="00F36FB7">
              <w:rPr>
                <w:b/>
                <w:noProof/>
                <w:sz w:val="24"/>
                <w:szCs w:val="26"/>
              </w:rPr>
              <w:drawing>
                <wp:inline distT="0" distB="0" distL="0" distR="0" wp14:anchorId="0AF318FA" wp14:editId="2B11F016">
                  <wp:extent cx="2733675" cy="2324100"/>
                  <wp:effectExtent l="0" t="0" r="0" b="0"/>
                  <wp:docPr id="3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6FB7" w:rsidRPr="00F36FB7" w:rsidRDefault="00750859" w:rsidP="000F1535">
            <w:pPr>
              <w:pStyle w:val="ListParagraph"/>
              <w:spacing w:before="120" w:line="300" w:lineRule="auto"/>
              <w:ind w:left="0"/>
              <w:contextualSpacing w:val="0"/>
              <w:jc w:val="right"/>
              <w:rPr>
                <w:sz w:val="24"/>
                <w:szCs w:val="26"/>
                <w:lang w:val="pl-PL"/>
              </w:rPr>
            </w:pPr>
            <w:r>
              <w:rPr>
                <w:i/>
                <w:sz w:val="24"/>
                <w:szCs w:val="26"/>
                <w:lang w:val="pl-PL"/>
              </w:rPr>
              <w:t xml:space="preserve">Nguồn: </w:t>
            </w:r>
            <w:r w:rsidR="000F1535">
              <w:rPr>
                <w:i/>
                <w:sz w:val="24"/>
                <w:szCs w:val="26"/>
                <w:lang w:val="pl-PL"/>
              </w:rPr>
              <w:t>TCTK</w:t>
            </w:r>
          </w:p>
          <w:p w:rsidR="00F36FB7" w:rsidRPr="00F36FB7" w:rsidRDefault="00F36FB7" w:rsidP="00FC3F9E">
            <w:pPr>
              <w:spacing w:before="120" w:line="300" w:lineRule="auto"/>
              <w:ind w:firstLine="0"/>
              <w:rPr>
                <w:sz w:val="24"/>
                <w:szCs w:val="26"/>
                <w:lang w:val="pl-PL"/>
              </w:rPr>
            </w:pPr>
          </w:p>
        </w:tc>
      </w:tr>
    </w:tbl>
    <w:p w:rsidR="00FE2AF0" w:rsidRPr="00F36FB7" w:rsidRDefault="001F7A31" w:rsidP="00FC3F9E">
      <w:pPr>
        <w:pStyle w:val="ListParagraph"/>
        <w:tabs>
          <w:tab w:val="left" w:pos="720"/>
        </w:tabs>
        <w:spacing w:before="120" w:line="300" w:lineRule="auto"/>
        <w:ind w:left="0" w:firstLine="0"/>
        <w:contextualSpacing w:val="0"/>
        <w:rPr>
          <w:sz w:val="26"/>
          <w:szCs w:val="26"/>
          <w:lang w:val="pl-PL"/>
        </w:rPr>
      </w:pPr>
      <w:r w:rsidRPr="00F36FB7">
        <w:rPr>
          <w:sz w:val="26"/>
          <w:szCs w:val="26"/>
          <w:lang w:val="pl-PL"/>
        </w:rPr>
        <w:tab/>
      </w:r>
      <w:r w:rsidR="00FE2AF0" w:rsidRPr="00F36FB7">
        <w:rPr>
          <w:sz w:val="26"/>
          <w:szCs w:val="26"/>
          <w:lang w:val="pl-PL"/>
        </w:rPr>
        <w:t xml:space="preserve">Phân rã lạm phát cho thấy, thành phần lạm phát có tính chu kỳ đã có 6 tháng tăng liên tục (kể từ tháng 12/2015). Điều này cho thấy chu kỳ tăng giá (dịch vụ y tế, giáo dục, thực phẩm) của Q1/2016 vẫn đang gây tác động kéo dài sang Q2/2016. Song, nhờ các yếu tố cơ bản thuận lợi (giá hàng hóa thế giới thấp, tổng cầu tăng chậm...) thành phần lạm phát dài hạn vẫn duy trì được xu thế thấp ổn định. Tổng hợp </w:t>
      </w:r>
      <w:r w:rsidR="00FE2AF0" w:rsidRPr="00F36FB7">
        <w:rPr>
          <w:sz w:val="26"/>
          <w:szCs w:val="26"/>
          <w:lang w:val="pl-PL"/>
        </w:rPr>
        <w:lastRenderedPageBreak/>
        <w:t>các yếu tố đó, UBGSTCQG dự báo lạm phát cả năm 2016 sẽ tăng cao hơn so với năm 2015, nhưng sẽ chỉ ở mức 4% - 4,5%.</w:t>
      </w:r>
    </w:p>
    <w:p w:rsidR="00FC3F9E" w:rsidRDefault="00FC3F9E" w:rsidP="00F36FB7">
      <w:pPr>
        <w:spacing w:before="120" w:line="288" w:lineRule="auto"/>
        <w:jc w:val="center"/>
        <w:rPr>
          <w:b/>
          <w:sz w:val="26"/>
          <w:szCs w:val="26"/>
          <w:lang w:val="pl-PL"/>
        </w:rPr>
      </w:pPr>
    </w:p>
    <w:p w:rsidR="00FE2AF0" w:rsidRPr="00B651A2" w:rsidRDefault="00FE2AF0" w:rsidP="00F36FB7">
      <w:pPr>
        <w:spacing w:before="120" w:line="288" w:lineRule="auto"/>
        <w:jc w:val="center"/>
        <w:rPr>
          <w:b/>
          <w:sz w:val="24"/>
          <w:szCs w:val="26"/>
          <w:lang w:val="pl-PL"/>
        </w:rPr>
      </w:pPr>
      <w:r w:rsidRPr="00B651A2">
        <w:rPr>
          <w:b/>
          <w:sz w:val="24"/>
          <w:szCs w:val="26"/>
          <w:lang w:val="pl-PL"/>
        </w:rPr>
        <w:t>Phân rã lạm phát (%, tháng so với cùng kỳ)</w:t>
      </w:r>
    </w:p>
    <w:p w:rsidR="00FE2AF0" w:rsidRPr="00F36FB7" w:rsidRDefault="00FE2AF0" w:rsidP="00F36FB7">
      <w:pPr>
        <w:spacing w:before="120" w:line="288" w:lineRule="auto"/>
        <w:ind w:firstLine="142"/>
        <w:jc w:val="center"/>
        <w:rPr>
          <w:b/>
          <w:sz w:val="26"/>
          <w:szCs w:val="26"/>
          <w:lang w:val="pl-PL"/>
        </w:rPr>
      </w:pPr>
      <w:r w:rsidRPr="00F36FB7">
        <w:rPr>
          <w:b/>
          <w:noProof/>
          <w:sz w:val="26"/>
          <w:szCs w:val="26"/>
        </w:rPr>
        <w:drawing>
          <wp:inline distT="0" distB="0" distL="0" distR="0">
            <wp:extent cx="5334000" cy="19145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2AF0" w:rsidRPr="00BC12DD" w:rsidRDefault="00FE2AF0" w:rsidP="00F36FB7">
      <w:pPr>
        <w:spacing w:before="120" w:line="288" w:lineRule="auto"/>
        <w:jc w:val="right"/>
        <w:rPr>
          <w:i/>
          <w:sz w:val="24"/>
          <w:szCs w:val="26"/>
          <w:lang w:val="pl-PL"/>
        </w:rPr>
      </w:pPr>
      <w:r w:rsidRPr="00BC12DD">
        <w:rPr>
          <w:i/>
          <w:sz w:val="24"/>
          <w:szCs w:val="26"/>
          <w:lang w:val="pl-PL"/>
        </w:rPr>
        <w:t>Nguồn: TCTK và tính toán của UBGSTCQG</w:t>
      </w:r>
    </w:p>
    <w:p w:rsidR="00D46294" w:rsidRPr="00F36FB7" w:rsidRDefault="001912C4" w:rsidP="00F36FB7">
      <w:pPr>
        <w:pStyle w:val="ListParagraph"/>
        <w:numPr>
          <w:ilvl w:val="0"/>
          <w:numId w:val="25"/>
        </w:numPr>
        <w:tabs>
          <w:tab w:val="left" w:pos="360"/>
        </w:tabs>
        <w:spacing w:before="120" w:line="288" w:lineRule="auto"/>
        <w:ind w:left="360"/>
        <w:contextualSpacing w:val="0"/>
        <w:rPr>
          <w:b/>
          <w:spacing w:val="-2"/>
          <w:sz w:val="26"/>
          <w:szCs w:val="26"/>
          <w:lang w:val="pl-PL"/>
        </w:rPr>
      </w:pPr>
      <w:r w:rsidRPr="00F36FB7">
        <w:rPr>
          <w:b/>
          <w:spacing w:val="-2"/>
          <w:sz w:val="26"/>
          <w:szCs w:val="26"/>
          <w:lang w:val="pl-PL"/>
        </w:rPr>
        <w:t>Về cân đối NSNN</w:t>
      </w:r>
    </w:p>
    <w:tbl>
      <w:tblPr>
        <w:tblStyle w:val="TableGrid"/>
        <w:tblW w:w="91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87"/>
      </w:tblGrid>
      <w:tr w:rsidR="00AE1D90" w:rsidRPr="00F36FB7" w:rsidTr="00D60937">
        <w:trPr>
          <w:trHeight w:val="1420"/>
        </w:trPr>
        <w:tc>
          <w:tcPr>
            <w:tcW w:w="4253" w:type="dxa"/>
          </w:tcPr>
          <w:p w:rsidR="0025384F" w:rsidRPr="00D60937" w:rsidRDefault="0025384F" w:rsidP="00D60937">
            <w:pPr>
              <w:pStyle w:val="ListParagraph"/>
              <w:spacing w:before="120" w:line="276" w:lineRule="auto"/>
              <w:ind w:left="0" w:firstLine="357"/>
              <w:contextualSpacing w:val="0"/>
              <w:rPr>
                <w:spacing w:val="-6"/>
                <w:sz w:val="26"/>
                <w:szCs w:val="26"/>
                <w:lang w:val="pl-PL"/>
              </w:rPr>
            </w:pPr>
            <w:r w:rsidRPr="00D60937">
              <w:rPr>
                <w:b/>
                <w:spacing w:val="-6"/>
                <w:sz w:val="26"/>
                <w:szCs w:val="26"/>
                <w:lang w:val="pl-PL"/>
              </w:rPr>
              <w:t xml:space="preserve">- </w:t>
            </w:r>
            <w:r w:rsidRPr="00D60937">
              <w:rPr>
                <w:spacing w:val="-6"/>
                <w:sz w:val="26"/>
                <w:szCs w:val="26"/>
                <w:lang w:val="pl-PL"/>
              </w:rPr>
              <w:t>Thu NSNN nửa đầu năm 2016</w:t>
            </w:r>
            <w:r w:rsidRPr="00D60937">
              <w:rPr>
                <w:rStyle w:val="FootnoteReference"/>
                <w:spacing w:val="-6"/>
                <w:sz w:val="26"/>
                <w:szCs w:val="26"/>
              </w:rPr>
              <w:footnoteReference w:id="8"/>
            </w:r>
            <w:r w:rsidRPr="00D60937">
              <w:rPr>
                <w:spacing w:val="-6"/>
                <w:sz w:val="26"/>
                <w:szCs w:val="26"/>
                <w:lang w:val="pl-PL"/>
              </w:rPr>
              <w:t xml:space="preserve"> khó khăn hơn so với cùng kỳ năm trước do: (i) tốc độ tăng thu nội địa đạt 13,8%, thấp so với 18,6% (2015) và 19,9% (2014); (ii) giá dầu thanh toán bình quân ở mức 39,8 USD/thùng, thấp hơn so với giá xây dựng dự toán (60 USD/thùng) khiến thu dầu thô giảm 44,8%; (iii) thu từ hoạt động SXKD giảm 2,2%.</w:t>
            </w:r>
          </w:p>
          <w:p w:rsidR="0025384F" w:rsidRPr="00D60937" w:rsidRDefault="0025384F" w:rsidP="00D60937">
            <w:pPr>
              <w:pStyle w:val="ListParagraph"/>
              <w:spacing w:before="120" w:line="276" w:lineRule="auto"/>
              <w:ind w:left="0" w:firstLine="357"/>
              <w:contextualSpacing w:val="0"/>
              <w:rPr>
                <w:spacing w:val="-6"/>
                <w:sz w:val="26"/>
                <w:szCs w:val="26"/>
                <w:lang w:val="pl-PL"/>
              </w:rPr>
            </w:pPr>
            <w:r w:rsidRPr="00D60937">
              <w:rPr>
                <w:b/>
                <w:spacing w:val="-6"/>
                <w:sz w:val="26"/>
                <w:szCs w:val="26"/>
                <w:lang w:val="pl-PL"/>
              </w:rPr>
              <w:t>-</w:t>
            </w:r>
            <w:r w:rsidRPr="00D60937">
              <w:rPr>
                <w:spacing w:val="-6"/>
                <w:sz w:val="26"/>
                <w:szCs w:val="26"/>
                <w:lang w:val="pl-PL"/>
              </w:rPr>
              <w:t xml:space="preserve"> Trong khi đó, chi thường xuyên tăng 5%, chi đầu tư phát triển tăng 4,6%, chi trả nợ và viện trợ tăng 5,2% so với cùng kỳ. Tuy nhiên, tốc độ tăng chi NSNN (4,9%) chậm hơn tốc độ tăng thu NSNN (6,1%) đã giảm bớt áp lực đối với cân đối ngân sách. Bội chi NSNN lũy kế 6 tháng đầu năm là 85,6 nghìn tỷ đồng, bằng 33,7% dự toán năm.</w:t>
            </w:r>
          </w:p>
          <w:p w:rsidR="00FC3F9E" w:rsidRPr="00DA1389" w:rsidRDefault="0025384F" w:rsidP="00DA1389">
            <w:pPr>
              <w:pStyle w:val="ListParagraph"/>
              <w:spacing w:before="120" w:line="276" w:lineRule="auto"/>
              <w:ind w:left="0" w:firstLine="357"/>
              <w:contextualSpacing w:val="0"/>
              <w:rPr>
                <w:spacing w:val="-6"/>
                <w:sz w:val="26"/>
                <w:szCs w:val="26"/>
                <w:lang w:val="pl-PL"/>
              </w:rPr>
            </w:pPr>
            <w:r w:rsidRPr="00D60937">
              <w:rPr>
                <w:i/>
                <w:spacing w:val="-6"/>
                <w:sz w:val="26"/>
                <w:szCs w:val="26"/>
                <w:lang w:val="pl-PL"/>
              </w:rPr>
              <w:t xml:space="preserve">- </w:t>
            </w:r>
            <w:r w:rsidRPr="00D60937">
              <w:rPr>
                <w:spacing w:val="-6"/>
                <w:sz w:val="26"/>
                <w:szCs w:val="26"/>
                <w:lang w:val="pl-PL"/>
              </w:rPr>
              <w:t xml:space="preserve">Với tình hình trên, thâm hụt ngân sách năm 2016 có khả năng đảm bảo dự toán 254 nghìn tỷ đồng. Tuy nhiên, nếu tốc độ tăng trưởng GDP năm 2016 thấp hơn kế hoạch, giả sử ở mức 6,5% GDP </w:t>
            </w:r>
            <w:r w:rsidRPr="00D60937">
              <w:rPr>
                <w:spacing w:val="-6"/>
                <w:sz w:val="26"/>
                <w:szCs w:val="26"/>
                <w:lang w:val="pl-PL"/>
              </w:rPr>
              <w:lastRenderedPageBreak/>
              <w:t>thì tỷ lệ bội chi NSNN so với GDP sẽ vượt dự toán khoảng 0,5% GDP.</w:t>
            </w:r>
          </w:p>
        </w:tc>
        <w:tc>
          <w:tcPr>
            <w:tcW w:w="4887" w:type="dxa"/>
          </w:tcPr>
          <w:p w:rsidR="00BC6BC3" w:rsidRPr="00D60937" w:rsidRDefault="0025384F" w:rsidP="00845CF4">
            <w:pPr>
              <w:pStyle w:val="ListParagraph"/>
              <w:spacing w:after="0"/>
              <w:ind w:left="0" w:firstLine="0"/>
              <w:contextualSpacing w:val="0"/>
              <w:jc w:val="center"/>
              <w:rPr>
                <w:b/>
                <w:sz w:val="22"/>
                <w:szCs w:val="26"/>
                <w:lang w:val="pl-PL"/>
              </w:rPr>
            </w:pPr>
            <w:r w:rsidRPr="00D60937">
              <w:rPr>
                <w:b/>
                <w:sz w:val="22"/>
                <w:szCs w:val="26"/>
                <w:lang w:val="vi-VN"/>
              </w:rPr>
              <w:lastRenderedPageBreak/>
              <w:t xml:space="preserve">Thu NSNN </w:t>
            </w:r>
            <w:r w:rsidRPr="00D60937">
              <w:rPr>
                <w:b/>
                <w:sz w:val="22"/>
                <w:szCs w:val="26"/>
                <w:lang w:val="pl-PL"/>
              </w:rPr>
              <w:t>6 tháng đầu năm</w:t>
            </w:r>
            <w:r w:rsidRPr="00D60937">
              <w:rPr>
                <w:b/>
                <w:sz w:val="22"/>
                <w:szCs w:val="26"/>
                <w:lang w:val="vi-VN"/>
              </w:rPr>
              <w:t xml:space="preserve">, </w:t>
            </w:r>
          </w:p>
          <w:p w:rsidR="0025384F" w:rsidRPr="00D60937" w:rsidRDefault="00BC6BC3" w:rsidP="00845CF4">
            <w:pPr>
              <w:pStyle w:val="ListParagraph"/>
              <w:spacing w:after="0"/>
              <w:ind w:left="0" w:firstLine="0"/>
              <w:contextualSpacing w:val="0"/>
              <w:jc w:val="center"/>
              <w:rPr>
                <w:b/>
                <w:sz w:val="22"/>
                <w:szCs w:val="26"/>
                <w:lang w:val="pl-PL"/>
              </w:rPr>
            </w:pPr>
            <w:r w:rsidRPr="00D60937">
              <w:rPr>
                <w:b/>
                <w:sz w:val="22"/>
                <w:szCs w:val="26"/>
              </w:rPr>
              <w:t>(</w:t>
            </w:r>
            <w:r w:rsidR="0025384F" w:rsidRPr="00D60937">
              <w:rPr>
                <w:b/>
                <w:sz w:val="22"/>
                <w:szCs w:val="26"/>
                <w:lang w:val="vi-VN"/>
              </w:rPr>
              <w:t>%</w:t>
            </w:r>
            <w:r w:rsidRPr="00D60937">
              <w:rPr>
                <w:b/>
                <w:sz w:val="22"/>
                <w:szCs w:val="26"/>
                <w:lang w:val="pl-PL"/>
              </w:rPr>
              <w:t xml:space="preserve"> </w:t>
            </w:r>
            <w:r w:rsidR="002E47C2" w:rsidRPr="00D60937">
              <w:rPr>
                <w:b/>
                <w:sz w:val="22"/>
                <w:szCs w:val="26"/>
                <w:lang w:val="pl-PL"/>
              </w:rPr>
              <w:t>so với cùng kỳ)</w:t>
            </w:r>
          </w:p>
          <w:p w:rsidR="00AE1D90" w:rsidRPr="00D60937" w:rsidRDefault="0025384F" w:rsidP="00845CF4">
            <w:pPr>
              <w:pStyle w:val="ListParagraph"/>
              <w:tabs>
                <w:tab w:val="left" w:pos="360"/>
              </w:tabs>
              <w:spacing w:after="0"/>
              <w:ind w:left="0" w:firstLine="0"/>
              <w:contextualSpacing w:val="0"/>
              <w:jc w:val="center"/>
              <w:rPr>
                <w:b/>
                <w:spacing w:val="-2"/>
                <w:sz w:val="22"/>
                <w:szCs w:val="26"/>
                <w:lang w:val="pl-PL"/>
              </w:rPr>
            </w:pPr>
            <w:r w:rsidRPr="00D60937">
              <w:rPr>
                <w:noProof/>
                <w:sz w:val="22"/>
                <w:szCs w:val="26"/>
              </w:rPr>
              <w:drawing>
                <wp:inline distT="0" distB="0" distL="0" distR="0">
                  <wp:extent cx="2495550" cy="16573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384F" w:rsidRPr="00D60937" w:rsidRDefault="0025384F" w:rsidP="00845CF4">
            <w:pPr>
              <w:pStyle w:val="ListParagraph"/>
              <w:spacing w:after="0"/>
              <w:ind w:left="0" w:firstLine="0"/>
              <w:contextualSpacing w:val="0"/>
              <w:jc w:val="right"/>
              <w:rPr>
                <w:i/>
                <w:sz w:val="22"/>
                <w:szCs w:val="26"/>
                <w:lang w:val="pl-PL"/>
              </w:rPr>
            </w:pPr>
            <w:r w:rsidRPr="00D60937">
              <w:rPr>
                <w:i/>
                <w:sz w:val="22"/>
                <w:szCs w:val="26"/>
                <w:lang w:val="pl-PL"/>
              </w:rPr>
              <w:t>Nguồn:  BTC</w:t>
            </w:r>
          </w:p>
          <w:p w:rsidR="0025384F" w:rsidRPr="00D60937" w:rsidRDefault="0025384F" w:rsidP="00845CF4">
            <w:pPr>
              <w:pStyle w:val="ListParagraph"/>
              <w:spacing w:after="0"/>
              <w:ind w:left="0" w:firstLine="0"/>
              <w:contextualSpacing w:val="0"/>
              <w:jc w:val="center"/>
              <w:rPr>
                <w:b/>
                <w:sz w:val="22"/>
                <w:szCs w:val="26"/>
                <w:lang w:val="pl-PL"/>
              </w:rPr>
            </w:pPr>
            <w:r w:rsidRPr="00D60937">
              <w:rPr>
                <w:b/>
                <w:sz w:val="22"/>
                <w:szCs w:val="26"/>
                <w:lang w:val="vi-VN"/>
              </w:rPr>
              <w:t>Chi NSNN 6 tháng đầu năm, %</w:t>
            </w:r>
          </w:p>
          <w:p w:rsidR="0025384F" w:rsidRPr="00D60937" w:rsidRDefault="0025384F" w:rsidP="00845CF4">
            <w:pPr>
              <w:pStyle w:val="ListParagraph"/>
              <w:tabs>
                <w:tab w:val="left" w:pos="360"/>
              </w:tabs>
              <w:spacing w:after="0"/>
              <w:ind w:left="0" w:firstLine="0"/>
              <w:contextualSpacing w:val="0"/>
              <w:jc w:val="center"/>
              <w:rPr>
                <w:b/>
                <w:spacing w:val="-2"/>
                <w:sz w:val="22"/>
                <w:szCs w:val="26"/>
                <w:lang w:val="pl-PL"/>
              </w:rPr>
            </w:pPr>
            <w:r w:rsidRPr="00D60937">
              <w:rPr>
                <w:noProof/>
                <w:sz w:val="22"/>
                <w:szCs w:val="26"/>
              </w:rPr>
              <w:drawing>
                <wp:inline distT="0" distB="0" distL="0" distR="0">
                  <wp:extent cx="2543175" cy="216217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384F" w:rsidRPr="00D60937" w:rsidRDefault="0025384F" w:rsidP="00845CF4">
            <w:pPr>
              <w:pStyle w:val="ListParagraph"/>
              <w:spacing w:after="0"/>
              <w:ind w:left="0" w:firstLine="0"/>
              <w:contextualSpacing w:val="0"/>
              <w:jc w:val="right"/>
              <w:rPr>
                <w:i/>
                <w:sz w:val="22"/>
                <w:szCs w:val="26"/>
                <w:lang w:val="pl-PL"/>
              </w:rPr>
            </w:pPr>
            <w:r w:rsidRPr="00D60937">
              <w:rPr>
                <w:i/>
                <w:sz w:val="22"/>
                <w:szCs w:val="26"/>
                <w:lang w:val="pl-PL"/>
              </w:rPr>
              <w:t>Nguồn:  BTC</w:t>
            </w:r>
          </w:p>
        </w:tc>
      </w:tr>
    </w:tbl>
    <w:p w:rsidR="00E86187" w:rsidRPr="00F36FB7" w:rsidRDefault="00E86187" w:rsidP="00D60937">
      <w:pPr>
        <w:pStyle w:val="ListParagraph"/>
        <w:numPr>
          <w:ilvl w:val="0"/>
          <w:numId w:val="22"/>
        </w:numPr>
        <w:spacing w:before="240" w:after="240" w:line="288" w:lineRule="auto"/>
        <w:ind w:left="426" w:hanging="426"/>
        <w:contextualSpacing w:val="0"/>
        <w:rPr>
          <w:b/>
          <w:sz w:val="26"/>
          <w:szCs w:val="26"/>
          <w:lang w:val="nl-NL"/>
        </w:rPr>
      </w:pPr>
      <w:r w:rsidRPr="00F36FB7">
        <w:rPr>
          <w:b/>
          <w:sz w:val="26"/>
          <w:szCs w:val="26"/>
          <w:lang w:val="vi-VN"/>
        </w:rPr>
        <w:lastRenderedPageBreak/>
        <w:t>THỊ TRƯỜNG TÀI CHÍNH</w:t>
      </w:r>
      <w:r w:rsidRPr="00F36FB7">
        <w:rPr>
          <w:sz w:val="26"/>
          <w:szCs w:val="26"/>
          <w:lang w:val="nl-NL"/>
        </w:rPr>
        <w:t xml:space="preserve"> </w:t>
      </w:r>
      <w:r w:rsidR="0084418B" w:rsidRPr="00F36FB7">
        <w:rPr>
          <w:b/>
          <w:sz w:val="26"/>
          <w:szCs w:val="26"/>
          <w:lang w:val="nl-NL"/>
        </w:rPr>
        <w:t>– TIỀN TỆ</w:t>
      </w:r>
    </w:p>
    <w:p w:rsidR="00DF756E" w:rsidRPr="00F36FB7" w:rsidRDefault="00ED1E50" w:rsidP="00D60937">
      <w:pPr>
        <w:pStyle w:val="NormalWeb"/>
        <w:numPr>
          <w:ilvl w:val="0"/>
          <w:numId w:val="42"/>
        </w:numPr>
        <w:spacing w:before="120" w:beforeAutospacing="0" w:after="240" w:afterAutospacing="0" w:line="288" w:lineRule="auto"/>
        <w:ind w:hanging="502"/>
        <w:jc w:val="both"/>
        <w:rPr>
          <w:b/>
          <w:sz w:val="26"/>
          <w:szCs w:val="26"/>
          <w:lang w:val="pl-PL"/>
        </w:rPr>
      </w:pPr>
      <w:r w:rsidRPr="00F36FB7">
        <w:rPr>
          <w:b/>
          <w:sz w:val="26"/>
          <w:szCs w:val="26"/>
          <w:lang w:val="pl-PL"/>
        </w:rPr>
        <w:t xml:space="preserve"> </w:t>
      </w:r>
      <w:r w:rsidR="00DF756E" w:rsidRPr="00F36FB7">
        <w:rPr>
          <w:b/>
          <w:sz w:val="26"/>
          <w:szCs w:val="26"/>
          <w:lang w:val="pl-PL"/>
        </w:rPr>
        <w:t>Thị trường ngoại hối 6 tháng đầu năm 2016</w:t>
      </w:r>
    </w:p>
    <w:p w:rsidR="00DF756E" w:rsidRPr="00F36FB7" w:rsidRDefault="00DF756E" w:rsidP="00F36FB7">
      <w:pPr>
        <w:pStyle w:val="ListParagraph"/>
        <w:spacing w:before="120" w:line="288" w:lineRule="auto"/>
        <w:ind w:left="0" w:firstLine="446"/>
        <w:contextualSpacing w:val="0"/>
        <w:rPr>
          <w:sz w:val="26"/>
          <w:szCs w:val="26"/>
          <w:lang w:val="pl-PL"/>
        </w:rPr>
      </w:pPr>
      <w:r w:rsidRPr="00F36FB7">
        <w:rPr>
          <w:sz w:val="26"/>
          <w:szCs w:val="26"/>
          <w:lang w:val="pl-PL"/>
        </w:rPr>
        <w:t>-</w:t>
      </w:r>
      <w:r w:rsidRPr="00F36FB7">
        <w:rPr>
          <w:sz w:val="26"/>
          <w:szCs w:val="26"/>
          <w:lang w:val="pl-PL"/>
        </w:rPr>
        <w:tab/>
        <w:t xml:space="preserve">Thị trường ngoại hối và tỷ giá VND/USD tương đối ổn định trong 6 tháng đầu năm 2016 do: (i) đồng USD giảm giá đáng kể trên thị trường quốc tế do sự trì hoãn tăng lãi suất của FED và; (ii) nguồn cung ngoại tệ hỗ trợ tích cực đến việc ổn định tỷ giá trong nước (cán cân thanh toán tổng thể quý I/2016 thặng dư; xuất siêu trong 6 tháng đầu năm; FDI giải ngân tăng khá mạnh). </w:t>
      </w:r>
    </w:p>
    <w:p w:rsidR="00DF756E" w:rsidRPr="00F36FB7" w:rsidRDefault="00DF756E" w:rsidP="00F36FB7">
      <w:pPr>
        <w:tabs>
          <w:tab w:val="left" w:pos="1440"/>
        </w:tabs>
        <w:spacing w:before="120" w:line="288" w:lineRule="auto"/>
        <w:rPr>
          <w:b/>
          <w:i/>
          <w:sz w:val="26"/>
          <w:szCs w:val="26"/>
          <w:lang w:val="pl-PL"/>
        </w:rPr>
      </w:pPr>
      <w:r w:rsidRPr="00F36FB7">
        <w:rPr>
          <w:b/>
          <w:i/>
          <w:sz w:val="26"/>
          <w:szCs w:val="26"/>
          <w:lang w:val="pl-PL"/>
        </w:rPr>
        <w:t>Dự báo tỷ giá 6 tháng cuối năm 2016</w:t>
      </w:r>
    </w:p>
    <w:p w:rsidR="00ED1E50" w:rsidRPr="00F36FB7" w:rsidRDefault="00DF756E" w:rsidP="00F36FB7">
      <w:pPr>
        <w:pStyle w:val="ListParagraph"/>
        <w:spacing w:before="120" w:line="288" w:lineRule="auto"/>
        <w:ind w:left="0" w:firstLine="450"/>
        <w:contextualSpacing w:val="0"/>
        <w:rPr>
          <w:color w:val="000000" w:themeColor="text1"/>
          <w:spacing w:val="-2"/>
          <w:sz w:val="26"/>
          <w:szCs w:val="26"/>
          <w:lang w:val="pl-PL"/>
        </w:rPr>
      </w:pPr>
      <w:r w:rsidRPr="00F36FB7">
        <w:rPr>
          <w:spacing w:val="-2"/>
          <w:sz w:val="26"/>
          <w:szCs w:val="26"/>
          <w:lang w:val="pl-PL"/>
        </w:rPr>
        <w:t>-</w:t>
      </w:r>
      <w:r w:rsidRPr="00F36FB7">
        <w:rPr>
          <w:spacing w:val="-2"/>
          <w:sz w:val="26"/>
          <w:szCs w:val="26"/>
          <w:lang w:val="pl-PL"/>
        </w:rPr>
        <w:tab/>
        <w:t>Các yếu tố hỗ trợ tỷ giá sẽ không được thuận lợi như trong nửa đầu năm 2016, do:</w:t>
      </w:r>
      <w:r w:rsidR="00DF1458" w:rsidRPr="00F36FB7">
        <w:rPr>
          <w:spacing w:val="-2"/>
          <w:sz w:val="26"/>
          <w:szCs w:val="26"/>
          <w:lang w:val="pl-PL"/>
        </w:rPr>
        <w:t xml:space="preserve"> (i) </w:t>
      </w:r>
      <w:r w:rsidR="00DF1458" w:rsidRPr="00F36FB7">
        <w:rPr>
          <w:color w:val="000000" w:themeColor="text1"/>
          <w:spacing w:val="-2"/>
          <w:sz w:val="26"/>
          <w:szCs w:val="26"/>
          <w:lang w:val="pl-PL"/>
        </w:rPr>
        <w:t>Theo yếu tố mùa vụ, c</w:t>
      </w:r>
      <w:r w:rsidRPr="00F36FB7">
        <w:rPr>
          <w:color w:val="000000" w:themeColor="text1"/>
          <w:spacing w:val="-2"/>
          <w:sz w:val="26"/>
          <w:szCs w:val="26"/>
          <w:lang w:val="pl-PL"/>
        </w:rPr>
        <w:t>ân đối cung cầu ngoại tệ sẽ tăng cao vào cuố</w:t>
      </w:r>
      <w:r w:rsidR="00DF1458" w:rsidRPr="00F36FB7">
        <w:rPr>
          <w:color w:val="000000" w:themeColor="text1"/>
          <w:spacing w:val="-2"/>
          <w:sz w:val="26"/>
          <w:szCs w:val="26"/>
          <w:lang w:val="pl-PL"/>
        </w:rPr>
        <w:t xml:space="preserve">i năm do nhu cầu nhập khẩu tăng; (ii) </w:t>
      </w:r>
      <w:r w:rsidRPr="00F36FB7">
        <w:rPr>
          <w:color w:val="000000" w:themeColor="text1"/>
          <w:spacing w:val="-2"/>
          <w:sz w:val="26"/>
          <w:szCs w:val="26"/>
          <w:lang w:val="pl-PL"/>
        </w:rPr>
        <w:t>Khả năng Fed sẽ tăng lãi suất một lần vào cuối năm. Khi lãi suất được điều chỉnh, đồng USD sẽ tăng giá trên thị trường quốc tế, g</w:t>
      </w:r>
      <w:r w:rsidR="00DF1458" w:rsidRPr="00F36FB7">
        <w:rPr>
          <w:color w:val="000000" w:themeColor="text1"/>
          <w:spacing w:val="-2"/>
          <w:sz w:val="26"/>
          <w:szCs w:val="26"/>
          <w:lang w:val="pl-PL"/>
        </w:rPr>
        <w:t xml:space="preserve">ây ảnh hưởng tới tỷ giá VND/USD; (iii) </w:t>
      </w:r>
      <w:r w:rsidRPr="00F36FB7">
        <w:rPr>
          <w:color w:val="000000" w:themeColor="text1"/>
          <w:spacing w:val="-2"/>
          <w:sz w:val="26"/>
          <w:szCs w:val="26"/>
          <w:lang w:val="pl-PL"/>
        </w:rPr>
        <w:t>Đồng Nhân dân tệ có nguy cơ tiếp tục mất giá trong 6 tháng cuối năm, một mặt do các yếu tố nội tại kinh tế vĩ mô thiếu tích cực và mặt khác do ảnh hưởng từ việc tăng lãi suất của Mỹ và tỷ giá các đồng tiền trong rổ tiền tệ của Trung Quốc.</w:t>
      </w:r>
    </w:p>
    <w:p w:rsidR="00DF756E" w:rsidRPr="00F36FB7" w:rsidRDefault="00DF756E" w:rsidP="00F36FB7">
      <w:pPr>
        <w:pStyle w:val="NormalWeb"/>
        <w:numPr>
          <w:ilvl w:val="0"/>
          <w:numId w:val="42"/>
        </w:numPr>
        <w:spacing w:before="120" w:beforeAutospacing="0" w:after="120" w:afterAutospacing="0" w:line="288" w:lineRule="auto"/>
        <w:jc w:val="both"/>
        <w:rPr>
          <w:b/>
          <w:color w:val="000000" w:themeColor="text1"/>
          <w:sz w:val="26"/>
          <w:szCs w:val="26"/>
          <w:lang w:val="pl-PL"/>
        </w:rPr>
      </w:pPr>
      <w:r w:rsidRPr="00F36FB7">
        <w:rPr>
          <w:b/>
          <w:sz w:val="26"/>
          <w:szCs w:val="26"/>
          <w:lang w:val="pl-PL"/>
        </w:rPr>
        <w:tab/>
        <w:t>Lãi suất</w:t>
      </w:r>
    </w:p>
    <w:p w:rsidR="00DF756E" w:rsidRPr="00F36FB7" w:rsidRDefault="00DF756E" w:rsidP="00F36FB7">
      <w:pPr>
        <w:pStyle w:val="ListParagraph"/>
        <w:numPr>
          <w:ilvl w:val="0"/>
          <w:numId w:val="31"/>
        </w:numPr>
        <w:tabs>
          <w:tab w:val="left" w:pos="1134"/>
        </w:tabs>
        <w:spacing w:before="120" w:line="288" w:lineRule="auto"/>
        <w:ind w:left="720" w:hanging="11"/>
        <w:contextualSpacing w:val="0"/>
        <w:rPr>
          <w:b/>
          <w:i/>
          <w:sz w:val="26"/>
          <w:szCs w:val="26"/>
        </w:rPr>
      </w:pPr>
      <w:r w:rsidRPr="00F36FB7">
        <w:rPr>
          <w:b/>
          <w:i/>
          <w:sz w:val="26"/>
          <w:szCs w:val="26"/>
        </w:rPr>
        <w:t>Lãi suất liên ngân hàng</w:t>
      </w:r>
    </w:p>
    <w:p w:rsidR="00DF756E" w:rsidRPr="00F36FB7" w:rsidRDefault="002E47C2" w:rsidP="00F36FB7">
      <w:pPr>
        <w:tabs>
          <w:tab w:val="left" w:pos="1080"/>
        </w:tabs>
        <w:spacing w:before="120" w:line="288" w:lineRule="auto"/>
        <w:rPr>
          <w:b/>
          <w:sz w:val="26"/>
          <w:szCs w:val="26"/>
        </w:rPr>
      </w:pPr>
      <w:r w:rsidRPr="00F36FB7">
        <w:rPr>
          <w:sz w:val="26"/>
          <w:szCs w:val="26"/>
        </w:rPr>
        <w:t xml:space="preserve">- </w:t>
      </w:r>
      <w:r w:rsidR="00DF756E" w:rsidRPr="00F36FB7">
        <w:rPr>
          <w:sz w:val="26"/>
          <w:szCs w:val="26"/>
        </w:rPr>
        <w:t>Nhìn chung, thanh khoản của VND từ đầu năm 2016 khá dồi dào</w:t>
      </w:r>
      <w:r w:rsidR="00DF756E" w:rsidRPr="00F36FB7">
        <w:rPr>
          <w:rStyle w:val="FootnoteReference"/>
          <w:sz w:val="26"/>
          <w:szCs w:val="26"/>
        </w:rPr>
        <w:footnoteReference w:id="9"/>
      </w:r>
      <w:r w:rsidR="00DF756E" w:rsidRPr="00F36FB7">
        <w:rPr>
          <w:sz w:val="26"/>
          <w:szCs w:val="26"/>
        </w:rPr>
        <w:t>. Nguyên nhân do nguồn cung khá dư thừa: (i) Huy động tăng cao trong khi tín dụng tăng ở mức tương đương so với cùng kỳ. (ii) NHNN đã mua được một lượng lớn ngoại tệ và bơm một lượng lớn tiền VND ra nền kinh tế.</w:t>
      </w:r>
    </w:p>
    <w:p w:rsidR="00DF756E" w:rsidRPr="00F36FB7" w:rsidRDefault="00DF756E" w:rsidP="00F36FB7">
      <w:pPr>
        <w:pStyle w:val="ListParagraph"/>
        <w:numPr>
          <w:ilvl w:val="0"/>
          <w:numId w:val="31"/>
        </w:numPr>
        <w:tabs>
          <w:tab w:val="left" w:pos="1080"/>
        </w:tabs>
        <w:spacing w:before="120" w:line="288" w:lineRule="auto"/>
        <w:ind w:left="720" w:hanging="11"/>
        <w:contextualSpacing w:val="0"/>
        <w:rPr>
          <w:b/>
          <w:i/>
          <w:sz w:val="26"/>
          <w:szCs w:val="26"/>
        </w:rPr>
      </w:pPr>
      <w:r w:rsidRPr="00F36FB7">
        <w:rPr>
          <w:b/>
          <w:i/>
          <w:sz w:val="26"/>
          <w:szCs w:val="26"/>
        </w:rPr>
        <w:t>Lãi suất huy động và cho vay</w:t>
      </w:r>
    </w:p>
    <w:p w:rsidR="00DF756E" w:rsidRPr="00F36FB7" w:rsidRDefault="002E47C2" w:rsidP="00F36FB7">
      <w:pPr>
        <w:tabs>
          <w:tab w:val="left" w:pos="1080"/>
        </w:tabs>
        <w:spacing w:before="120" w:line="288" w:lineRule="auto"/>
        <w:rPr>
          <w:sz w:val="26"/>
          <w:szCs w:val="26"/>
        </w:rPr>
      </w:pPr>
      <w:r w:rsidRPr="00F36FB7">
        <w:rPr>
          <w:sz w:val="26"/>
          <w:szCs w:val="26"/>
        </w:rPr>
        <w:t xml:space="preserve">- </w:t>
      </w:r>
      <w:r w:rsidR="00DF756E" w:rsidRPr="00F36FB7">
        <w:rPr>
          <w:sz w:val="26"/>
          <w:szCs w:val="26"/>
        </w:rPr>
        <w:t xml:space="preserve">Lãi suất huy động VND kỳ hạn dài tăng nhẹ trong Q1/2016 (tăng 0,1-0,5 điểm % so với cuối năm 2015 và tăng 0,3 – 0,7  điểm % so với cùng kỳ năm 2015) và duy trì khá ổn định trong Q2/2016. Lãi suất cho vay VND Q1/2016 tăng nhẹ ở kỳ hạn dài so với cuối năm 2015 (tăng 0,2 – 0,5 điểm %) và có điều chỉnh giảm tại một số ngân hàng thương mại lớn sau chỉ đạo hỗ trợ doanh nghiệp của Thủ tướng Chính phủ. </w:t>
      </w:r>
    </w:p>
    <w:p w:rsidR="00DF756E" w:rsidRDefault="00DF756E" w:rsidP="00F36FB7">
      <w:pPr>
        <w:pStyle w:val="ListParagraph"/>
        <w:numPr>
          <w:ilvl w:val="0"/>
          <w:numId w:val="30"/>
        </w:numPr>
        <w:tabs>
          <w:tab w:val="left" w:pos="1080"/>
        </w:tabs>
        <w:spacing w:before="120" w:line="288" w:lineRule="auto"/>
        <w:ind w:left="0" w:firstLine="720"/>
        <w:contextualSpacing w:val="0"/>
        <w:rPr>
          <w:sz w:val="26"/>
          <w:szCs w:val="26"/>
        </w:rPr>
      </w:pPr>
      <w:r w:rsidRPr="00F36FB7">
        <w:rPr>
          <w:sz w:val="26"/>
          <w:szCs w:val="26"/>
        </w:rPr>
        <w:t xml:space="preserve">Tuy nhiên, từ 14/6/2016 tại một số ngân hàng thương mại nhỏ, lãi suất huy động kỳ hạn dài tăng đến 0,7 điểm % so với cuối năm 2015. Nguyên nhân lãi suất huy </w:t>
      </w:r>
      <w:r w:rsidRPr="00F36FB7">
        <w:rPr>
          <w:sz w:val="26"/>
          <w:szCs w:val="26"/>
        </w:rPr>
        <w:lastRenderedPageBreak/>
        <w:t>động tăng chủ yếu do các NHTM đẩy mạnh huy động vốn trung và dài hạn nhằm cân đối nguồn vốn trước các quy định sửa đ</w:t>
      </w:r>
      <w:r w:rsidR="00D60937">
        <w:rPr>
          <w:sz w:val="26"/>
          <w:szCs w:val="26"/>
        </w:rPr>
        <w:t>ổi của Thông tư 06/2016/TT-NHNN</w:t>
      </w:r>
      <w:r w:rsidRPr="00D60937">
        <w:rPr>
          <w:sz w:val="26"/>
          <w:szCs w:val="26"/>
          <w:vertAlign w:val="superscript"/>
        </w:rPr>
        <w:footnoteReference w:id="10"/>
      </w:r>
      <w:r w:rsidR="00D60937">
        <w:rPr>
          <w:sz w:val="26"/>
          <w:szCs w:val="26"/>
        </w:rPr>
        <w:t>.</w:t>
      </w:r>
      <w:r w:rsidRPr="00F36FB7">
        <w:rPr>
          <w:sz w:val="26"/>
          <w:szCs w:val="26"/>
        </w:rPr>
        <w:t xml:space="preserve"> </w:t>
      </w:r>
    </w:p>
    <w:p w:rsidR="00D60937" w:rsidRPr="00F36FB7" w:rsidRDefault="00D60937" w:rsidP="00FB72DF">
      <w:pPr>
        <w:pStyle w:val="ListParagraph"/>
        <w:tabs>
          <w:tab w:val="left" w:pos="1080"/>
        </w:tabs>
        <w:spacing w:before="120" w:line="288" w:lineRule="auto"/>
        <w:ind w:firstLine="0"/>
        <w:contextualSpacing w:val="0"/>
        <w:rPr>
          <w:sz w:val="26"/>
          <w:szCs w:val="26"/>
        </w:rPr>
      </w:pPr>
    </w:p>
    <w:p w:rsidR="00DF756E" w:rsidRPr="00F36FB7" w:rsidRDefault="00DF756E" w:rsidP="00F36FB7">
      <w:pPr>
        <w:pStyle w:val="ListParagraph"/>
        <w:numPr>
          <w:ilvl w:val="0"/>
          <w:numId w:val="31"/>
        </w:numPr>
        <w:tabs>
          <w:tab w:val="left" w:pos="1080"/>
        </w:tabs>
        <w:spacing w:before="120" w:line="288" w:lineRule="auto"/>
        <w:ind w:left="720" w:hanging="11"/>
        <w:contextualSpacing w:val="0"/>
        <w:rPr>
          <w:b/>
          <w:i/>
          <w:sz w:val="26"/>
          <w:szCs w:val="26"/>
        </w:rPr>
      </w:pPr>
      <w:r w:rsidRPr="00F36FB7">
        <w:rPr>
          <w:b/>
          <w:i/>
          <w:sz w:val="26"/>
          <w:szCs w:val="26"/>
        </w:rPr>
        <w:t>Dự báo lãi suất 6 tháng cuối năm 2016</w:t>
      </w:r>
    </w:p>
    <w:p w:rsidR="00D53469" w:rsidRDefault="002E47C2" w:rsidP="00D53469">
      <w:pPr>
        <w:tabs>
          <w:tab w:val="left" w:pos="1080"/>
        </w:tabs>
        <w:spacing w:before="120" w:line="288" w:lineRule="auto"/>
        <w:rPr>
          <w:sz w:val="26"/>
          <w:szCs w:val="26"/>
        </w:rPr>
      </w:pPr>
      <w:r w:rsidRPr="00F36FB7">
        <w:rPr>
          <w:sz w:val="26"/>
          <w:szCs w:val="26"/>
        </w:rPr>
        <w:t xml:space="preserve">- </w:t>
      </w:r>
      <w:r w:rsidR="00DF756E" w:rsidRPr="00F36FB7">
        <w:rPr>
          <w:sz w:val="26"/>
          <w:szCs w:val="26"/>
        </w:rPr>
        <w:t>Lãi suất huy động có thể tiếp tục tăng tại một số NHTM CP nhỏ, chưa đáp ứng được các quy định đảm bảo an toàn trong hoạt động của TCTD, đặc biệt là lãi suất huy động trung</w:t>
      </w:r>
      <w:r w:rsidR="00D53469">
        <w:rPr>
          <w:sz w:val="26"/>
          <w:szCs w:val="26"/>
        </w:rPr>
        <w:t xml:space="preserve"> và dài hạn.</w:t>
      </w:r>
    </w:p>
    <w:p w:rsidR="00DF756E" w:rsidRPr="00F36FB7" w:rsidRDefault="002E47C2" w:rsidP="00D53469">
      <w:pPr>
        <w:tabs>
          <w:tab w:val="left" w:pos="1080"/>
        </w:tabs>
        <w:spacing w:before="120" w:line="288" w:lineRule="auto"/>
        <w:rPr>
          <w:sz w:val="26"/>
          <w:szCs w:val="26"/>
        </w:rPr>
      </w:pPr>
      <w:r w:rsidRPr="00F36FB7">
        <w:rPr>
          <w:sz w:val="26"/>
          <w:szCs w:val="26"/>
        </w:rPr>
        <w:t xml:space="preserve">- </w:t>
      </w:r>
      <w:r w:rsidR="00D53469">
        <w:rPr>
          <w:sz w:val="26"/>
          <w:szCs w:val="26"/>
        </w:rPr>
        <w:t>T</w:t>
      </w:r>
      <w:r w:rsidR="00DF756E" w:rsidRPr="00F36FB7">
        <w:rPr>
          <w:sz w:val="26"/>
          <w:szCs w:val="26"/>
        </w:rPr>
        <w:t>hanh khoản toàn hệ thống ngân hàng hiện đang khá dồi dào sẽ là yếu tố hỗ trợ tích cực cho nhu cầu tín dụng tăng cao vào cuối năm. Phát hành TPCP 6 tháng cuối năm chỉ còn 20% kế hoạch, giúp làm giảm áp lực lên lợi suất TPCP, tạo điều kiện hỗ trợ giảm lãi suất. Ngoài ra, mục tiêu giảm lãi suất cho vay để hỗ trợ doanh nghiệp vẫn có cơ sở triển khai trong trường hợp không có các cú sốc lớn từ bên ngoài nền kinh tế, đồng thời lạm phát và tỷ giá trong tầm kiểm soát; bên cạnh đó, các NHTM sẽ phải nỗ lực tiết giảm chi phí hoạt động để hỗ trợ chủ trương này.</w:t>
      </w:r>
    </w:p>
    <w:p w:rsidR="00966A63" w:rsidRPr="00F36FB7" w:rsidRDefault="00966A63" w:rsidP="00F36FB7">
      <w:pPr>
        <w:pStyle w:val="NormalWeb"/>
        <w:numPr>
          <w:ilvl w:val="0"/>
          <w:numId w:val="42"/>
        </w:numPr>
        <w:spacing w:before="120" w:beforeAutospacing="0" w:after="120" w:afterAutospacing="0" w:line="288" w:lineRule="auto"/>
        <w:jc w:val="both"/>
        <w:rPr>
          <w:b/>
          <w:sz w:val="26"/>
          <w:szCs w:val="26"/>
          <w:lang w:val="pl-PL"/>
        </w:rPr>
      </w:pPr>
      <w:r w:rsidRPr="00F36FB7">
        <w:rPr>
          <w:b/>
          <w:sz w:val="26"/>
          <w:szCs w:val="26"/>
          <w:lang w:val="pl-PL"/>
        </w:rPr>
        <w:t xml:space="preserve"> Thị trường cổ phiếu</w:t>
      </w:r>
      <w:r w:rsidR="007A09EC" w:rsidRPr="00F36FB7">
        <w:rPr>
          <w:b/>
          <w:sz w:val="26"/>
          <w:szCs w:val="26"/>
          <w:lang w:val="pl-PL"/>
        </w:rPr>
        <w:t xml:space="preserve"> – trái phiếu</w:t>
      </w:r>
    </w:p>
    <w:p w:rsidR="007A09EC" w:rsidRPr="00F36FB7" w:rsidRDefault="007A09EC" w:rsidP="00F36FB7">
      <w:pPr>
        <w:tabs>
          <w:tab w:val="left" w:pos="426"/>
        </w:tabs>
        <w:spacing w:before="120" w:line="288" w:lineRule="auto"/>
        <w:ind w:firstLine="709"/>
        <w:rPr>
          <w:b/>
          <w:i/>
          <w:sz w:val="26"/>
          <w:szCs w:val="26"/>
          <w:lang w:val="nl-NL"/>
        </w:rPr>
      </w:pPr>
      <w:r w:rsidRPr="00F36FB7">
        <w:rPr>
          <w:b/>
          <w:i/>
          <w:sz w:val="26"/>
          <w:szCs w:val="26"/>
          <w:lang w:val="sv-SE"/>
        </w:rPr>
        <w:t>3.1</w:t>
      </w:r>
      <w:r w:rsidRPr="00F36FB7">
        <w:rPr>
          <w:i/>
          <w:sz w:val="26"/>
          <w:szCs w:val="26"/>
          <w:lang w:val="sv-SE"/>
        </w:rPr>
        <w:t xml:space="preserve"> </w:t>
      </w:r>
      <w:r w:rsidRPr="00F36FB7">
        <w:rPr>
          <w:b/>
          <w:i/>
          <w:sz w:val="26"/>
          <w:szCs w:val="26"/>
          <w:lang w:val="nl-NL"/>
        </w:rPr>
        <w:t>Thị trường cổ phiếu</w:t>
      </w:r>
    </w:p>
    <w:p w:rsidR="00C80A46" w:rsidRPr="00F36FB7" w:rsidRDefault="00C80A46" w:rsidP="00F36FB7">
      <w:pPr>
        <w:spacing w:before="120" w:line="288" w:lineRule="auto"/>
        <w:rPr>
          <w:sz w:val="26"/>
          <w:szCs w:val="26"/>
          <w:lang w:val="sv-SE"/>
        </w:rPr>
      </w:pPr>
      <w:r w:rsidRPr="00F36FB7">
        <w:rPr>
          <w:sz w:val="26"/>
          <w:szCs w:val="26"/>
          <w:lang w:val="sv-SE"/>
        </w:rPr>
        <w:t>Trong tháng 6, chỉ số VN Index chỉ dao động trong vùng 620 điểm – 630 điểm. Mua ròng của khối ngoại đạt 287 tỷ đồng, giảm so với tháng 5 (918 tỷ đồng). Đà tăng của thị trường cổ phiếu chậm lại do giá dầu WTI chưa vượt ngưỡng 50 USD/thùng</w:t>
      </w:r>
      <w:r w:rsidRPr="00F36FB7">
        <w:rPr>
          <w:i/>
          <w:sz w:val="26"/>
          <w:szCs w:val="26"/>
          <w:lang w:val="sv-SE"/>
        </w:rPr>
        <w:t>.</w:t>
      </w:r>
      <w:r w:rsidRPr="00F36FB7">
        <w:rPr>
          <w:sz w:val="26"/>
          <w:szCs w:val="26"/>
          <w:lang w:val="sv-SE"/>
        </w:rPr>
        <w:t xml:space="preserve"> Thống kê của UBGSTCQG cho thấy độ tương quan rất cao (0,94) giữa giá dầu thô WTI và chỉ số VNIndex từ đầu năm 2016. </w:t>
      </w: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91"/>
      </w:tblGrid>
      <w:tr w:rsidR="00966A63" w:rsidRPr="00F36FB7" w:rsidTr="00FC3F9E">
        <w:trPr>
          <w:trHeight w:val="4414"/>
        </w:trPr>
        <w:tc>
          <w:tcPr>
            <w:tcW w:w="4691" w:type="dxa"/>
          </w:tcPr>
          <w:p w:rsidR="00966A63" w:rsidRPr="00F36FB7" w:rsidRDefault="00C80A46" w:rsidP="00F36FB7">
            <w:pPr>
              <w:tabs>
                <w:tab w:val="left" w:pos="426"/>
              </w:tabs>
              <w:spacing w:before="120" w:line="288" w:lineRule="auto"/>
              <w:ind w:firstLine="709"/>
              <w:rPr>
                <w:sz w:val="26"/>
                <w:szCs w:val="26"/>
                <w:lang w:val="sv-SE"/>
              </w:rPr>
            </w:pPr>
            <w:r w:rsidRPr="00F36FB7">
              <w:rPr>
                <w:sz w:val="26"/>
                <w:szCs w:val="26"/>
                <w:lang w:val="sv-SE"/>
              </w:rPr>
              <w:t>Kết quả bỏ phiếu Brexit chỉ tác động tâm lý trong ngắn hạn. Các yếu tố nội tại vẫn hỗ trợ thị trường gồm</w:t>
            </w:r>
            <w:r w:rsidR="006232BB" w:rsidRPr="00F36FB7">
              <w:rPr>
                <w:sz w:val="26"/>
                <w:szCs w:val="26"/>
                <w:lang w:val="sv-SE"/>
              </w:rPr>
              <w:t>:</w:t>
            </w:r>
            <w:r w:rsidRPr="00F36FB7">
              <w:rPr>
                <w:sz w:val="26"/>
                <w:szCs w:val="26"/>
                <w:lang w:val="sv-SE"/>
              </w:rPr>
              <w:t xml:space="preserve"> chỉ số PMI tháng 5 hồi phục, tâm lý nhà đầu tư tích cực nhờ chính sách hỗ trợ doanh nghiệp của Chính phủ và kỳ vọng kết quả kinh doanh khả quan của các công ty niêm yết. Ngoài ra, giá dầu thô hưởng lợi từ quá trình tái cân bằng thị trường dầu mỏ thế giới trong 6 tháng cuối năm</w:t>
            </w:r>
            <w:r w:rsidRPr="00F36FB7">
              <w:rPr>
                <w:rStyle w:val="FootnoteReference"/>
                <w:sz w:val="26"/>
                <w:szCs w:val="26"/>
                <w:lang w:val="sv-SE"/>
              </w:rPr>
              <w:footnoteReference w:id="11"/>
            </w:r>
            <w:r w:rsidRPr="00F36FB7">
              <w:rPr>
                <w:sz w:val="26"/>
                <w:szCs w:val="26"/>
                <w:lang w:val="sv-SE"/>
              </w:rPr>
              <w:t xml:space="preserve"> cũng là yếu tố có lợi cho thị trường chứng khoán.</w:t>
            </w:r>
          </w:p>
        </w:tc>
        <w:tc>
          <w:tcPr>
            <w:tcW w:w="4691" w:type="dxa"/>
          </w:tcPr>
          <w:p w:rsidR="00966A63" w:rsidRPr="00B651A2" w:rsidRDefault="00966A63" w:rsidP="00F36FB7">
            <w:pPr>
              <w:tabs>
                <w:tab w:val="left" w:pos="426"/>
              </w:tabs>
              <w:spacing w:before="120" w:line="288" w:lineRule="auto"/>
              <w:ind w:firstLine="0"/>
              <w:jc w:val="center"/>
              <w:rPr>
                <w:b/>
                <w:sz w:val="22"/>
                <w:szCs w:val="26"/>
                <w:lang w:val="sv-SE"/>
              </w:rPr>
            </w:pPr>
            <w:r w:rsidRPr="00B651A2">
              <w:rPr>
                <w:b/>
                <w:sz w:val="22"/>
                <w:szCs w:val="26"/>
                <w:lang w:val="sv-SE"/>
              </w:rPr>
              <w:t>Mua/bán ròng của khối ngoại trên thị trường chứng khoán theo tháng</w:t>
            </w:r>
          </w:p>
          <w:p w:rsidR="00966A63" w:rsidRPr="00B651A2" w:rsidRDefault="00C80A46" w:rsidP="00F36FB7">
            <w:pPr>
              <w:tabs>
                <w:tab w:val="left" w:pos="426"/>
              </w:tabs>
              <w:spacing w:before="120" w:line="288" w:lineRule="auto"/>
              <w:ind w:firstLine="0"/>
              <w:jc w:val="center"/>
              <w:rPr>
                <w:b/>
                <w:sz w:val="22"/>
                <w:szCs w:val="26"/>
                <w:lang w:val="nl-NL"/>
              </w:rPr>
            </w:pPr>
            <w:r w:rsidRPr="00B651A2">
              <w:rPr>
                <w:noProof/>
                <w:sz w:val="22"/>
                <w:szCs w:val="26"/>
              </w:rPr>
              <w:drawing>
                <wp:inline distT="0" distB="0" distL="0" distR="0" wp14:anchorId="67A15B62" wp14:editId="343B9D9D">
                  <wp:extent cx="2609850" cy="1790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6A63" w:rsidRPr="00B651A2" w:rsidRDefault="00966A63" w:rsidP="00F36FB7">
            <w:pPr>
              <w:spacing w:before="120" w:line="288" w:lineRule="auto"/>
              <w:jc w:val="right"/>
              <w:rPr>
                <w:i/>
                <w:sz w:val="22"/>
                <w:szCs w:val="26"/>
                <w:lang w:val="nl-NL"/>
              </w:rPr>
            </w:pPr>
            <w:r w:rsidRPr="00B651A2">
              <w:rPr>
                <w:i/>
                <w:sz w:val="22"/>
                <w:szCs w:val="26"/>
                <w:lang w:val="nl-NL"/>
              </w:rPr>
              <w:t>Nguồn: UBGSTCQG tổng hợp</w:t>
            </w:r>
          </w:p>
        </w:tc>
      </w:tr>
    </w:tbl>
    <w:p w:rsidR="009B0C81" w:rsidRPr="00F36FB7" w:rsidRDefault="007A09EC" w:rsidP="00F36FB7">
      <w:pPr>
        <w:tabs>
          <w:tab w:val="left" w:pos="426"/>
        </w:tabs>
        <w:spacing w:before="120" w:line="288" w:lineRule="auto"/>
        <w:ind w:firstLine="0"/>
        <w:rPr>
          <w:b/>
          <w:i/>
          <w:sz w:val="26"/>
          <w:szCs w:val="26"/>
          <w:lang w:val="nl-NL"/>
        </w:rPr>
      </w:pPr>
      <w:r w:rsidRPr="00F36FB7">
        <w:rPr>
          <w:b/>
          <w:i/>
          <w:sz w:val="26"/>
          <w:szCs w:val="26"/>
          <w:lang w:val="nl-NL"/>
        </w:rPr>
        <w:tab/>
        <w:t xml:space="preserve">3.2  </w:t>
      </w:r>
      <w:r w:rsidR="009B0C81" w:rsidRPr="00F36FB7">
        <w:rPr>
          <w:b/>
          <w:i/>
          <w:sz w:val="26"/>
          <w:szCs w:val="26"/>
          <w:lang w:val="nl-NL"/>
        </w:rPr>
        <w:t>Thị trường trái phiếu chính phủ (TPCP)</w:t>
      </w:r>
    </w:p>
    <w:p w:rsidR="00C80A46" w:rsidRPr="00F36FB7" w:rsidRDefault="00C80A46" w:rsidP="00F36FB7">
      <w:pPr>
        <w:pStyle w:val="ListParagraph"/>
        <w:numPr>
          <w:ilvl w:val="0"/>
          <w:numId w:val="32"/>
        </w:numPr>
        <w:tabs>
          <w:tab w:val="left" w:pos="720"/>
        </w:tabs>
        <w:spacing w:before="120" w:line="288" w:lineRule="auto"/>
        <w:contextualSpacing w:val="0"/>
        <w:rPr>
          <w:i/>
          <w:sz w:val="26"/>
          <w:szCs w:val="26"/>
          <w:lang w:val="sv-SE"/>
        </w:rPr>
      </w:pPr>
      <w:r w:rsidRPr="00F36FB7">
        <w:rPr>
          <w:i/>
          <w:sz w:val="26"/>
          <w:szCs w:val="26"/>
          <w:lang w:val="nl-NL"/>
        </w:rPr>
        <w:lastRenderedPageBreak/>
        <w:t>Thị trường sơ cấp</w:t>
      </w:r>
    </w:p>
    <w:p w:rsidR="00C80A46" w:rsidRPr="00F36FB7" w:rsidRDefault="00C80A46" w:rsidP="00F36FB7">
      <w:pPr>
        <w:pStyle w:val="NormalWeb"/>
        <w:spacing w:before="120" w:beforeAutospacing="0" w:after="120" w:afterAutospacing="0" w:line="288" w:lineRule="auto"/>
        <w:ind w:firstLine="567"/>
        <w:jc w:val="both"/>
        <w:rPr>
          <w:sz w:val="26"/>
          <w:szCs w:val="26"/>
          <w:lang w:val="sv-SE"/>
        </w:rPr>
      </w:pPr>
      <w:r w:rsidRPr="00F36FB7">
        <w:rPr>
          <w:sz w:val="26"/>
          <w:szCs w:val="26"/>
          <w:lang w:val="sv-SE"/>
        </w:rPr>
        <w:t xml:space="preserve">Từ đầu năm đến 22/6, phát hành TPCP qua đấu thầu tại HNX là 182,27 ngàn tỷ đồng, đạt 83% kế hoạch phát hành năm (220 ngàn tỷ đồng). Như vậy áp lực đối với phát hành TPCP không </w:t>
      </w:r>
      <w:r w:rsidR="00D53469">
        <w:rPr>
          <w:sz w:val="26"/>
          <w:szCs w:val="26"/>
          <w:lang w:val="sv-SE"/>
        </w:rPr>
        <w:t>lớn</w:t>
      </w:r>
      <w:r w:rsidRPr="00F36FB7">
        <w:rPr>
          <w:sz w:val="26"/>
          <w:szCs w:val="26"/>
          <w:lang w:val="sv-SE"/>
        </w:rPr>
        <w:t xml:space="preserve"> trong 6 tháng cuối năm.</w:t>
      </w:r>
    </w:p>
    <w:p w:rsidR="00C80A46" w:rsidRPr="00F36FB7" w:rsidRDefault="00C80A46" w:rsidP="00F36FB7">
      <w:pPr>
        <w:pStyle w:val="NormalWeb"/>
        <w:spacing w:before="120" w:beforeAutospacing="0" w:after="120" w:afterAutospacing="0" w:line="288" w:lineRule="auto"/>
        <w:ind w:firstLine="567"/>
        <w:jc w:val="both"/>
        <w:rPr>
          <w:sz w:val="26"/>
          <w:szCs w:val="26"/>
          <w:lang w:val="sv-SE"/>
        </w:rPr>
      </w:pPr>
      <w:r w:rsidRPr="00F36FB7">
        <w:rPr>
          <w:sz w:val="26"/>
          <w:szCs w:val="26"/>
          <w:lang w:val="sv-SE"/>
        </w:rPr>
        <w:t xml:space="preserve">Kỳ hạn bình quân TPCP phát hành trong nửa đầu năm đạt 6,8 năm, tăng so với năm 2015 (6,1 năm) và năm 2014 (5,24 năm) góp phần giảm bớt áp lực trả nợ. </w:t>
      </w:r>
    </w:p>
    <w:p w:rsidR="00C80A46" w:rsidRPr="00F36FB7" w:rsidRDefault="00C80A46" w:rsidP="00F36FB7">
      <w:pPr>
        <w:pStyle w:val="NormalWeb"/>
        <w:spacing w:before="120" w:beforeAutospacing="0" w:after="120" w:afterAutospacing="0" w:line="288" w:lineRule="auto"/>
        <w:ind w:firstLine="567"/>
        <w:jc w:val="both"/>
        <w:rPr>
          <w:sz w:val="26"/>
          <w:szCs w:val="26"/>
          <w:lang w:val="sv-SE"/>
        </w:rPr>
      </w:pPr>
      <w:r w:rsidRPr="00F36FB7">
        <w:rPr>
          <w:sz w:val="26"/>
          <w:szCs w:val="26"/>
          <w:lang w:val="sv-SE"/>
        </w:rPr>
        <w:t>Nhờ có sự tham gia của các công ty bảo hiểm nhân thọ, nhu cầu đầu tư TPCP kỳ hạn từ 10 năm trở lên, đặc biệt là kỳ hạn 15 năm đã cải thiện. Trong khi đó, sự quan tâm của thị trường đối với TPCP kỳ hạn 3 và 5 năm giảm so với tháng trước.</w:t>
      </w:r>
    </w:p>
    <w:p w:rsidR="00C80A46" w:rsidRPr="00F36FB7" w:rsidRDefault="00C80A46" w:rsidP="00F36FB7">
      <w:pPr>
        <w:pStyle w:val="ListParagraph"/>
        <w:numPr>
          <w:ilvl w:val="0"/>
          <w:numId w:val="32"/>
        </w:numPr>
        <w:tabs>
          <w:tab w:val="left" w:pos="720"/>
        </w:tabs>
        <w:spacing w:before="120" w:line="288" w:lineRule="auto"/>
        <w:contextualSpacing w:val="0"/>
        <w:rPr>
          <w:i/>
          <w:sz w:val="26"/>
          <w:szCs w:val="26"/>
          <w:lang w:val="nl-NL"/>
        </w:rPr>
      </w:pPr>
      <w:r w:rsidRPr="00F36FB7">
        <w:rPr>
          <w:i/>
          <w:sz w:val="26"/>
          <w:szCs w:val="26"/>
          <w:lang w:val="nl-NL"/>
        </w:rPr>
        <w:t>Thị trường thứ cấp</w:t>
      </w:r>
    </w:p>
    <w:p w:rsidR="00C80A46" w:rsidRPr="00F36FB7" w:rsidRDefault="00C80A46" w:rsidP="00F36FB7">
      <w:pPr>
        <w:tabs>
          <w:tab w:val="left" w:pos="567"/>
        </w:tabs>
        <w:spacing w:before="120" w:line="288" w:lineRule="auto"/>
        <w:rPr>
          <w:sz w:val="26"/>
          <w:szCs w:val="26"/>
          <w:lang w:val="sv-SE"/>
        </w:rPr>
      </w:pPr>
      <w:r w:rsidRPr="00F36FB7">
        <w:rPr>
          <w:sz w:val="26"/>
          <w:szCs w:val="26"/>
          <w:lang w:val="sv-SE"/>
        </w:rPr>
        <w:t>Giá trị giao dịch bình quân phiên trong tháng 6 vẫn duy trì ở mức 3.200 tỷ đồng/phiên. Nguyên nhân chủ yếu do thanh khoản của hệ thống ngân hàng dồi dào, lãi suất cho vay qua đêm (O/N) giảm từ mức xấp xỉ 2,5% giữa tháng 5/2016 xuống dưới 1,0%/năm cuối tháng 6.</w:t>
      </w:r>
    </w:p>
    <w:p w:rsidR="00C80A46" w:rsidRPr="00F36FB7" w:rsidRDefault="00C80A46" w:rsidP="00F36FB7">
      <w:pPr>
        <w:spacing w:before="120" w:line="288" w:lineRule="auto"/>
        <w:ind w:firstLine="567"/>
        <w:rPr>
          <w:sz w:val="26"/>
          <w:szCs w:val="26"/>
          <w:lang w:val="sv-SE"/>
        </w:rPr>
      </w:pPr>
      <w:r w:rsidRPr="00F36FB7">
        <w:rPr>
          <w:sz w:val="26"/>
          <w:szCs w:val="26"/>
          <w:lang w:val="sv-SE"/>
        </w:rPr>
        <w:t>Khối ngoại mua ròng tiếp tục mua ròng hơn 3.014 tỷ đồng từ đầu tháng 6. Lũy kế từ đầu năm, khối ngoại mua ròng 13.204 tỷ đồng TPCP.</w:t>
      </w:r>
    </w:p>
    <w:p w:rsidR="00096869" w:rsidRPr="00F36FB7" w:rsidRDefault="00096869" w:rsidP="00F36FB7">
      <w:pPr>
        <w:spacing w:before="120" w:line="288" w:lineRule="auto"/>
        <w:ind w:firstLine="0"/>
        <w:jc w:val="right"/>
        <w:rPr>
          <w:b/>
          <w:sz w:val="26"/>
          <w:szCs w:val="26"/>
          <w:lang w:val="nl-NL"/>
        </w:rPr>
      </w:pPr>
    </w:p>
    <w:p w:rsidR="00BC5190" w:rsidRPr="00F36FB7" w:rsidRDefault="00556FC1" w:rsidP="00F36FB7">
      <w:pPr>
        <w:spacing w:before="120" w:line="288" w:lineRule="auto"/>
        <w:ind w:firstLine="0"/>
        <w:jc w:val="right"/>
        <w:rPr>
          <w:b/>
          <w:sz w:val="26"/>
          <w:szCs w:val="26"/>
          <w:lang w:val="nl-NL"/>
        </w:rPr>
      </w:pPr>
      <w:r w:rsidRPr="00F36FB7">
        <w:rPr>
          <w:b/>
          <w:sz w:val="26"/>
          <w:szCs w:val="26"/>
          <w:lang w:val="nl-NL"/>
        </w:rPr>
        <w:t>ỦY</w:t>
      </w:r>
      <w:r w:rsidR="00B50EE3" w:rsidRPr="00F36FB7">
        <w:rPr>
          <w:b/>
          <w:sz w:val="26"/>
          <w:szCs w:val="26"/>
          <w:lang w:val="nl-NL"/>
        </w:rPr>
        <w:t xml:space="preserve"> BAN GIÁM SÁT TÀI </w:t>
      </w:r>
      <w:r w:rsidR="00F727DF" w:rsidRPr="00F36FB7">
        <w:rPr>
          <w:b/>
          <w:sz w:val="26"/>
          <w:szCs w:val="26"/>
          <w:lang w:val="nl-NL"/>
        </w:rPr>
        <w:t>CHÍNH QUỐC GIA</w:t>
      </w:r>
    </w:p>
    <w:sectPr w:rsidR="00BC5190" w:rsidRPr="00F36FB7" w:rsidSect="00974533">
      <w:footerReference w:type="default" r:id="rId23"/>
      <w:pgSz w:w="11907" w:h="16839" w:code="9"/>
      <w:pgMar w:top="851" w:right="1134" w:bottom="851" w:left="1701" w:header="680" w:footer="1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0C" w:rsidRDefault="00FE460C" w:rsidP="00D118DD">
      <w:pPr>
        <w:spacing w:after="0"/>
      </w:pPr>
      <w:r>
        <w:separator/>
      </w:r>
    </w:p>
  </w:endnote>
  <w:endnote w:type="continuationSeparator" w:id="0">
    <w:p w:rsidR="00FE460C" w:rsidRDefault="00FE460C" w:rsidP="00D11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70399"/>
      <w:docPartObj>
        <w:docPartGallery w:val="Page Numbers (Bottom of Page)"/>
        <w:docPartUnique/>
      </w:docPartObj>
    </w:sdtPr>
    <w:sdtEndPr>
      <w:rPr>
        <w:noProof/>
      </w:rPr>
    </w:sdtEndPr>
    <w:sdtContent>
      <w:p w:rsidR="00AF1BDB" w:rsidRDefault="00E40D21">
        <w:pPr>
          <w:pStyle w:val="Footer"/>
          <w:jc w:val="right"/>
        </w:pPr>
        <w:r>
          <w:fldChar w:fldCharType="begin"/>
        </w:r>
        <w:r w:rsidR="008B7023">
          <w:instrText xml:space="preserve"> PAGE   \* MERGEFORMAT </w:instrText>
        </w:r>
        <w:r>
          <w:fldChar w:fldCharType="separate"/>
        </w:r>
        <w:r w:rsidR="00487926">
          <w:rPr>
            <w:noProof/>
          </w:rPr>
          <w:t>1</w:t>
        </w:r>
        <w:r>
          <w:rPr>
            <w:noProof/>
          </w:rPr>
          <w:fldChar w:fldCharType="end"/>
        </w:r>
      </w:p>
    </w:sdtContent>
  </w:sdt>
  <w:p w:rsidR="00AF1BDB" w:rsidRDefault="00AF1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0C" w:rsidRDefault="00FE460C" w:rsidP="00D118DD">
      <w:pPr>
        <w:spacing w:after="0"/>
      </w:pPr>
      <w:r>
        <w:separator/>
      </w:r>
    </w:p>
  </w:footnote>
  <w:footnote w:type="continuationSeparator" w:id="0">
    <w:p w:rsidR="00FE460C" w:rsidRDefault="00FE460C" w:rsidP="00D118DD">
      <w:pPr>
        <w:spacing w:after="0"/>
      </w:pPr>
      <w:r>
        <w:continuationSeparator/>
      </w:r>
    </w:p>
  </w:footnote>
  <w:footnote w:id="1">
    <w:p w:rsidR="00AF1BDB" w:rsidRPr="00A47616" w:rsidRDefault="00AF1BDB" w:rsidP="00BC6BC3">
      <w:pPr>
        <w:pStyle w:val="FootnoteText"/>
        <w:spacing w:after="0"/>
        <w:ind w:firstLine="0"/>
        <w:rPr>
          <w:sz w:val="22"/>
          <w:szCs w:val="22"/>
        </w:rPr>
      </w:pPr>
      <w:r w:rsidRPr="00A47616">
        <w:rPr>
          <w:rStyle w:val="FootnoteReference"/>
          <w:sz w:val="22"/>
          <w:szCs w:val="22"/>
        </w:rPr>
        <w:footnoteRef/>
      </w:r>
      <w:r w:rsidRPr="00A47616">
        <w:rPr>
          <w:sz w:val="22"/>
          <w:szCs w:val="22"/>
        </w:rPr>
        <w:t xml:space="preserve"> Nguồn </w:t>
      </w:r>
      <w:r w:rsidRPr="00A47616">
        <w:rPr>
          <w:color w:val="000000"/>
          <w:sz w:val="22"/>
          <w:szCs w:val="22"/>
        </w:rPr>
        <w:t>Standard &amp; Poor's Dow</w:t>
      </w:r>
      <w:r>
        <w:rPr>
          <w:color w:val="000000"/>
          <w:sz w:val="22"/>
          <w:szCs w:val="22"/>
        </w:rPr>
        <w:t>n</w:t>
      </w:r>
      <w:r w:rsidRPr="00A47616">
        <w:rPr>
          <w:color w:val="000000"/>
          <w:sz w:val="22"/>
          <w:szCs w:val="22"/>
        </w:rPr>
        <w:t xml:space="preserve"> Jone</w:t>
      </w:r>
      <w:r>
        <w:rPr>
          <w:color w:val="000000"/>
          <w:sz w:val="22"/>
          <w:szCs w:val="22"/>
        </w:rPr>
        <w:t>.</w:t>
      </w:r>
    </w:p>
  </w:footnote>
  <w:footnote w:id="2">
    <w:p w:rsidR="00AF1BDB" w:rsidRPr="00A47616" w:rsidRDefault="00AF1BDB" w:rsidP="00BC6BC3">
      <w:pPr>
        <w:pStyle w:val="FootnoteText"/>
        <w:spacing w:after="0"/>
        <w:ind w:firstLine="0"/>
        <w:rPr>
          <w:sz w:val="22"/>
          <w:szCs w:val="22"/>
        </w:rPr>
      </w:pPr>
      <w:r w:rsidRPr="00A47616">
        <w:rPr>
          <w:rStyle w:val="FootnoteReference"/>
          <w:sz w:val="22"/>
          <w:szCs w:val="22"/>
        </w:rPr>
        <w:footnoteRef/>
      </w:r>
      <w:r w:rsidRPr="00A47616">
        <w:rPr>
          <w:sz w:val="22"/>
          <w:szCs w:val="22"/>
        </w:rPr>
        <w:t xml:space="preserve"> </w:t>
      </w:r>
      <w:r>
        <w:rPr>
          <w:sz w:val="22"/>
          <w:szCs w:val="22"/>
        </w:rPr>
        <w:t xml:space="preserve">Thị trường </w:t>
      </w:r>
      <w:r w:rsidRPr="00A47616">
        <w:rPr>
          <w:sz w:val="22"/>
          <w:szCs w:val="22"/>
        </w:rPr>
        <w:t>Milan và Madrid đều giảm hơn 12%, và là mức giảm lớn nhất lịch sử</w:t>
      </w:r>
      <w:r>
        <w:rPr>
          <w:sz w:val="22"/>
          <w:szCs w:val="22"/>
        </w:rPr>
        <w:t>.</w:t>
      </w:r>
    </w:p>
  </w:footnote>
  <w:footnote w:id="3">
    <w:p w:rsidR="00AF1BDB" w:rsidRDefault="00AF1BDB" w:rsidP="00A966DC">
      <w:pPr>
        <w:pStyle w:val="FootnoteText"/>
        <w:spacing w:after="0"/>
        <w:ind w:firstLine="0"/>
      </w:pPr>
      <w:r>
        <w:rPr>
          <w:rStyle w:val="FootnoteReference"/>
        </w:rPr>
        <w:footnoteRef/>
      </w:r>
      <w:r>
        <w:t xml:space="preserve"> Những mặt hàng xuất khẩu có tốc độ tăng trưởng sụt giảm mạnh so với cùng kỳ trong 6 tháng đầu năm là: cao su 12,3%; than đá 66,2%; dầu thô 46,6%; gạo 2,7%.</w:t>
      </w:r>
    </w:p>
  </w:footnote>
  <w:footnote w:id="4">
    <w:p w:rsidR="00AF1BDB" w:rsidRDefault="00AF1BDB" w:rsidP="00A966DC">
      <w:pPr>
        <w:pStyle w:val="FootnoteText"/>
        <w:spacing w:after="0"/>
        <w:ind w:firstLine="0"/>
      </w:pPr>
      <w:r>
        <w:rPr>
          <w:rStyle w:val="FootnoteReference"/>
        </w:rPr>
        <w:footnoteRef/>
      </w:r>
      <w:r>
        <w:t xml:space="preserve"> Những mặt hàng nhập khẩu có tốc độ tăng trưởng sụt giảm mạnh so với cùng kỳ trong 6 tháng đầu năm là: phân bón 20,5%; máy móc thiết bị 5,9%; điện thoại 7%; sản phẩm dầu mỏ 42,1%.</w:t>
      </w:r>
    </w:p>
  </w:footnote>
  <w:footnote w:id="5">
    <w:p w:rsidR="00AF1BDB" w:rsidRPr="00AF1BDB" w:rsidRDefault="00AF1BDB" w:rsidP="00AF1BDB">
      <w:pPr>
        <w:pStyle w:val="FootnoteText"/>
        <w:spacing w:after="0"/>
        <w:ind w:firstLine="0"/>
        <w:rPr>
          <w:lang w:val="pl-PL"/>
        </w:rPr>
      </w:pPr>
      <w:r w:rsidRPr="00AF1BDB">
        <w:footnoteRef/>
      </w:r>
      <w:r>
        <w:t xml:space="preserve"> </w:t>
      </w:r>
      <w:r w:rsidRPr="00AF1BDB">
        <w:t>Tính chung 6 tháng đầu năm, cả nước xuất siêu 1,54 tỷ USD (cùng kỳ năm 2015 nhập siêu gần 3 tỷ USD) bằng 1,87% tổng kim ngạch xuất khẩu.</w:t>
      </w:r>
      <w:r w:rsidRPr="00AF1BDB">
        <w:rPr>
          <w:lang w:val="pl-PL"/>
        </w:rPr>
        <w:t xml:space="preserve"> </w:t>
      </w:r>
    </w:p>
  </w:footnote>
  <w:footnote w:id="6">
    <w:p w:rsidR="00FC3F9E" w:rsidRPr="00FC3F9E" w:rsidRDefault="00FC3F9E" w:rsidP="00FC3F9E">
      <w:pPr>
        <w:pStyle w:val="FootnoteText"/>
        <w:ind w:firstLine="0"/>
        <w:rPr>
          <w:lang w:val="pl-PL"/>
        </w:rPr>
      </w:pPr>
      <w:r w:rsidRPr="00F81558">
        <w:rPr>
          <w:rStyle w:val="FootnoteReference"/>
        </w:rPr>
        <w:footnoteRef/>
      </w:r>
      <w:r w:rsidRPr="00FC3F9E">
        <w:rPr>
          <w:lang w:val="pl-PL"/>
        </w:rPr>
        <w:t xml:space="preserve"> Tính toán dựa trên báo cáo tài chính của từ 500-800 doanh nghiệp niêm yết trên càn HNX, HSX, Upcom do Stoxplus cung cấp</w:t>
      </w:r>
    </w:p>
  </w:footnote>
  <w:footnote w:id="7">
    <w:p w:rsidR="00FC3F9E" w:rsidRPr="00FC3F9E" w:rsidRDefault="00FC3F9E" w:rsidP="00FC3F9E">
      <w:pPr>
        <w:pStyle w:val="FootnoteText"/>
        <w:ind w:firstLine="0"/>
        <w:rPr>
          <w:lang w:val="pl-PL"/>
        </w:rPr>
      </w:pPr>
      <w:r>
        <w:rPr>
          <w:rStyle w:val="FootnoteReference"/>
        </w:rPr>
        <w:footnoteRef/>
      </w:r>
      <w:r w:rsidRPr="00FC3F9E">
        <w:rPr>
          <w:lang w:val="pl-PL"/>
        </w:rPr>
        <w:t xml:space="preserve"> Phân tích dựa trên báo cáo tài chính của 500-800 doanh nghiệp niêm yết trên sàn HSX, HNX và Upcom</w:t>
      </w:r>
    </w:p>
  </w:footnote>
  <w:footnote w:id="8">
    <w:p w:rsidR="00AF1BDB" w:rsidRPr="00AF1BDB" w:rsidRDefault="00AF1BDB" w:rsidP="001F7A31">
      <w:pPr>
        <w:pStyle w:val="FootnoteText"/>
        <w:ind w:firstLine="0"/>
        <w:rPr>
          <w:lang w:val="pl-PL"/>
        </w:rPr>
      </w:pPr>
      <w:r>
        <w:rPr>
          <w:rStyle w:val="FootnoteReference"/>
        </w:rPr>
        <w:footnoteRef/>
      </w:r>
      <w:r w:rsidRPr="00AF1BDB">
        <w:rPr>
          <w:lang w:val="pl-PL"/>
        </w:rPr>
        <w:t xml:space="preserve"> Số liệu lũy kế đến 20/06/2016.</w:t>
      </w:r>
    </w:p>
  </w:footnote>
  <w:footnote w:id="9">
    <w:p w:rsidR="00AF1BDB" w:rsidRPr="00D53469" w:rsidRDefault="00AF1BDB" w:rsidP="00FB72DF">
      <w:pPr>
        <w:pStyle w:val="ListParagraph"/>
        <w:tabs>
          <w:tab w:val="left" w:pos="1080"/>
        </w:tabs>
        <w:spacing w:after="0"/>
        <w:ind w:left="0" w:firstLine="0"/>
        <w:contextualSpacing w:val="0"/>
        <w:rPr>
          <w:b/>
          <w:i/>
          <w:sz w:val="26"/>
          <w:szCs w:val="26"/>
          <w:lang w:val="pl-PL"/>
        </w:rPr>
      </w:pPr>
      <w:r>
        <w:rPr>
          <w:rStyle w:val="FootnoteReference"/>
        </w:rPr>
        <w:footnoteRef/>
      </w:r>
      <w:r w:rsidRPr="00D53469">
        <w:rPr>
          <w:lang w:val="pl-PL"/>
        </w:rPr>
        <w:t xml:space="preserve"> </w:t>
      </w:r>
      <w:r w:rsidRPr="00D53469">
        <w:rPr>
          <w:sz w:val="20"/>
          <w:szCs w:val="20"/>
          <w:lang w:val="pl-PL"/>
        </w:rPr>
        <w:t>Thời điểm cuối tháng 5/2016, lãi suất LNH đã giảm mạnh xuống mức thấp nhất trong vòng 3 năm trở lại đây (lãi suất O/N: 0,51%/năm).</w:t>
      </w:r>
      <w:r w:rsidRPr="00D53469">
        <w:rPr>
          <w:sz w:val="26"/>
          <w:szCs w:val="26"/>
          <w:lang w:val="pl-PL"/>
        </w:rPr>
        <w:t xml:space="preserve"> </w:t>
      </w:r>
    </w:p>
  </w:footnote>
  <w:footnote w:id="10">
    <w:p w:rsidR="00AF1BDB" w:rsidRPr="00D53469" w:rsidRDefault="00AF1BDB" w:rsidP="00FB72DF">
      <w:pPr>
        <w:tabs>
          <w:tab w:val="left" w:pos="1080"/>
        </w:tabs>
        <w:spacing w:after="0"/>
        <w:ind w:firstLine="0"/>
        <w:rPr>
          <w:sz w:val="26"/>
          <w:szCs w:val="26"/>
          <w:lang w:val="pl-PL"/>
        </w:rPr>
      </w:pPr>
      <w:r>
        <w:rPr>
          <w:rStyle w:val="FootnoteReference"/>
        </w:rPr>
        <w:footnoteRef/>
      </w:r>
      <w:r w:rsidRPr="00D53469">
        <w:rPr>
          <w:lang w:val="pl-PL"/>
        </w:rPr>
        <w:t xml:space="preserve"> T</w:t>
      </w:r>
      <w:r w:rsidRPr="00D53469">
        <w:rPr>
          <w:sz w:val="20"/>
          <w:szCs w:val="20"/>
          <w:lang w:val="pl-PL"/>
        </w:rPr>
        <w:t>ỷ lệ nguồn vốn ngắn hạn cho vay trung dài hạn giảm từ 60% xuống 50% từ 1/1/2017 và xuống 40% từ 1/1/2018, khiến nhu cầu vốn trung và dài hạn tăng lên đáng kể trong bối tín dụng trung dài hạn ngày càng chiếm tỷ trọng lớn.</w:t>
      </w:r>
    </w:p>
  </w:footnote>
  <w:footnote w:id="11">
    <w:p w:rsidR="00AF1BDB" w:rsidRPr="00C80A46" w:rsidRDefault="00AF1BDB" w:rsidP="00C80A46">
      <w:pPr>
        <w:pStyle w:val="FootnoteText"/>
        <w:ind w:firstLine="0"/>
        <w:rPr>
          <w:sz w:val="22"/>
          <w:szCs w:val="22"/>
          <w:lang w:val="vi-VN"/>
        </w:rPr>
      </w:pPr>
      <w:r w:rsidRPr="00446728">
        <w:rPr>
          <w:rStyle w:val="FootnoteReference"/>
          <w:sz w:val="22"/>
          <w:szCs w:val="22"/>
        </w:rPr>
        <w:footnoteRef/>
      </w:r>
      <w:r w:rsidRPr="00C80A46">
        <w:rPr>
          <w:sz w:val="22"/>
          <w:szCs w:val="22"/>
          <w:lang w:val="vi-VN"/>
        </w:rPr>
        <w:t xml:space="preserve"> Theo dự báo của Ủy ban Năng lượng quốc tế (IEA)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946"/>
    <w:multiLevelType w:val="hybridMultilevel"/>
    <w:tmpl w:val="D91227AC"/>
    <w:lvl w:ilvl="0" w:tplc="085061CA">
      <w:start w:val="1"/>
      <w:numFmt w:val="decimal"/>
      <w:lvlText w:val="%1."/>
      <w:lvlJc w:val="left"/>
      <w:pPr>
        <w:ind w:left="750" w:hanging="39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0FF66C2"/>
    <w:multiLevelType w:val="hybridMultilevel"/>
    <w:tmpl w:val="5BB8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7C1650"/>
    <w:multiLevelType w:val="hybridMultilevel"/>
    <w:tmpl w:val="6D78FC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1804B91"/>
    <w:multiLevelType w:val="hybridMultilevel"/>
    <w:tmpl w:val="4DFA0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4E60959"/>
    <w:multiLevelType w:val="hybridMultilevel"/>
    <w:tmpl w:val="6FAEF0E8"/>
    <w:lvl w:ilvl="0" w:tplc="A098884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1057F1"/>
    <w:multiLevelType w:val="hybridMultilevel"/>
    <w:tmpl w:val="27960AF6"/>
    <w:lvl w:ilvl="0" w:tplc="058C4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0475C6"/>
    <w:multiLevelType w:val="hybridMultilevel"/>
    <w:tmpl w:val="6A641790"/>
    <w:lvl w:ilvl="0" w:tplc="04090003">
      <w:start w:val="1"/>
      <w:numFmt w:val="bullet"/>
      <w:lvlText w:val="o"/>
      <w:lvlJc w:val="left"/>
      <w:pPr>
        <w:ind w:left="1571" w:hanging="360"/>
      </w:pPr>
      <w:rPr>
        <w:rFonts w:ascii="Courier New" w:hAnsi="Courier New" w:cs="Courier New"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0B113772"/>
    <w:multiLevelType w:val="hybridMultilevel"/>
    <w:tmpl w:val="19F6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12A2843"/>
    <w:multiLevelType w:val="hybridMultilevel"/>
    <w:tmpl w:val="C44E76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24A448F"/>
    <w:multiLevelType w:val="hybridMultilevel"/>
    <w:tmpl w:val="CE681260"/>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DF524E"/>
    <w:multiLevelType w:val="hybridMultilevel"/>
    <w:tmpl w:val="89A0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E737B"/>
    <w:multiLevelType w:val="hybridMultilevel"/>
    <w:tmpl w:val="D4F8CE1E"/>
    <w:lvl w:ilvl="0" w:tplc="A9CC640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06E6554"/>
    <w:multiLevelType w:val="hybridMultilevel"/>
    <w:tmpl w:val="26945208"/>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223C7F51"/>
    <w:multiLevelType w:val="hybridMultilevel"/>
    <w:tmpl w:val="55FAF1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F4818DD"/>
    <w:multiLevelType w:val="hybridMultilevel"/>
    <w:tmpl w:val="6A5819EC"/>
    <w:lvl w:ilvl="0" w:tplc="03E49666">
      <w:start w:val="1"/>
      <w:numFmt w:val="lowerRoman"/>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3684BD3"/>
    <w:multiLevelType w:val="multilevel"/>
    <w:tmpl w:val="C5CA5E2E"/>
    <w:lvl w:ilvl="0">
      <w:start w:val="1"/>
      <w:numFmt w:val="decimal"/>
      <w:pStyle w:val="Heading1"/>
      <w:lvlText w:val="%1."/>
      <w:lvlJc w:val="left"/>
      <w:pPr>
        <w:tabs>
          <w:tab w:val="num" w:pos="720"/>
        </w:tabs>
        <w:ind w:left="0" w:firstLine="0"/>
      </w:pPr>
      <w:rPr>
        <w:rFonts w:hint="default"/>
        <w:b/>
        <w:i w:val="0"/>
      </w:rPr>
    </w:lvl>
    <w:lvl w:ilvl="1">
      <w:start w:val="1"/>
      <w:numFmt w:val="decimal"/>
      <w:pStyle w:val="Heading2"/>
      <w:lvlText w:val="%1.%2."/>
      <w:lvlJc w:val="left"/>
      <w:pPr>
        <w:tabs>
          <w:tab w:val="num" w:pos="720"/>
        </w:tabs>
        <w:ind w:left="720" w:hanging="720"/>
      </w:pPr>
      <w:rPr>
        <w:rFonts w:hint="default"/>
        <w:b/>
        <w:i/>
      </w:rPr>
    </w:lvl>
    <w:lvl w:ilvl="2">
      <w:start w:val="1"/>
      <w:numFmt w:val="decimal"/>
      <w:pStyle w:val="Heading3"/>
      <w:lvlText w:val="%1.%2.%3"/>
      <w:lvlJc w:val="left"/>
      <w:pPr>
        <w:ind w:left="720" w:hanging="720"/>
      </w:pPr>
      <w:rPr>
        <w:rFonts w:hint="default"/>
        <w:b w:val="0"/>
        <w:i/>
      </w:rPr>
    </w:lvl>
    <w:lvl w:ilvl="3">
      <w:start w:val="1"/>
      <w:numFmt w:val="decimal"/>
      <w:pStyle w:val="Heading4"/>
      <w:lvlText w:val="%2.%3.%4"/>
      <w:lvlJc w:val="left"/>
      <w:pPr>
        <w:tabs>
          <w:tab w:val="num" w:pos="1800"/>
        </w:tabs>
        <w:ind w:left="720" w:hanging="72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51F1714"/>
    <w:multiLevelType w:val="hybridMultilevel"/>
    <w:tmpl w:val="7DAC90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57D4A98"/>
    <w:multiLevelType w:val="hybridMultilevel"/>
    <w:tmpl w:val="75DE5C42"/>
    <w:lvl w:ilvl="0" w:tplc="B4EE84E6">
      <w:start w:val="1"/>
      <w:numFmt w:val="lowerRoman"/>
      <w:lvlText w:val="(%1)"/>
      <w:lvlJc w:val="left"/>
      <w:pPr>
        <w:ind w:left="1633" w:hanging="1065"/>
      </w:pPr>
      <w:rPr>
        <w:rFonts w:hint="default"/>
        <w:b w:val="0"/>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3BE03EB6"/>
    <w:multiLevelType w:val="hybridMultilevel"/>
    <w:tmpl w:val="4160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D5885"/>
    <w:multiLevelType w:val="hybridMultilevel"/>
    <w:tmpl w:val="CD745964"/>
    <w:lvl w:ilvl="0" w:tplc="75384718">
      <w:start w:val="9"/>
      <w:numFmt w:val="bullet"/>
      <w:lvlText w:val="-"/>
      <w:lvlJc w:val="left"/>
      <w:pPr>
        <w:ind w:left="1080" w:hanging="360"/>
      </w:pPr>
      <w:rPr>
        <w:rFonts w:ascii="Times New Roman" w:eastAsiaTheme="minorHAns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2F73AC"/>
    <w:multiLevelType w:val="hybridMultilevel"/>
    <w:tmpl w:val="5AD61C2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3">
    <w:nsid w:val="40570CE6"/>
    <w:multiLevelType w:val="hybridMultilevel"/>
    <w:tmpl w:val="8E46B78A"/>
    <w:lvl w:ilvl="0" w:tplc="AD08B844">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906189"/>
    <w:multiLevelType w:val="multilevel"/>
    <w:tmpl w:val="E64E01DC"/>
    <w:styleLink w:val="Style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45B0FCE"/>
    <w:multiLevelType w:val="hybridMultilevel"/>
    <w:tmpl w:val="1BE0B198"/>
    <w:lvl w:ilvl="0" w:tplc="04090001">
      <w:start w:val="1"/>
      <w:numFmt w:val="bullet"/>
      <w:lvlText w:val=""/>
      <w:lvlJc w:val="left"/>
      <w:pPr>
        <w:ind w:left="1866" w:hanging="360"/>
      </w:pPr>
      <w:rPr>
        <w:rFonts w:ascii="Symbol" w:hAnsi="Symbol" w:hint="default"/>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26">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A35275"/>
    <w:multiLevelType w:val="hybridMultilevel"/>
    <w:tmpl w:val="475E3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F14849"/>
    <w:multiLevelType w:val="hybridMultilevel"/>
    <w:tmpl w:val="70B4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65EDB"/>
    <w:multiLevelType w:val="hybridMultilevel"/>
    <w:tmpl w:val="303A789A"/>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1">
    <w:nsid w:val="5045302A"/>
    <w:multiLevelType w:val="hybridMultilevel"/>
    <w:tmpl w:val="5C28F9E4"/>
    <w:lvl w:ilvl="0" w:tplc="042A000F">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2">
    <w:nsid w:val="510331B9"/>
    <w:multiLevelType w:val="hybridMultilevel"/>
    <w:tmpl w:val="9E720C38"/>
    <w:lvl w:ilvl="0" w:tplc="0756B1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937348D"/>
    <w:multiLevelType w:val="hybridMultilevel"/>
    <w:tmpl w:val="56F2E2FC"/>
    <w:lvl w:ilvl="0" w:tplc="7250F4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754B9"/>
    <w:multiLevelType w:val="hybridMultilevel"/>
    <w:tmpl w:val="F77A8A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B4222BF"/>
    <w:multiLevelType w:val="hybridMultilevel"/>
    <w:tmpl w:val="4EFEE872"/>
    <w:lvl w:ilvl="0" w:tplc="865277C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08F7A12"/>
    <w:multiLevelType w:val="hybridMultilevel"/>
    <w:tmpl w:val="209C6B12"/>
    <w:lvl w:ilvl="0" w:tplc="0409000D">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767DE"/>
    <w:multiLevelType w:val="hybridMultilevel"/>
    <w:tmpl w:val="5C28F9E4"/>
    <w:lvl w:ilvl="0" w:tplc="042A000F">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1">
    <w:nsid w:val="71F7611E"/>
    <w:multiLevelType w:val="hybridMultilevel"/>
    <w:tmpl w:val="0D827B62"/>
    <w:lvl w:ilvl="0" w:tplc="04090001">
      <w:start w:val="1"/>
      <w:numFmt w:val="bullet"/>
      <w:lvlText w:val=""/>
      <w:lvlJc w:val="left"/>
      <w:pPr>
        <w:ind w:left="1170" w:hanging="360"/>
      </w:pPr>
      <w:rPr>
        <w:rFonts w:ascii="Symbol" w:hAnsi="Symbol" w:hint="default"/>
      </w:rPr>
    </w:lvl>
    <w:lvl w:ilvl="1" w:tplc="042A0003" w:tentative="1">
      <w:start w:val="1"/>
      <w:numFmt w:val="bullet"/>
      <w:lvlText w:val="o"/>
      <w:lvlJc w:val="left"/>
      <w:pPr>
        <w:ind w:left="1890" w:hanging="360"/>
      </w:pPr>
      <w:rPr>
        <w:rFonts w:ascii="Courier New" w:hAnsi="Courier New" w:cs="Courier New" w:hint="default"/>
      </w:rPr>
    </w:lvl>
    <w:lvl w:ilvl="2" w:tplc="042A0005" w:tentative="1">
      <w:start w:val="1"/>
      <w:numFmt w:val="bullet"/>
      <w:lvlText w:val=""/>
      <w:lvlJc w:val="left"/>
      <w:pPr>
        <w:ind w:left="2610" w:hanging="360"/>
      </w:pPr>
      <w:rPr>
        <w:rFonts w:ascii="Wingdings" w:hAnsi="Wingdings" w:hint="default"/>
      </w:rPr>
    </w:lvl>
    <w:lvl w:ilvl="3" w:tplc="042A0001" w:tentative="1">
      <w:start w:val="1"/>
      <w:numFmt w:val="bullet"/>
      <w:lvlText w:val=""/>
      <w:lvlJc w:val="left"/>
      <w:pPr>
        <w:ind w:left="3330" w:hanging="360"/>
      </w:pPr>
      <w:rPr>
        <w:rFonts w:ascii="Symbol" w:hAnsi="Symbol" w:hint="default"/>
      </w:rPr>
    </w:lvl>
    <w:lvl w:ilvl="4" w:tplc="042A0003" w:tentative="1">
      <w:start w:val="1"/>
      <w:numFmt w:val="bullet"/>
      <w:lvlText w:val="o"/>
      <w:lvlJc w:val="left"/>
      <w:pPr>
        <w:ind w:left="4050" w:hanging="360"/>
      </w:pPr>
      <w:rPr>
        <w:rFonts w:ascii="Courier New" w:hAnsi="Courier New" w:cs="Courier New" w:hint="default"/>
      </w:rPr>
    </w:lvl>
    <w:lvl w:ilvl="5" w:tplc="042A0005" w:tentative="1">
      <w:start w:val="1"/>
      <w:numFmt w:val="bullet"/>
      <w:lvlText w:val=""/>
      <w:lvlJc w:val="left"/>
      <w:pPr>
        <w:ind w:left="4770" w:hanging="360"/>
      </w:pPr>
      <w:rPr>
        <w:rFonts w:ascii="Wingdings" w:hAnsi="Wingdings" w:hint="default"/>
      </w:rPr>
    </w:lvl>
    <w:lvl w:ilvl="6" w:tplc="042A0001" w:tentative="1">
      <w:start w:val="1"/>
      <w:numFmt w:val="bullet"/>
      <w:lvlText w:val=""/>
      <w:lvlJc w:val="left"/>
      <w:pPr>
        <w:ind w:left="5490" w:hanging="360"/>
      </w:pPr>
      <w:rPr>
        <w:rFonts w:ascii="Symbol" w:hAnsi="Symbol" w:hint="default"/>
      </w:rPr>
    </w:lvl>
    <w:lvl w:ilvl="7" w:tplc="042A0003" w:tentative="1">
      <w:start w:val="1"/>
      <w:numFmt w:val="bullet"/>
      <w:lvlText w:val="o"/>
      <w:lvlJc w:val="left"/>
      <w:pPr>
        <w:ind w:left="6210" w:hanging="360"/>
      </w:pPr>
      <w:rPr>
        <w:rFonts w:ascii="Courier New" w:hAnsi="Courier New" w:cs="Courier New" w:hint="default"/>
      </w:rPr>
    </w:lvl>
    <w:lvl w:ilvl="8" w:tplc="042A0005" w:tentative="1">
      <w:start w:val="1"/>
      <w:numFmt w:val="bullet"/>
      <w:lvlText w:val=""/>
      <w:lvlJc w:val="left"/>
      <w:pPr>
        <w:ind w:left="6930" w:hanging="360"/>
      </w:pPr>
      <w:rPr>
        <w:rFonts w:ascii="Wingdings" w:hAnsi="Wingdings" w:hint="default"/>
      </w:rPr>
    </w:lvl>
  </w:abstractNum>
  <w:abstractNum w:abstractNumId="42">
    <w:nsid w:val="7624261D"/>
    <w:multiLevelType w:val="hybridMultilevel"/>
    <w:tmpl w:val="24926992"/>
    <w:lvl w:ilvl="0" w:tplc="9BCC9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CBE4C6F"/>
    <w:multiLevelType w:val="multilevel"/>
    <w:tmpl w:val="9F08A392"/>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pStyle w:val="Heading5"/>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num w:numId="1">
    <w:abstractNumId w:val="28"/>
  </w:num>
  <w:num w:numId="2">
    <w:abstractNumId w:val="11"/>
  </w:num>
  <w:num w:numId="3">
    <w:abstractNumId w:val="33"/>
  </w:num>
  <w:num w:numId="4">
    <w:abstractNumId w:val="37"/>
  </w:num>
  <w:num w:numId="5">
    <w:abstractNumId w:val="38"/>
  </w:num>
  <w:num w:numId="6">
    <w:abstractNumId w:val="2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8"/>
  </w:num>
  <w:num w:numId="10">
    <w:abstractNumId w:val="24"/>
  </w:num>
  <w:num w:numId="11">
    <w:abstractNumId w:val="44"/>
  </w:num>
  <w:num w:numId="12">
    <w:abstractNumId w:val="34"/>
  </w:num>
  <w:num w:numId="13">
    <w:abstractNumId w:val="39"/>
  </w:num>
  <w:num w:numId="14">
    <w:abstractNumId w:val="32"/>
  </w:num>
  <w:num w:numId="15">
    <w:abstractNumId w:val="19"/>
  </w:num>
  <w:num w:numId="16">
    <w:abstractNumId w:val="42"/>
  </w:num>
  <w:num w:numId="17">
    <w:abstractNumId w:val="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3"/>
  </w:num>
  <w:num w:numId="22">
    <w:abstractNumId w:val="36"/>
  </w:num>
  <w:num w:numId="23">
    <w:abstractNumId w:val="5"/>
  </w:num>
  <w:num w:numId="24">
    <w:abstractNumId w:val="4"/>
  </w:num>
  <w:num w:numId="25">
    <w:abstractNumId w:val="13"/>
  </w:num>
  <w:num w:numId="26">
    <w:abstractNumId w:val="12"/>
  </w:num>
  <w:num w:numId="27">
    <w:abstractNumId w:val="2"/>
  </w:num>
  <w:num w:numId="28">
    <w:abstractNumId w:val="7"/>
  </w:num>
  <w:num w:numId="29">
    <w:abstractNumId w:val="6"/>
  </w:num>
  <w:num w:numId="30">
    <w:abstractNumId w:val="23"/>
  </w:num>
  <w:num w:numId="31">
    <w:abstractNumId w:val="15"/>
  </w:num>
  <w:num w:numId="32">
    <w:abstractNumId w:val="27"/>
  </w:num>
  <w:num w:numId="33">
    <w:abstractNumId w:val="41"/>
  </w:num>
  <w:num w:numId="34">
    <w:abstractNumId w:val="35"/>
  </w:num>
  <w:num w:numId="35">
    <w:abstractNumId w:val="10"/>
  </w:num>
  <w:num w:numId="36">
    <w:abstractNumId w:val="31"/>
  </w:num>
  <w:num w:numId="37">
    <w:abstractNumId w:val="29"/>
  </w:num>
  <w:num w:numId="38">
    <w:abstractNumId w:val="16"/>
  </w:num>
  <w:num w:numId="39">
    <w:abstractNumId w:val="9"/>
  </w:num>
  <w:num w:numId="40">
    <w:abstractNumId w:val="0"/>
  </w:num>
  <w:num w:numId="41">
    <w:abstractNumId w:val="40"/>
  </w:num>
  <w:num w:numId="42">
    <w:abstractNumId w:val="30"/>
  </w:num>
  <w:num w:numId="43">
    <w:abstractNumId w:val="21"/>
  </w:num>
  <w:num w:numId="44">
    <w:abstractNumId w:val="18"/>
  </w:num>
  <w:num w:numId="4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linkStyles/>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A8"/>
    <w:rsid w:val="0000033C"/>
    <w:rsid w:val="00000F44"/>
    <w:rsid w:val="00001412"/>
    <w:rsid w:val="000023EE"/>
    <w:rsid w:val="000025BC"/>
    <w:rsid w:val="00002F77"/>
    <w:rsid w:val="000046D3"/>
    <w:rsid w:val="000055D7"/>
    <w:rsid w:val="00005E87"/>
    <w:rsid w:val="000066DA"/>
    <w:rsid w:val="00007C23"/>
    <w:rsid w:val="000110F5"/>
    <w:rsid w:val="00011110"/>
    <w:rsid w:val="000116A2"/>
    <w:rsid w:val="0001454F"/>
    <w:rsid w:val="0001574E"/>
    <w:rsid w:val="00015C27"/>
    <w:rsid w:val="00017A11"/>
    <w:rsid w:val="00020412"/>
    <w:rsid w:val="00021644"/>
    <w:rsid w:val="000224EE"/>
    <w:rsid w:val="00023656"/>
    <w:rsid w:val="00023700"/>
    <w:rsid w:val="000249A6"/>
    <w:rsid w:val="0002600D"/>
    <w:rsid w:val="00032512"/>
    <w:rsid w:val="00033F45"/>
    <w:rsid w:val="00035AA5"/>
    <w:rsid w:val="00036E35"/>
    <w:rsid w:val="0003742B"/>
    <w:rsid w:val="00037E92"/>
    <w:rsid w:val="00042CB7"/>
    <w:rsid w:val="00045E0F"/>
    <w:rsid w:val="00052186"/>
    <w:rsid w:val="000538CB"/>
    <w:rsid w:val="000548E2"/>
    <w:rsid w:val="0005492F"/>
    <w:rsid w:val="00056602"/>
    <w:rsid w:val="0006078F"/>
    <w:rsid w:val="00062ABC"/>
    <w:rsid w:val="00063004"/>
    <w:rsid w:val="00064D4D"/>
    <w:rsid w:val="00065C96"/>
    <w:rsid w:val="0006628C"/>
    <w:rsid w:val="00067631"/>
    <w:rsid w:val="000678C1"/>
    <w:rsid w:val="000736C6"/>
    <w:rsid w:val="00075229"/>
    <w:rsid w:val="00082CA7"/>
    <w:rsid w:val="00082DE1"/>
    <w:rsid w:val="00084201"/>
    <w:rsid w:val="00084389"/>
    <w:rsid w:val="00084A2C"/>
    <w:rsid w:val="00086081"/>
    <w:rsid w:val="00086600"/>
    <w:rsid w:val="000869A0"/>
    <w:rsid w:val="000870F2"/>
    <w:rsid w:val="00090AB5"/>
    <w:rsid w:val="000925E8"/>
    <w:rsid w:val="00094B26"/>
    <w:rsid w:val="00094FF4"/>
    <w:rsid w:val="000955EF"/>
    <w:rsid w:val="00096869"/>
    <w:rsid w:val="00096C82"/>
    <w:rsid w:val="00097881"/>
    <w:rsid w:val="000A128B"/>
    <w:rsid w:val="000A14B5"/>
    <w:rsid w:val="000A17B5"/>
    <w:rsid w:val="000A1E64"/>
    <w:rsid w:val="000A22FA"/>
    <w:rsid w:val="000A28B1"/>
    <w:rsid w:val="000A3176"/>
    <w:rsid w:val="000A3CB6"/>
    <w:rsid w:val="000A4EBC"/>
    <w:rsid w:val="000A5F0B"/>
    <w:rsid w:val="000A6391"/>
    <w:rsid w:val="000A68F9"/>
    <w:rsid w:val="000A6915"/>
    <w:rsid w:val="000B04BB"/>
    <w:rsid w:val="000B1CE1"/>
    <w:rsid w:val="000B29CD"/>
    <w:rsid w:val="000B2C62"/>
    <w:rsid w:val="000B34F6"/>
    <w:rsid w:val="000B4126"/>
    <w:rsid w:val="000B6A00"/>
    <w:rsid w:val="000B7767"/>
    <w:rsid w:val="000C02F5"/>
    <w:rsid w:val="000C0801"/>
    <w:rsid w:val="000C1A39"/>
    <w:rsid w:val="000C42F1"/>
    <w:rsid w:val="000C4973"/>
    <w:rsid w:val="000D018E"/>
    <w:rsid w:val="000D0468"/>
    <w:rsid w:val="000D25AC"/>
    <w:rsid w:val="000D2A90"/>
    <w:rsid w:val="000D2B9E"/>
    <w:rsid w:val="000D30BA"/>
    <w:rsid w:val="000E07D8"/>
    <w:rsid w:val="000E1830"/>
    <w:rsid w:val="000E2357"/>
    <w:rsid w:val="000E5231"/>
    <w:rsid w:val="000E5F9F"/>
    <w:rsid w:val="000F05F6"/>
    <w:rsid w:val="000F06A7"/>
    <w:rsid w:val="000F1535"/>
    <w:rsid w:val="000F410A"/>
    <w:rsid w:val="000F4841"/>
    <w:rsid w:val="000F60E5"/>
    <w:rsid w:val="000F72F5"/>
    <w:rsid w:val="000F78C0"/>
    <w:rsid w:val="000F7A1B"/>
    <w:rsid w:val="00101003"/>
    <w:rsid w:val="0010140C"/>
    <w:rsid w:val="00101CF5"/>
    <w:rsid w:val="00102181"/>
    <w:rsid w:val="001037A1"/>
    <w:rsid w:val="001054A8"/>
    <w:rsid w:val="00106FC0"/>
    <w:rsid w:val="00110E5A"/>
    <w:rsid w:val="00111984"/>
    <w:rsid w:val="00111DDC"/>
    <w:rsid w:val="0011247E"/>
    <w:rsid w:val="0011361D"/>
    <w:rsid w:val="001142F2"/>
    <w:rsid w:val="001147E5"/>
    <w:rsid w:val="00115B9D"/>
    <w:rsid w:val="00115FBB"/>
    <w:rsid w:val="001203DB"/>
    <w:rsid w:val="00121A6C"/>
    <w:rsid w:val="001225F4"/>
    <w:rsid w:val="00122E92"/>
    <w:rsid w:val="001235C7"/>
    <w:rsid w:val="001252E6"/>
    <w:rsid w:val="001259AF"/>
    <w:rsid w:val="001265A5"/>
    <w:rsid w:val="001265AA"/>
    <w:rsid w:val="001272E9"/>
    <w:rsid w:val="001276F4"/>
    <w:rsid w:val="00127CAD"/>
    <w:rsid w:val="001317D1"/>
    <w:rsid w:val="00134926"/>
    <w:rsid w:val="0013678F"/>
    <w:rsid w:val="00136E5D"/>
    <w:rsid w:val="00137432"/>
    <w:rsid w:val="00137671"/>
    <w:rsid w:val="0013796B"/>
    <w:rsid w:val="00140B4B"/>
    <w:rsid w:val="00141D44"/>
    <w:rsid w:val="0014213A"/>
    <w:rsid w:val="00143C7C"/>
    <w:rsid w:val="00144805"/>
    <w:rsid w:val="001462B2"/>
    <w:rsid w:val="001462C9"/>
    <w:rsid w:val="00146641"/>
    <w:rsid w:val="0014729A"/>
    <w:rsid w:val="0014761C"/>
    <w:rsid w:val="00153B23"/>
    <w:rsid w:val="001546C2"/>
    <w:rsid w:val="001565EB"/>
    <w:rsid w:val="001579F5"/>
    <w:rsid w:val="00157FB2"/>
    <w:rsid w:val="00160CBF"/>
    <w:rsid w:val="001614CB"/>
    <w:rsid w:val="001615F5"/>
    <w:rsid w:val="001649AF"/>
    <w:rsid w:val="00164B52"/>
    <w:rsid w:val="0017153E"/>
    <w:rsid w:val="00171CC5"/>
    <w:rsid w:val="00172DB1"/>
    <w:rsid w:val="001731AA"/>
    <w:rsid w:val="001733C0"/>
    <w:rsid w:val="00173BB2"/>
    <w:rsid w:val="00173D20"/>
    <w:rsid w:val="00174F6D"/>
    <w:rsid w:val="00175957"/>
    <w:rsid w:val="00176441"/>
    <w:rsid w:val="00177A78"/>
    <w:rsid w:val="001805B0"/>
    <w:rsid w:val="0018161F"/>
    <w:rsid w:val="001816A3"/>
    <w:rsid w:val="00181E51"/>
    <w:rsid w:val="001845CB"/>
    <w:rsid w:val="00184820"/>
    <w:rsid w:val="00186E91"/>
    <w:rsid w:val="00190959"/>
    <w:rsid w:val="00190977"/>
    <w:rsid w:val="001912C4"/>
    <w:rsid w:val="00191EED"/>
    <w:rsid w:val="0019231B"/>
    <w:rsid w:val="00192970"/>
    <w:rsid w:val="00193CBE"/>
    <w:rsid w:val="001947FE"/>
    <w:rsid w:val="00196181"/>
    <w:rsid w:val="00196CB2"/>
    <w:rsid w:val="00196D7D"/>
    <w:rsid w:val="001979A1"/>
    <w:rsid w:val="001A012B"/>
    <w:rsid w:val="001A0C18"/>
    <w:rsid w:val="001A3F79"/>
    <w:rsid w:val="001A5DED"/>
    <w:rsid w:val="001A6068"/>
    <w:rsid w:val="001A74E7"/>
    <w:rsid w:val="001A758F"/>
    <w:rsid w:val="001A76D3"/>
    <w:rsid w:val="001B1A80"/>
    <w:rsid w:val="001B1A88"/>
    <w:rsid w:val="001B28A5"/>
    <w:rsid w:val="001B4177"/>
    <w:rsid w:val="001B47DD"/>
    <w:rsid w:val="001B559D"/>
    <w:rsid w:val="001B6706"/>
    <w:rsid w:val="001B7E3F"/>
    <w:rsid w:val="001C1FA8"/>
    <w:rsid w:val="001C512B"/>
    <w:rsid w:val="001C6854"/>
    <w:rsid w:val="001C72BD"/>
    <w:rsid w:val="001D0788"/>
    <w:rsid w:val="001D18CD"/>
    <w:rsid w:val="001D2545"/>
    <w:rsid w:val="001D3061"/>
    <w:rsid w:val="001E0EA6"/>
    <w:rsid w:val="001E16D6"/>
    <w:rsid w:val="001E1E72"/>
    <w:rsid w:val="001E2BF7"/>
    <w:rsid w:val="001E344E"/>
    <w:rsid w:val="001E3DAE"/>
    <w:rsid w:val="001E4F3D"/>
    <w:rsid w:val="001E6246"/>
    <w:rsid w:val="001E71E4"/>
    <w:rsid w:val="001F0569"/>
    <w:rsid w:val="001F0601"/>
    <w:rsid w:val="001F1529"/>
    <w:rsid w:val="001F201D"/>
    <w:rsid w:val="001F2985"/>
    <w:rsid w:val="001F3DAC"/>
    <w:rsid w:val="001F4829"/>
    <w:rsid w:val="001F5975"/>
    <w:rsid w:val="001F5D90"/>
    <w:rsid w:val="001F61B2"/>
    <w:rsid w:val="001F659F"/>
    <w:rsid w:val="001F7A31"/>
    <w:rsid w:val="00201875"/>
    <w:rsid w:val="00202A47"/>
    <w:rsid w:val="00202EDA"/>
    <w:rsid w:val="00204B48"/>
    <w:rsid w:val="00204E3E"/>
    <w:rsid w:val="00205ABC"/>
    <w:rsid w:val="0020610C"/>
    <w:rsid w:val="002062EC"/>
    <w:rsid w:val="00213CFA"/>
    <w:rsid w:val="00214077"/>
    <w:rsid w:val="002146F1"/>
    <w:rsid w:val="00225809"/>
    <w:rsid w:val="002259C1"/>
    <w:rsid w:val="00225D35"/>
    <w:rsid w:val="00225DDF"/>
    <w:rsid w:val="00226419"/>
    <w:rsid w:val="00231056"/>
    <w:rsid w:val="00231175"/>
    <w:rsid w:val="00232E00"/>
    <w:rsid w:val="00232F6F"/>
    <w:rsid w:val="002332FE"/>
    <w:rsid w:val="002337D5"/>
    <w:rsid w:val="00233AF4"/>
    <w:rsid w:val="002341B2"/>
    <w:rsid w:val="002353C7"/>
    <w:rsid w:val="00236A55"/>
    <w:rsid w:val="0023716B"/>
    <w:rsid w:val="00237E19"/>
    <w:rsid w:val="00240816"/>
    <w:rsid w:val="00241E0A"/>
    <w:rsid w:val="00242345"/>
    <w:rsid w:val="002428CA"/>
    <w:rsid w:val="002430E3"/>
    <w:rsid w:val="002433A6"/>
    <w:rsid w:val="00247882"/>
    <w:rsid w:val="002514A0"/>
    <w:rsid w:val="00252275"/>
    <w:rsid w:val="0025372E"/>
    <w:rsid w:val="0025384F"/>
    <w:rsid w:val="00254178"/>
    <w:rsid w:val="002545BA"/>
    <w:rsid w:val="002564C5"/>
    <w:rsid w:val="00256502"/>
    <w:rsid w:val="0025682E"/>
    <w:rsid w:val="0026087C"/>
    <w:rsid w:val="002613A6"/>
    <w:rsid w:val="00261D75"/>
    <w:rsid w:val="00262B15"/>
    <w:rsid w:val="002640F9"/>
    <w:rsid w:val="002670B7"/>
    <w:rsid w:val="00270787"/>
    <w:rsid w:val="00272069"/>
    <w:rsid w:val="002733EC"/>
    <w:rsid w:val="002735A9"/>
    <w:rsid w:val="00274870"/>
    <w:rsid w:val="00275768"/>
    <w:rsid w:val="00276122"/>
    <w:rsid w:val="002775A9"/>
    <w:rsid w:val="002815E8"/>
    <w:rsid w:val="00282397"/>
    <w:rsid w:val="0028248C"/>
    <w:rsid w:val="00282596"/>
    <w:rsid w:val="00284FAE"/>
    <w:rsid w:val="00285CD5"/>
    <w:rsid w:val="00285EE2"/>
    <w:rsid w:val="00286BD3"/>
    <w:rsid w:val="00286F70"/>
    <w:rsid w:val="00287750"/>
    <w:rsid w:val="0029089E"/>
    <w:rsid w:val="00290FEB"/>
    <w:rsid w:val="00291563"/>
    <w:rsid w:val="00291F7A"/>
    <w:rsid w:val="00294B7A"/>
    <w:rsid w:val="002955C3"/>
    <w:rsid w:val="002970CD"/>
    <w:rsid w:val="002A0093"/>
    <w:rsid w:val="002A2E95"/>
    <w:rsid w:val="002A3B70"/>
    <w:rsid w:val="002A476C"/>
    <w:rsid w:val="002A47D7"/>
    <w:rsid w:val="002A61FE"/>
    <w:rsid w:val="002B0217"/>
    <w:rsid w:val="002B08DB"/>
    <w:rsid w:val="002B2A96"/>
    <w:rsid w:val="002B4A98"/>
    <w:rsid w:val="002B797F"/>
    <w:rsid w:val="002C1224"/>
    <w:rsid w:val="002C3098"/>
    <w:rsid w:val="002C36DA"/>
    <w:rsid w:val="002C4494"/>
    <w:rsid w:val="002C45C1"/>
    <w:rsid w:val="002C4AC2"/>
    <w:rsid w:val="002C4D15"/>
    <w:rsid w:val="002C536B"/>
    <w:rsid w:val="002C63CA"/>
    <w:rsid w:val="002D0CEC"/>
    <w:rsid w:val="002D19C6"/>
    <w:rsid w:val="002D1C9D"/>
    <w:rsid w:val="002D24C8"/>
    <w:rsid w:val="002D32F4"/>
    <w:rsid w:val="002D367E"/>
    <w:rsid w:val="002D4218"/>
    <w:rsid w:val="002D55D7"/>
    <w:rsid w:val="002D5A89"/>
    <w:rsid w:val="002E03FD"/>
    <w:rsid w:val="002E0C42"/>
    <w:rsid w:val="002E1377"/>
    <w:rsid w:val="002E2D88"/>
    <w:rsid w:val="002E3F14"/>
    <w:rsid w:val="002E4615"/>
    <w:rsid w:val="002E47C2"/>
    <w:rsid w:val="002E608A"/>
    <w:rsid w:val="002E73FE"/>
    <w:rsid w:val="002E7453"/>
    <w:rsid w:val="002F011D"/>
    <w:rsid w:val="002F0CA1"/>
    <w:rsid w:val="002F2A1A"/>
    <w:rsid w:val="002F35C7"/>
    <w:rsid w:val="002F5C0D"/>
    <w:rsid w:val="002F6752"/>
    <w:rsid w:val="003016F0"/>
    <w:rsid w:val="0030243F"/>
    <w:rsid w:val="00302495"/>
    <w:rsid w:val="00303A5A"/>
    <w:rsid w:val="00303B21"/>
    <w:rsid w:val="00304D2C"/>
    <w:rsid w:val="00305819"/>
    <w:rsid w:val="003059FB"/>
    <w:rsid w:val="00305D19"/>
    <w:rsid w:val="00306EF8"/>
    <w:rsid w:val="00307583"/>
    <w:rsid w:val="00307EA4"/>
    <w:rsid w:val="00310281"/>
    <w:rsid w:val="00311209"/>
    <w:rsid w:val="00312C9C"/>
    <w:rsid w:val="00314962"/>
    <w:rsid w:val="00317473"/>
    <w:rsid w:val="00317B09"/>
    <w:rsid w:val="0032142F"/>
    <w:rsid w:val="00321784"/>
    <w:rsid w:val="00321F37"/>
    <w:rsid w:val="0032289A"/>
    <w:rsid w:val="00322F16"/>
    <w:rsid w:val="003235A4"/>
    <w:rsid w:val="0032364D"/>
    <w:rsid w:val="0032464F"/>
    <w:rsid w:val="003247D2"/>
    <w:rsid w:val="00325466"/>
    <w:rsid w:val="00325B82"/>
    <w:rsid w:val="00326082"/>
    <w:rsid w:val="003266B2"/>
    <w:rsid w:val="00326CE4"/>
    <w:rsid w:val="0032799B"/>
    <w:rsid w:val="003313CC"/>
    <w:rsid w:val="00331AAD"/>
    <w:rsid w:val="0033363C"/>
    <w:rsid w:val="00336F0A"/>
    <w:rsid w:val="00341455"/>
    <w:rsid w:val="003415F7"/>
    <w:rsid w:val="00342980"/>
    <w:rsid w:val="00343B4B"/>
    <w:rsid w:val="0034410F"/>
    <w:rsid w:val="00345A1B"/>
    <w:rsid w:val="00345EBD"/>
    <w:rsid w:val="00346736"/>
    <w:rsid w:val="00346F4E"/>
    <w:rsid w:val="00350EEB"/>
    <w:rsid w:val="003518BA"/>
    <w:rsid w:val="00352786"/>
    <w:rsid w:val="00353232"/>
    <w:rsid w:val="00355F36"/>
    <w:rsid w:val="003568A8"/>
    <w:rsid w:val="00360B7B"/>
    <w:rsid w:val="003619A8"/>
    <w:rsid w:val="00362041"/>
    <w:rsid w:val="00362378"/>
    <w:rsid w:val="00366846"/>
    <w:rsid w:val="00366A73"/>
    <w:rsid w:val="00366AB3"/>
    <w:rsid w:val="003722C3"/>
    <w:rsid w:val="0037234F"/>
    <w:rsid w:val="00374D85"/>
    <w:rsid w:val="00374F5D"/>
    <w:rsid w:val="0037519C"/>
    <w:rsid w:val="00375CDC"/>
    <w:rsid w:val="00377CBE"/>
    <w:rsid w:val="0038143F"/>
    <w:rsid w:val="00381545"/>
    <w:rsid w:val="00381651"/>
    <w:rsid w:val="00382731"/>
    <w:rsid w:val="00382AF5"/>
    <w:rsid w:val="00383EE8"/>
    <w:rsid w:val="00385975"/>
    <w:rsid w:val="00385A31"/>
    <w:rsid w:val="00385ACE"/>
    <w:rsid w:val="00386E01"/>
    <w:rsid w:val="00387FCF"/>
    <w:rsid w:val="00390388"/>
    <w:rsid w:val="00390416"/>
    <w:rsid w:val="00391B29"/>
    <w:rsid w:val="00391FE0"/>
    <w:rsid w:val="00392E13"/>
    <w:rsid w:val="0039604C"/>
    <w:rsid w:val="00396073"/>
    <w:rsid w:val="00397FF3"/>
    <w:rsid w:val="003A0BC1"/>
    <w:rsid w:val="003A215B"/>
    <w:rsid w:val="003A236F"/>
    <w:rsid w:val="003A2799"/>
    <w:rsid w:val="003A2AFC"/>
    <w:rsid w:val="003A3EFD"/>
    <w:rsid w:val="003A420F"/>
    <w:rsid w:val="003A4632"/>
    <w:rsid w:val="003B048A"/>
    <w:rsid w:val="003B0C2A"/>
    <w:rsid w:val="003B3BFE"/>
    <w:rsid w:val="003B581F"/>
    <w:rsid w:val="003B6BA9"/>
    <w:rsid w:val="003B7C4C"/>
    <w:rsid w:val="003C12DF"/>
    <w:rsid w:val="003C1625"/>
    <w:rsid w:val="003C51A1"/>
    <w:rsid w:val="003C5607"/>
    <w:rsid w:val="003C5B34"/>
    <w:rsid w:val="003C70FB"/>
    <w:rsid w:val="003C7B96"/>
    <w:rsid w:val="003D11A8"/>
    <w:rsid w:val="003D1B2E"/>
    <w:rsid w:val="003D2942"/>
    <w:rsid w:val="003D3810"/>
    <w:rsid w:val="003D5437"/>
    <w:rsid w:val="003E0962"/>
    <w:rsid w:val="003E27DD"/>
    <w:rsid w:val="003E28DA"/>
    <w:rsid w:val="003E3720"/>
    <w:rsid w:val="003E3BFB"/>
    <w:rsid w:val="003E3D0D"/>
    <w:rsid w:val="003E49CF"/>
    <w:rsid w:val="003E5D48"/>
    <w:rsid w:val="003F060A"/>
    <w:rsid w:val="003F21EA"/>
    <w:rsid w:val="003F2F3F"/>
    <w:rsid w:val="003F6169"/>
    <w:rsid w:val="003F71B7"/>
    <w:rsid w:val="003F7929"/>
    <w:rsid w:val="0040109F"/>
    <w:rsid w:val="004016E4"/>
    <w:rsid w:val="00403A26"/>
    <w:rsid w:val="00403BD4"/>
    <w:rsid w:val="00404E08"/>
    <w:rsid w:val="00411282"/>
    <w:rsid w:val="00411B86"/>
    <w:rsid w:val="004141B8"/>
    <w:rsid w:val="00414644"/>
    <w:rsid w:val="00416374"/>
    <w:rsid w:val="00417C2F"/>
    <w:rsid w:val="0042069B"/>
    <w:rsid w:val="0042097C"/>
    <w:rsid w:val="00421777"/>
    <w:rsid w:val="00421929"/>
    <w:rsid w:val="00421A94"/>
    <w:rsid w:val="00422C89"/>
    <w:rsid w:val="0042479A"/>
    <w:rsid w:val="00427AC2"/>
    <w:rsid w:val="004319BD"/>
    <w:rsid w:val="00431E26"/>
    <w:rsid w:val="0043252D"/>
    <w:rsid w:val="004349B4"/>
    <w:rsid w:val="0043558E"/>
    <w:rsid w:val="004356F1"/>
    <w:rsid w:val="00436415"/>
    <w:rsid w:val="004376ED"/>
    <w:rsid w:val="00437D0B"/>
    <w:rsid w:val="00443573"/>
    <w:rsid w:val="0044530A"/>
    <w:rsid w:val="00445735"/>
    <w:rsid w:val="00446E6C"/>
    <w:rsid w:val="00447347"/>
    <w:rsid w:val="00447761"/>
    <w:rsid w:val="00450424"/>
    <w:rsid w:val="0045083E"/>
    <w:rsid w:val="004519A0"/>
    <w:rsid w:val="00452C74"/>
    <w:rsid w:val="00454ADF"/>
    <w:rsid w:val="004555DB"/>
    <w:rsid w:val="00455E76"/>
    <w:rsid w:val="0045720F"/>
    <w:rsid w:val="004579F9"/>
    <w:rsid w:val="00461D8A"/>
    <w:rsid w:val="00461EF6"/>
    <w:rsid w:val="00462767"/>
    <w:rsid w:val="00464C78"/>
    <w:rsid w:val="00464F00"/>
    <w:rsid w:val="0046523E"/>
    <w:rsid w:val="004657E1"/>
    <w:rsid w:val="00465DEA"/>
    <w:rsid w:val="004661E6"/>
    <w:rsid w:val="004661FD"/>
    <w:rsid w:val="0046639B"/>
    <w:rsid w:val="0047141D"/>
    <w:rsid w:val="004742A8"/>
    <w:rsid w:val="004764E7"/>
    <w:rsid w:val="004766D0"/>
    <w:rsid w:val="00481011"/>
    <w:rsid w:val="00481069"/>
    <w:rsid w:val="004843C2"/>
    <w:rsid w:val="00485730"/>
    <w:rsid w:val="00487926"/>
    <w:rsid w:val="00490717"/>
    <w:rsid w:val="00491047"/>
    <w:rsid w:val="004912FD"/>
    <w:rsid w:val="00491FA3"/>
    <w:rsid w:val="004949A7"/>
    <w:rsid w:val="004953EF"/>
    <w:rsid w:val="00495AC7"/>
    <w:rsid w:val="00497550"/>
    <w:rsid w:val="00497A24"/>
    <w:rsid w:val="004A013F"/>
    <w:rsid w:val="004A0B82"/>
    <w:rsid w:val="004A100C"/>
    <w:rsid w:val="004A1EAF"/>
    <w:rsid w:val="004A3996"/>
    <w:rsid w:val="004A3C3F"/>
    <w:rsid w:val="004A3C55"/>
    <w:rsid w:val="004A3FC6"/>
    <w:rsid w:val="004A4006"/>
    <w:rsid w:val="004A48E9"/>
    <w:rsid w:val="004A4AD0"/>
    <w:rsid w:val="004A6F35"/>
    <w:rsid w:val="004A77B6"/>
    <w:rsid w:val="004A7B00"/>
    <w:rsid w:val="004B1A68"/>
    <w:rsid w:val="004B1AA1"/>
    <w:rsid w:val="004B3623"/>
    <w:rsid w:val="004B56EF"/>
    <w:rsid w:val="004B5889"/>
    <w:rsid w:val="004B7A57"/>
    <w:rsid w:val="004C5E33"/>
    <w:rsid w:val="004C5E72"/>
    <w:rsid w:val="004D35FC"/>
    <w:rsid w:val="004D40F8"/>
    <w:rsid w:val="004D43B9"/>
    <w:rsid w:val="004D73AA"/>
    <w:rsid w:val="004D7A81"/>
    <w:rsid w:val="004E0AB8"/>
    <w:rsid w:val="004E1D4C"/>
    <w:rsid w:val="004E3275"/>
    <w:rsid w:val="004E4098"/>
    <w:rsid w:val="004E42C0"/>
    <w:rsid w:val="004E467E"/>
    <w:rsid w:val="004E4EAD"/>
    <w:rsid w:val="004E5AE5"/>
    <w:rsid w:val="004E7613"/>
    <w:rsid w:val="004F1269"/>
    <w:rsid w:val="004F56DE"/>
    <w:rsid w:val="004F6476"/>
    <w:rsid w:val="004F6D6C"/>
    <w:rsid w:val="00500AB3"/>
    <w:rsid w:val="00501C63"/>
    <w:rsid w:val="00502461"/>
    <w:rsid w:val="005040AD"/>
    <w:rsid w:val="005042F7"/>
    <w:rsid w:val="00505DE0"/>
    <w:rsid w:val="00507A44"/>
    <w:rsid w:val="0051012B"/>
    <w:rsid w:val="005113BB"/>
    <w:rsid w:val="00511E00"/>
    <w:rsid w:val="00512F47"/>
    <w:rsid w:val="00524517"/>
    <w:rsid w:val="0052616E"/>
    <w:rsid w:val="0052652E"/>
    <w:rsid w:val="0052721D"/>
    <w:rsid w:val="00530746"/>
    <w:rsid w:val="00530FEC"/>
    <w:rsid w:val="005310CD"/>
    <w:rsid w:val="005317B1"/>
    <w:rsid w:val="00532AF5"/>
    <w:rsid w:val="00532B73"/>
    <w:rsid w:val="00533A26"/>
    <w:rsid w:val="00533D6C"/>
    <w:rsid w:val="00536B8D"/>
    <w:rsid w:val="00537637"/>
    <w:rsid w:val="00537BF4"/>
    <w:rsid w:val="00542C8A"/>
    <w:rsid w:val="00543B2C"/>
    <w:rsid w:val="00546DC5"/>
    <w:rsid w:val="00547EF8"/>
    <w:rsid w:val="005501CA"/>
    <w:rsid w:val="005504C1"/>
    <w:rsid w:val="00550560"/>
    <w:rsid w:val="00552931"/>
    <w:rsid w:val="0055433C"/>
    <w:rsid w:val="00554DF9"/>
    <w:rsid w:val="00555FA3"/>
    <w:rsid w:val="00556FC1"/>
    <w:rsid w:val="00557CEF"/>
    <w:rsid w:val="00560B0C"/>
    <w:rsid w:val="005620E8"/>
    <w:rsid w:val="00562652"/>
    <w:rsid w:val="005629AB"/>
    <w:rsid w:val="005647F4"/>
    <w:rsid w:val="00565B5B"/>
    <w:rsid w:val="00565FBF"/>
    <w:rsid w:val="005722EF"/>
    <w:rsid w:val="00572A98"/>
    <w:rsid w:val="0057396C"/>
    <w:rsid w:val="005740B2"/>
    <w:rsid w:val="005753C5"/>
    <w:rsid w:val="0057783F"/>
    <w:rsid w:val="005778A6"/>
    <w:rsid w:val="00580305"/>
    <w:rsid w:val="00581714"/>
    <w:rsid w:val="00581E06"/>
    <w:rsid w:val="00582A89"/>
    <w:rsid w:val="005865D6"/>
    <w:rsid w:val="00586880"/>
    <w:rsid w:val="00590491"/>
    <w:rsid w:val="0059186F"/>
    <w:rsid w:val="005918CA"/>
    <w:rsid w:val="00591BE2"/>
    <w:rsid w:val="005926AC"/>
    <w:rsid w:val="00592B70"/>
    <w:rsid w:val="00594113"/>
    <w:rsid w:val="00596219"/>
    <w:rsid w:val="005A082C"/>
    <w:rsid w:val="005A2414"/>
    <w:rsid w:val="005A258B"/>
    <w:rsid w:val="005A3DE1"/>
    <w:rsid w:val="005A5B2A"/>
    <w:rsid w:val="005A7274"/>
    <w:rsid w:val="005B0169"/>
    <w:rsid w:val="005B0398"/>
    <w:rsid w:val="005B106F"/>
    <w:rsid w:val="005B1C4C"/>
    <w:rsid w:val="005B21D6"/>
    <w:rsid w:val="005B242A"/>
    <w:rsid w:val="005B2719"/>
    <w:rsid w:val="005B3F83"/>
    <w:rsid w:val="005B733A"/>
    <w:rsid w:val="005C1694"/>
    <w:rsid w:val="005C1C7F"/>
    <w:rsid w:val="005C1E35"/>
    <w:rsid w:val="005C2F87"/>
    <w:rsid w:val="005C36AE"/>
    <w:rsid w:val="005C4A93"/>
    <w:rsid w:val="005C4AFF"/>
    <w:rsid w:val="005C50B2"/>
    <w:rsid w:val="005C530B"/>
    <w:rsid w:val="005C56CD"/>
    <w:rsid w:val="005C6068"/>
    <w:rsid w:val="005C6828"/>
    <w:rsid w:val="005C6A26"/>
    <w:rsid w:val="005C7947"/>
    <w:rsid w:val="005C7EEB"/>
    <w:rsid w:val="005D0203"/>
    <w:rsid w:val="005D08F3"/>
    <w:rsid w:val="005D10AD"/>
    <w:rsid w:val="005D123A"/>
    <w:rsid w:val="005D1A19"/>
    <w:rsid w:val="005D2ACF"/>
    <w:rsid w:val="005D335C"/>
    <w:rsid w:val="005D3425"/>
    <w:rsid w:val="005D47FB"/>
    <w:rsid w:val="005D571F"/>
    <w:rsid w:val="005D5A84"/>
    <w:rsid w:val="005D67D9"/>
    <w:rsid w:val="005E0130"/>
    <w:rsid w:val="005E3A40"/>
    <w:rsid w:val="005E3E38"/>
    <w:rsid w:val="005E4E00"/>
    <w:rsid w:val="005E56D3"/>
    <w:rsid w:val="005E6FDC"/>
    <w:rsid w:val="005F1801"/>
    <w:rsid w:val="005F2427"/>
    <w:rsid w:val="005F2AC9"/>
    <w:rsid w:val="005F4CA6"/>
    <w:rsid w:val="005F5E3A"/>
    <w:rsid w:val="005F6899"/>
    <w:rsid w:val="005F7F66"/>
    <w:rsid w:val="006005A4"/>
    <w:rsid w:val="00602CD5"/>
    <w:rsid w:val="00603070"/>
    <w:rsid w:val="00603422"/>
    <w:rsid w:val="00604F4F"/>
    <w:rsid w:val="00604F9C"/>
    <w:rsid w:val="00607D38"/>
    <w:rsid w:val="006100DD"/>
    <w:rsid w:val="006104B2"/>
    <w:rsid w:val="006108F7"/>
    <w:rsid w:val="00610B9D"/>
    <w:rsid w:val="006120CC"/>
    <w:rsid w:val="00612AF4"/>
    <w:rsid w:val="00613CD9"/>
    <w:rsid w:val="00615B56"/>
    <w:rsid w:val="00616A66"/>
    <w:rsid w:val="00617378"/>
    <w:rsid w:val="006200CD"/>
    <w:rsid w:val="0062075C"/>
    <w:rsid w:val="00621C39"/>
    <w:rsid w:val="006232BB"/>
    <w:rsid w:val="00623CE6"/>
    <w:rsid w:val="00625148"/>
    <w:rsid w:val="006278F4"/>
    <w:rsid w:val="00630B6C"/>
    <w:rsid w:val="00630C1B"/>
    <w:rsid w:val="00630C4B"/>
    <w:rsid w:val="00634C49"/>
    <w:rsid w:val="00637453"/>
    <w:rsid w:val="00640582"/>
    <w:rsid w:val="006411E8"/>
    <w:rsid w:val="0064120E"/>
    <w:rsid w:val="00641965"/>
    <w:rsid w:val="00642D78"/>
    <w:rsid w:val="006456EA"/>
    <w:rsid w:val="006459D3"/>
    <w:rsid w:val="00645E58"/>
    <w:rsid w:val="00647263"/>
    <w:rsid w:val="006479BD"/>
    <w:rsid w:val="006539E4"/>
    <w:rsid w:val="00653A12"/>
    <w:rsid w:val="00654541"/>
    <w:rsid w:val="006565D2"/>
    <w:rsid w:val="00656EDF"/>
    <w:rsid w:val="00657994"/>
    <w:rsid w:val="0066031C"/>
    <w:rsid w:val="006609B7"/>
    <w:rsid w:val="00661EC7"/>
    <w:rsid w:val="00662787"/>
    <w:rsid w:val="00662F6A"/>
    <w:rsid w:val="006630C1"/>
    <w:rsid w:val="0066529C"/>
    <w:rsid w:val="0066567D"/>
    <w:rsid w:val="00670C85"/>
    <w:rsid w:val="006716E2"/>
    <w:rsid w:val="00671A55"/>
    <w:rsid w:val="0067429C"/>
    <w:rsid w:val="00674EAD"/>
    <w:rsid w:val="006750C1"/>
    <w:rsid w:val="006758E0"/>
    <w:rsid w:val="00677373"/>
    <w:rsid w:val="00677867"/>
    <w:rsid w:val="006802F7"/>
    <w:rsid w:val="00682A9B"/>
    <w:rsid w:val="00682CBE"/>
    <w:rsid w:val="0068329A"/>
    <w:rsid w:val="006833FE"/>
    <w:rsid w:val="006847B3"/>
    <w:rsid w:val="00684B1A"/>
    <w:rsid w:val="00684ED9"/>
    <w:rsid w:val="00684F8C"/>
    <w:rsid w:val="00685EEA"/>
    <w:rsid w:val="006900C6"/>
    <w:rsid w:val="0069174B"/>
    <w:rsid w:val="00691E0B"/>
    <w:rsid w:val="006A0460"/>
    <w:rsid w:val="006A0751"/>
    <w:rsid w:val="006A159C"/>
    <w:rsid w:val="006A191D"/>
    <w:rsid w:val="006A2CF1"/>
    <w:rsid w:val="006A7969"/>
    <w:rsid w:val="006B0E57"/>
    <w:rsid w:val="006B2EA7"/>
    <w:rsid w:val="006B4D53"/>
    <w:rsid w:val="006B68F5"/>
    <w:rsid w:val="006B69AE"/>
    <w:rsid w:val="006B6AB1"/>
    <w:rsid w:val="006B7CA7"/>
    <w:rsid w:val="006C0ED0"/>
    <w:rsid w:val="006C166B"/>
    <w:rsid w:val="006C2EA6"/>
    <w:rsid w:val="006C415E"/>
    <w:rsid w:val="006C47F8"/>
    <w:rsid w:val="006C4E1A"/>
    <w:rsid w:val="006C4F21"/>
    <w:rsid w:val="006C4F50"/>
    <w:rsid w:val="006C6556"/>
    <w:rsid w:val="006C7196"/>
    <w:rsid w:val="006D2212"/>
    <w:rsid w:val="006D35E9"/>
    <w:rsid w:val="006D4AF0"/>
    <w:rsid w:val="006D5030"/>
    <w:rsid w:val="006D7ED0"/>
    <w:rsid w:val="006E1323"/>
    <w:rsid w:val="006E4F43"/>
    <w:rsid w:val="006E6B83"/>
    <w:rsid w:val="006E7B0E"/>
    <w:rsid w:val="006F0A2F"/>
    <w:rsid w:val="006F0BC1"/>
    <w:rsid w:val="006F1A77"/>
    <w:rsid w:val="006F35D0"/>
    <w:rsid w:val="006F35F8"/>
    <w:rsid w:val="006F39AD"/>
    <w:rsid w:val="006F3E40"/>
    <w:rsid w:val="006F4716"/>
    <w:rsid w:val="006F56BA"/>
    <w:rsid w:val="006F6D85"/>
    <w:rsid w:val="006F7589"/>
    <w:rsid w:val="00702735"/>
    <w:rsid w:val="007037A9"/>
    <w:rsid w:val="007053CE"/>
    <w:rsid w:val="00705A43"/>
    <w:rsid w:val="00706DDE"/>
    <w:rsid w:val="00707816"/>
    <w:rsid w:val="00710010"/>
    <w:rsid w:val="00710E74"/>
    <w:rsid w:val="00711FA3"/>
    <w:rsid w:val="007131D0"/>
    <w:rsid w:val="00713B57"/>
    <w:rsid w:val="00716B58"/>
    <w:rsid w:val="00717037"/>
    <w:rsid w:val="00717DB5"/>
    <w:rsid w:val="0072035D"/>
    <w:rsid w:val="00720781"/>
    <w:rsid w:val="00720AD1"/>
    <w:rsid w:val="00720CCB"/>
    <w:rsid w:val="0072135E"/>
    <w:rsid w:val="00722665"/>
    <w:rsid w:val="00722DA4"/>
    <w:rsid w:val="0072362A"/>
    <w:rsid w:val="00723C3D"/>
    <w:rsid w:val="00725087"/>
    <w:rsid w:val="00726340"/>
    <w:rsid w:val="00731A4C"/>
    <w:rsid w:val="007368D5"/>
    <w:rsid w:val="00736A90"/>
    <w:rsid w:val="00737E19"/>
    <w:rsid w:val="00740564"/>
    <w:rsid w:val="0074084A"/>
    <w:rsid w:val="00740E7E"/>
    <w:rsid w:val="0074204B"/>
    <w:rsid w:val="00742B2D"/>
    <w:rsid w:val="00743371"/>
    <w:rsid w:val="00743506"/>
    <w:rsid w:val="00745B1B"/>
    <w:rsid w:val="00750859"/>
    <w:rsid w:val="00750E5B"/>
    <w:rsid w:val="00751D89"/>
    <w:rsid w:val="00752639"/>
    <w:rsid w:val="00752F21"/>
    <w:rsid w:val="007530BC"/>
    <w:rsid w:val="00753D0D"/>
    <w:rsid w:val="00754E36"/>
    <w:rsid w:val="00756087"/>
    <w:rsid w:val="00760482"/>
    <w:rsid w:val="007640B0"/>
    <w:rsid w:val="00767386"/>
    <w:rsid w:val="00770BB6"/>
    <w:rsid w:val="00770D3B"/>
    <w:rsid w:val="00772E0C"/>
    <w:rsid w:val="00774D4C"/>
    <w:rsid w:val="0077596E"/>
    <w:rsid w:val="00775BA5"/>
    <w:rsid w:val="00776123"/>
    <w:rsid w:val="00781B6A"/>
    <w:rsid w:val="007823CB"/>
    <w:rsid w:val="00782E80"/>
    <w:rsid w:val="00783FCC"/>
    <w:rsid w:val="00786082"/>
    <w:rsid w:val="00786882"/>
    <w:rsid w:val="00786C4A"/>
    <w:rsid w:val="00790C0B"/>
    <w:rsid w:val="00792839"/>
    <w:rsid w:val="007929DB"/>
    <w:rsid w:val="00792A3D"/>
    <w:rsid w:val="00793C8A"/>
    <w:rsid w:val="00794C3B"/>
    <w:rsid w:val="00795959"/>
    <w:rsid w:val="00796EE2"/>
    <w:rsid w:val="00797469"/>
    <w:rsid w:val="007A09EC"/>
    <w:rsid w:val="007A24F0"/>
    <w:rsid w:val="007A2FD2"/>
    <w:rsid w:val="007A4BA0"/>
    <w:rsid w:val="007B121F"/>
    <w:rsid w:val="007B20F6"/>
    <w:rsid w:val="007B270D"/>
    <w:rsid w:val="007B2C63"/>
    <w:rsid w:val="007B2D08"/>
    <w:rsid w:val="007B2EA0"/>
    <w:rsid w:val="007B39AA"/>
    <w:rsid w:val="007B4E61"/>
    <w:rsid w:val="007B4F4A"/>
    <w:rsid w:val="007B53D2"/>
    <w:rsid w:val="007B550E"/>
    <w:rsid w:val="007C1D71"/>
    <w:rsid w:val="007C3A0B"/>
    <w:rsid w:val="007C52FC"/>
    <w:rsid w:val="007C63A4"/>
    <w:rsid w:val="007C7402"/>
    <w:rsid w:val="007C755A"/>
    <w:rsid w:val="007C7664"/>
    <w:rsid w:val="007C7CA8"/>
    <w:rsid w:val="007D3722"/>
    <w:rsid w:val="007D38C2"/>
    <w:rsid w:val="007D4069"/>
    <w:rsid w:val="007D7E94"/>
    <w:rsid w:val="007E047E"/>
    <w:rsid w:val="007E1378"/>
    <w:rsid w:val="007E14EE"/>
    <w:rsid w:val="007E31A1"/>
    <w:rsid w:val="007E3795"/>
    <w:rsid w:val="007E3935"/>
    <w:rsid w:val="007E4093"/>
    <w:rsid w:val="007E4E39"/>
    <w:rsid w:val="007E7CCE"/>
    <w:rsid w:val="007F06E5"/>
    <w:rsid w:val="007F07D1"/>
    <w:rsid w:val="007F1099"/>
    <w:rsid w:val="007F179A"/>
    <w:rsid w:val="007F35A8"/>
    <w:rsid w:val="007F43DB"/>
    <w:rsid w:val="007F6CC4"/>
    <w:rsid w:val="007F7D7A"/>
    <w:rsid w:val="0080027F"/>
    <w:rsid w:val="00800306"/>
    <w:rsid w:val="00802491"/>
    <w:rsid w:val="008025B2"/>
    <w:rsid w:val="00802DC1"/>
    <w:rsid w:val="00806378"/>
    <w:rsid w:val="00806F06"/>
    <w:rsid w:val="00807006"/>
    <w:rsid w:val="00810830"/>
    <w:rsid w:val="00811D4F"/>
    <w:rsid w:val="00811FAE"/>
    <w:rsid w:val="00813978"/>
    <w:rsid w:val="00814192"/>
    <w:rsid w:val="008155FC"/>
    <w:rsid w:val="00815C4D"/>
    <w:rsid w:val="00816276"/>
    <w:rsid w:val="00816FF0"/>
    <w:rsid w:val="008172FB"/>
    <w:rsid w:val="008201DB"/>
    <w:rsid w:val="00820B53"/>
    <w:rsid w:val="00821384"/>
    <w:rsid w:val="00823999"/>
    <w:rsid w:val="008273E9"/>
    <w:rsid w:val="0082770E"/>
    <w:rsid w:val="00827C45"/>
    <w:rsid w:val="008318ED"/>
    <w:rsid w:val="00832922"/>
    <w:rsid w:val="00833DEB"/>
    <w:rsid w:val="00833E66"/>
    <w:rsid w:val="00834031"/>
    <w:rsid w:val="00834C3B"/>
    <w:rsid w:val="00836559"/>
    <w:rsid w:val="00836F43"/>
    <w:rsid w:val="00837F44"/>
    <w:rsid w:val="0084418B"/>
    <w:rsid w:val="00845CF4"/>
    <w:rsid w:val="00845DC8"/>
    <w:rsid w:val="00845E32"/>
    <w:rsid w:val="00846819"/>
    <w:rsid w:val="00850545"/>
    <w:rsid w:val="0085275E"/>
    <w:rsid w:val="0085345E"/>
    <w:rsid w:val="0085423C"/>
    <w:rsid w:val="00861088"/>
    <w:rsid w:val="00862A96"/>
    <w:rsid w:val="00862F82"/>
    <w:rsid w:val="008649D2"/>
    <w:rsid w:val="00866DCD"/>
    <w:rsid w:val="00870760"/>
    <w:rsid w:val="00870B87"/>
    <w:rsid w:val="00872817"/>
    <w:rsid w:val="00875C40"/>
    <w:rsid w:val="00876F2F"/>
    <w:rsid w:val="00877FB0"/>
    <w:rsid w:val="0088188B"/>
    <w:rsid w:val="0088487E"/>
    <w:rsid w:val="00885F02"/>
    <w:rsid w:val="008862B9"/>
    <w:rsid w:val="00886CB2"/>
    <w:rsid w:val="00891B22"/>
    <w:rsid w:val="008924AF"/>
    <w:rsid w:val="00892F51"/>
    <w:rsid w:val="0089304A"/>
    <w:rsid w:val="00894153"/>
    <w:rsid w:val="008A0EFD"/>
    <w:rsid w:val="008A1E4C"/>
    <w:rsid w:val="008A30C5"/>
    <w:rsid w:val="008A657F"/>
    <w:rsid w:val="008A6C90"/>
    <w:rsid w:val="008B10C1"/>
    <w:rsid w:val="008B20A5"/>
    <w:rsid w:val="008B25FE"/>
    <w:rsid w:val="008B4C95"/>
    <w:rsid w:val="008B54E3"/>
    <w:rsid w:val="008B5B72"/>
    <w:rsid w:val="008B5F76"/>
    <w:rsid w:val="008B6B85"/>
    <w:rsid w:val="008B7023"/>
    <w:rsid w:val="008B7CCD"/>
    <w:rsid w:val="008B7EA9"/>
    <w:rsid w:val="008C05BC"/>
    <w:rsid w:val="008C1975"/>
    <w:rsid w:val="008C4B00"/>
    <w:rsid w:val="008C4B1A"/>
    <w:rsid w:val="008C5BC0"/>
    <w:rsid w:val="008C66FF"/>
    <w:rsid w:val="008C7433"/>
    <w:rsid w:val="008D086D"/>
    <w:rsid w:val="008D0F13"/>
    <w:rsid w:val="008D1489"/>
    <w:rsid w:val="008D2284"/>
    <w:rsid w:val="008D5359"/>
    <w:rsid w:val="008D56AC"/>
    <w:rsid w:val="008D6984"/>
    <w:rsid w:val="008D6DCB"/>
    <w:rsid w:val="008E29C8"/>
    <w:rsid w:val="008E3164"/>
    <w:rsid w:val="008E407F"/>
    <w:rsid w:val="008E5730"/>
    <w:rsid w:val="008E6411"/>
    <w:rsid w:val="008E6691"/>
    <w:rsid w:val="008E774C"/>
    <w:rsid w:val="008F1E6A"/>
    <w:rsid w:val="008F337E"/>
    <w:rsid w:val="008F3E64"/>
    <w:rsid w:val="008F4E6E"/>
    <w:rsid w:val="008F6570"/>
    <w:rsid w:val="008F76B8"/>
    <w:rsid w:val="00900767"/>
    <w:rsid w:val="009029FC"/>
    <w:rsid w:val="00903ABC"/>
    <w:rsid w:val="0090443D"/>
    <w:rsid w:val="00904C44"/>
    <w:rsid w:val="00905577"/>
    <w:rsid w:val="009060FA"/>
    <w:rsid w:val="0090681E"/>
    <w:rsid w:val="009074CA"/>
    <w:rsid w:val="00910F80"/>
    <w:rsid w:val="0091176A"/>
    <w:rsid w:val="009127EF"/>
    <w:rsid w:val="00912AC0"/>
    <w:rsid w:val="00913690"/>
    <w:rsid w:val="0091407F"/>
    <w:rsid w:val="00914207"/>
    <w:rsid w:val="00915AC1"/>
    <w:rsid w:val="009170C0"/>
    <w:rsid w:val="00917430"/>
    <w:rsid w:val="00920135"/>
    <w:rsid w:val="00920CDF"/>
    <w:rsid w:val="00923124"/>
    <w:rsid w:val="00923576"/>
    <w:rsid w:val="00930B0D"/>
    <w:rsid w:val="00933260"/>
    <w:rsid w:val="00933EDB"/>
    <w:rsid w:val="009345E9"/>
    <w:rsid w:val="009352D0"/>
    <w:rsid w:val="00935A72"/>
    <w:rsid w:val="00936142"/>
    <w:rsid w:val="009365F7"/>
    <w:rsid w:val="009405A7"/>
    <w:rsid w:val="00945733"/>
    <w:rsid w:val="00945CA7"/>
    <w:rsid w:val="00945E23"/>
    <w:rsid w:val="009461E3"/>
    <w:rsid w:val="00946906"/>
    <w:rsid w:val="009473A3"/>
    <w:rsid w:val="00950EB7"/>
    <w:rsid w:val="009515E2"/>
    <w:rsid w:val="0095247A"/>
    <w:rsid w:val="00953D43"/>
    <w:rsid w:val="00953DB7"/>
    <w:rsid w:val="009558C0"/>
    <w:rsid w:val="00955EA2"/>
    <w:rsid w:val="0095610C"/>
    <w:rsid w:val="00957281"/>
    <w:rsid w:val="0095772F"/>
    <w:rsid w:val="0095789A"/>
    <w:rsid w:val="0096070A"/>
    <w:rsid w:val="00960AC8"/>
    <w:rsid w:val="00960C6C"/>
    <w:rsid w:val="00961004"/>
    <w:rsid w:val="009625BF"/>
    <w:rsid w:val="00962E9C"/>
    <w:rsid w:val="00964561"/>
    <w:rsid w:val="00966A63"/>
    <w:rsid w:val="00967803"/>
    <w:rsid w:val="00967A3D"/>
    <w:rsid w:val="009704C1"/>
    <w:rsid w:val="009707FF"/>
    <w:rsid w:val="00970D73"/>
    <w:rsid w:val="009727F9"/>
    <w:rsid w:val="00974533"/>
    <w:rsid w:val="00975915"/>
    <w:rsid w:val="009760AD"/>
    <w:rsid w:val="00976104"/>
    <w:rsid w:val="009822AB"/>
    <w:rsid w:val="009826BF"/>
    <w:rsid w:val="009848CF"/>
    <w:rsid w:val="00985217"/>
    <w:rsid w:val="0098645F"/>
    <w:rsid w:val="00986529"/>
    <w:rsid w:val="00990A41"/>
    <w:rsid w:val="009910D7"/>
    <w:rsid w:val="009923F0"/>
    <w:rsid w:val="00992742"/>
    <w:rsid w:val="00992850"/>
    <w:rsid w:val="00996B22"/>
    <w:rsid w:val="00997047"/>
    <w:rsid w:val="009975BF"/>
    <w:rsid w:val="009A0C76"/>
    <w:rsid w:val="009A0FEE"/>
    <w:rsid w:val="009A12AC"/>
    <w:rsid w:val="009A2504"/>
    <w:rsid w:val="009A290E"/>
    <w:rsid w:val="009A3CF3"/>
    <w:rsid w:val="009A4725"/>
    <w:rsid w:val="009A4793"/>
    <w:rsid w:val="009A6BF7"/>
    <w:rsid w:val="009A6EAE"/>
    <w:rsid w:val="009A7565"/>
    <w:rsid w:val="009B012C"/>
    <w:rsid w:val="009B0305"/>
    <w:rsid w:val="009B0C81"/>
    <w:rsid w:val="009B13FF"/>
    <w:rsid w:val="009B2044"/>
    <w:rsid w:val="009B4765"/>
    <w:rsid w:val="009B4CDB"/>
    <w:rsid w:val="009B5562"/>
    <w:rsid w:val="009B572C"/>
    <w:rsid w:val="009B5CF5"/>
    <w:rsid w:val="009C1F28"/>
    <w:rsid w:val="009C4274"/>
    <w:rsid w:val="009C5E5D"/>
    <w:rsid w:val="009C7E28"/>
    <w:rsid w:val="009D2B81"/>
    <w:rsid w:val="009D4AB4"/>
    <w:rsid w:val="009D6692"/>
    <w:rsid w:val="009D6BFB"/>
    <w:rsid w:val="009D6CD9"/>
    <w:rsid w:val="009D6E43"/>
    <w:rsid w:val="009D77A2"/>
    <w:rsid w:val="009E0010"/>
    <w:rsid w:val="009E07AB"/>
    <w:rsid w:val="009E60B2"/>
    <w:rsid w:val="009E6777"/>
    <w:rsid w:val="009F1DBC"/>
    <w:rsid w:val="009F555C"/>
    <w:rsid w:val="009F56E0"/>
    <w:rsid w:val="009F59E0"/>
    <w:rsid w:val="009F6E6D"/>
    <w:rsid w:val="009F7122"/>
    <w:rsid w:val="00A00456"/>
    <w:rsid w:val="00A00627"/>
    <w:rsid w:val="00A00C49"/>
    <w:rsid w:val="00A0138F"/>
    <w:rsid w:val="00A013F0"/>
    <w:rsid w:val="00A01D52"/>
    <w:rsid w:val="00A02F3B"/>
    <w:rsid w:val="00A0381C"/>
    <w:rsid w:val="00A039E2"/>
    <w:rsid w:val="00A040EA"/>
    <w:rsid w:val="00A04333"/>
    <w:rsid w:val="00A04389"/>
    <w:rsid w:val="00A07BEC"/>
    <w:rsid w:val="00A1061A"/>
    <w:rsid w:val="00A12166"/>
    <w:rsid w:val="00A12670"/>
    <w:rsid w:val="00A128BA"/>
    <w:rsid w:val="00A130F3"/>
    <w:rsid w:val="00A152BC"/>
    <w:rsid w:val="00A15913"/>
    <w:rsid w:val="00A15929"/>
    <w:rsid w:val="00A1598F"/>
    <w:rsid w:val="00A16B42"/>
    <w:rsid w:val="00A17D66"/>
    <w:rsid w:val="00A2061A"/>
    <w:rsid w:val="00A21757"/>
    <w:rsid w:val="00A24600"/>
    <w:rsid w:val="00A2483A"/>
    <w:rsid w:val="00A24AB7"/>
    <w:rsid w:val="00A25D18"/>
    <w:rsid w:val="00A25FDC"/>
    <w:rsid w:val="00A30D68"/>
    <w:rsid w:val="00A30DBC"/>
    <w:rsid w:val="00A314F5"/>
    <w:rsid w:val="00A3330D"/>
    <w:rsid w:val="00A3363B"/>
    <w:rsid w:val="00A3540F"/>
    <w:rsid w:val="00A356C9"/>
    <w:rsid w:val="00A35F94"/>
    <w:rsid w:val="00A36FD7"/>
    <w:rsid w:val="00A37B5B"/>
    <w:rsid w:val="00A41EA9"/>
    <w:rsid w:val="00A453F5"/>
    <w:rsid w:val="00A464C2"/>
    <w:rsid w:val="00A46CEF"/>
    <w:rsid w:val="00A516CE"/>
    <w:rsid w:val="00A51B7F"/>
    <w:rsid w:val="00A52379"/>
    <w:rsid w:val="00A52409"/>
    <w:rsid w:val="00A5351E"/>
    <w:rsid w:val="00A54F32"/>
    <w:rsid w:val="00A55064"/>
    <w:rsid w:val="00A6138C"/>
    <w:rsid w:val="00A62B95"/>
    <w:rsid w:val="00A64C7F"/>
    <w:rsid w:val="00A66AB3"/>
    <w:rsid w:val="00A671B0"/>
    <w:rsid w:val="00A67312"/>
    <w:rsid w:val="00A67824"/>
    <w:rsid w:val="00A714F4"/>
    <w:rsid w:val="00A71CBE"/>
    <w:rsid w:val="00A74724"/>
    <w:rsid w:val="00A750DC"/>
    <w:rsid w:val="00A75AAD"/>
    <w:rsid w:val="00A76E15"/>
    <w:rsid w:val="00A7751D"/>
    <w:rsid w:val="00A8081D"/>
    <w:rsid w:val="00A81741"/>
    <w:rsid w:val="00A81F15"/>
    <w:rsid w:val="00A82673"/>
    <w:rsid w:val="00A82727"/>
    <w:rsid w:val="00A827C6"/>
    <w:rsid w:val="00A841F9"/>
    <w:rsid w:val="00A84262"/>
    <w:rsid w:val="00A85A77"/>
    <w:rsid w:val="00A86A59"/>
    <w:rsid w:val="00A87739"/>
    <w:rsid w:val="00A879D7"/>
    <w:rsid w:val="00A9171E"/>
    <w:rsid w:val="00A9184D"/>
    <w:rsid w:val="00A92121"/>
    <w:rsid w:val="00A966DC"/>
    <w:rsid w:val="00AA0318"/>
    <w:rsid w:val="00AA26F1"/>
    <w:rsid w:val="00AA30CA"/>
    <w:rsid w:val="00AA412D"/>
    <w:rsid w:val="00AA596B"/>
    <w:rsid w:val="00AA5A6F"/>
    <w:rsid w:val="00AA6BC8"/>
    <w:rsid w:val="00AB07DE"/>
    <w:rsid w:val="00AB0A95"/>
    <w:rsid w:val="00AB1B77"/>
    <w:rsid w:val="00AB2DAE"/>
    <w:rsid w:val="00AB5004"/>
    <w:rsid w:val="00AB6006"/>
    <w:rsid w:val="00AB63DC"/>
    <w:rsid w:val="00AC0E9F"/>
    <w:rsid w:val="00AC61B7"/>
    <w:rsid w:val="00AC6A63"/>
    <w:rsid w:val="00AC701B"/>
    <w:rsid w:val="00AC7D66"/>
    <w:rsid w:val="00AD00E3"/>
    <w:rsid w:val="00AD1049"/>
    <w:rsid w:val="00AD1DE5"/>
    <w:rsid w:val="00AD2A0E"/>
    <w:rsid w:val="00AD2D1E"/>
    <w:rsid w:val="00AD3C48"/>
    <w:rsid w:val="00AD48D7"/>
    <w:rsid w:val="00AD5855"/>
    <w:rsid w:val="00AD7244"/>
    <w:rsid w:val="00AD79E4"/>
    <w:rsid w:val="00AE01C0"/>
    <w:rsid w:val="00AE031F"/>
    <w:rsid w:val="00AE0F43"/>
    <w:rsid w:val="00AE14A3"/>
    <w:rsid w:val="00AE1534"/>
    <w:rsid w:val="00AE1D90"/>
    <w:rsid w:val="00AE2E1C"/>
    <w:rsid w:val="00AE358A"/>
    <w:rsid w:val="00AE3677"/>
    <w:rsid w:val="00AE3A34"/>
    <w:rsid w:val="00AE3BB3"/>
    <w:rsid w:val="00AE3DF9"/>
    <w:rsid w:val="00AE4F5D"/>
    <w:rsid w:val="00AE5886"/>
    <w:rsid w:val="00AE7BCD"/>
    <w:rsid w:val="00AF0623"/>
    <w:rsid w:val="00AF0BE5"/>
    <w:rsid w:val="00AF0F20"/>
    <w:rsid w:val="00AF142F"/>
    <w:rsid w:val="00AF1690"/>
    <w:rsid w:val="00AF1BDB"/>
    <w:rsid w:val="00AF25AA"/>
    <w:rsid w:val="00AF6489"/>
    <w:rsid w:val="00AF665F"/>
    <w:rsid w:val="00AF6757"/>
    <w:rsid w:val="00AF7D32"/>
    <w:rsid w:val="00B005FB"/>
    <w:rsid w:val="00B0085B"/>
    <w:rsid w:val="00B01ABB"/>
    <w:rsid w:val="00B022F1"/>
    <w:rsid w:val="00B0278F"/>
    <w:rsid w:val="00B054BB"/>
    <w:rsid w:val="00B057F2"/>
    <w:rsid w:val="00B05FD9"/>
    <w:rsid w:val="00B068DB"/>
    <w:rsid w:val="00B06B37"/>
    <w:rsid w:val="00B12873"/>
    <w:rsid w:val="00B15508"/>
    <w:rsid w:val="00B155E8"/>
    <w:rsid w:val="00B15C36"/>
    <w:rsid w:val="00B1789B"/>
    <w:rsid w:val="00B215CA"/>
    <w:rsid w:val="00B25085"/>
    <w:rsid w:val="00B25325"/>
    <w:rsid w:val="00B25909"/>
    <w:rsid w:val="00B2659E"/>
    <w:rsid w:val="00B277BD"/>
    <w:rsid w:val="00B30452"/>
    <w:rsid w:val="00B305C1"/>
    <w:rsid w:val="00B315D9"/>
    <w:rsid w:val="00B326F2"/>
    <w:rsid w:val="00B33895"/>
    <w:rsid w:val="00B3398B"/>
    <w:rsid w:val="00B342F0"/>
    <w:rsid w:val="00B3487B"/>
    <w:rsid w:val="00B35FF2"/>
    <w:rsid w:val="00B36028"/>
    <w:rsid w:val="00B36BA4"/>
    <w:rsid w:val="00B37508"/>
    <w:rsid w:val="00B37BDE"/>
    <w:rsid w:val="00B4520D"/>
    <w:rsid w:val="00B475FA"/>
    <w:rsid w:val="00B47E0A"/>
    <w:rsid w:val="00B50972"/>
    <w:rsid w:val="00B50EE3"/>
    <w:rsid w:val="00B515D3"/>
    <w:rsid w:val="00B515D5"/>
    <w:rsid w:val="00B53B62"/>
    <w:rsid w:val="00B53DD2"/>
    <w:rsid w:val="00B54C22"/>
    <w:rsid w:val="00B55487"/>
    <w:rsid w:val="00B57A40"/>
    <w:rsid w:val="00B6187B"/>
    <w:rsid w:val="00B6242F"/>
    <w:rsid w:val="00B651A2"/>
    <w:rsid w:val="00B65862"/>
    <w:rsid w:val="00B66C8D"/>
    <w:rsid w:val="00B6731F"/>
    <w:rsid w:val="00B677D0"/>
    <w:rsid w:val="00B67CC4"/>
    <w:rsid w:val="00B713ED"/>
    <w:rsid w:val="00B71511"/>
    <w:rsid w:val="00B71E8D"/>
    <w:rsid w:val="00B7299C"/>
    <w:rsid w:val="00B72EBA"/>
    <w:rsid w:val="00B732FF"/>
    <w:rsid w:val="00B741F3"/>
    <w:rsid w:val="00B751DC"/>
    <w:rsid w:val="00B75CA7"/>
    <w:rsid w:val="00B75D7D"/>
    <w:rsid w:val="00B774D7"/>
    <w:rsid w:val="00B8085F"/>
    <w:rsid w:val="00B8280D"/>
    <w:rsid w:val="00B839C8"/>
    <w:rsid w:val="00B8515D"/>
    <w:rsid w:val="00B85897"/>
    <w:rsid w:val="00B86979"/>
    <w:rsid w:val="00B86C5E"/>
    <w:rsid w:val="00B91263"/>
    <w:rsid w:val="00B914D7"/>
    <w:rsid w:val="00B92413"/>
    <w:rsid w:val="00B954BA"/>
    <w:rsid w:val="00B964B8"/>
    <w:rsid w:val="00B976D8"/>
    <w:rsid w:val="00B97D45"/>
    <w:rsid w:val="00BA00BD"/>
    <w:rsid w:val="00BA08B0"/>
    <w:rsid w:val="00BA1073"/>
    <w:rsid w:val="00BA2285"/>
    <w:rsid w:val="00BA4C72"/>
    <w:rsid w:val="00BA4FFA"/>
    <w:rsid w:val="00BB4BB9"/>
    <w:rsid w:val="00BB5B9D"/>
    <w:rsid w:val="00BB5D32"/>
    <w:rsid w:val="00BB796F"/>
    <w:rsid w:val="00BB7B96"/>
    <w:rsid w:val="00BB7E8B"/>
    <w:rsid w:val="00BC014C"/>
    <w:rsid w:val="00BC02BF"/>
    <w:rsid w:val="00BC12DD"/>
    <w:rsid w:val="00BC5190"/>
    <w:rsid w:val="00BC60F0"/>
    <w:rsid w:val="00BC6AA2"/>
    <w:rsid w:val="00BC6BC3"/>
    <w:rsid w:val="00BC7595"/>
    <w:rsid w:val="00BD16D3"/>
    <w:rsid w:val="00BD3C9A"/>
    <w:rsid w:val="00BD503E"/>
    <w:rsid w:val="00BD5451"/>
    <w:rsid w:val="00BE38F0"/>
    <w:rsid w:val="00BE495E"/>
    <w:rsid w:val="00BE6922"/>
    <w:rsid w:val="00BE6B86"/>
    <w:rsid w:val="00BF0FC6"/>
    <w:rsid w:val="00BF2203"/>
    <w:rsid w:val="00BF230D"/>
    <w:rsid w:val="00BF2AA7"/>
    <w:rsid w:val="00BF41BA"/>
    <w:rsid w:val="00BF54F9"/>
    <w:rsid w:val="00BF5E60"/>
    <w:rsid w:val="00BF65AB"/>
    <w:rsid w:val="00BF7190"/>
    <w:rsid w:val="00BF7E5A"/>
    <w:rsid w:val="00C018DA"/>
    <w:rsid w:val="00C04F4F"/>
    <w:rsid w:val="00C050BA"/>
    <w:rsid w:val="00C057E0"/>
    <w:rsid w:val="00C07326"/>
    <w:rsid w:val="00C07E5F"/>
    <w:rsid w:val="00C12879"/>
    <w:rsid w:val="00C14B7F"/>
    <w:rsid w:val="00C155C7"/>
    <w:rsid w:val="00C15C6D"/>
    <w:rsid w:val="00C16501"/>
    <w:rsid w:val="00C16AB3"/>
    <w:rsid w:val="00C16D71"/>
    <w:rsid w:val="00C17233"/>
    <w:rsid w:val="00C176B6"/>
    <w:rsid w:val="00C2006C"/>
    <w:rsid w:val="00C20886"/>
    <w:rsid w:val="00C22E8A"/>
    <w:rsid w:val="00C25CC6"/>
    <w:rsid w:val="00C27741"/>
    <w:rsid w:val="00C27DF9"/>
    <w:rsid w:val="00C309ED"/>
    <w:rsid w:val="00C31673"/>
    <w:rsid w:val="00C31BC3"/>
    <w:rsid w:val="00C33048"/>
    <w:rsid w:val="00C33503"/>
    <w:rsid w:val="00C346CD"/>
    <w:rsid w:val="00C349F6"/>
    <w:rsid w:val="00C35DBA"/>
    <w:rsid w:val="00C36467"/>
    <w:rsid w:val="00C37A95"/>
    <w:rsid w:val="00C37EFE"/>
    <w:rsid w:val="00C4084C"/>
    <w:rsid w:val="00C4320F"/>
    <w:rsid w:val="00C440AD"/>
    <w:rsid w:val="00C44549"/>
    <w:rsid w:val="00C45BF9"/>
    <w:rsid w:val="00C47CA9"/>
    <w:rsid w:val="00C47F7C"/>
    <w:rsid w:val="00C50ABD"/>
    <w:rsid w:val="00C51781"/>
    <w:rsid w:val="00C51C00"/>
    <w:rsid w:val="00C5272A"/>
    <w:rsid w:val="00C5376B"/>
    <w:rsid w:val="00C544CB"/>
    <w:rsid w:val="00C54DAC"/>
    <w:rsid w:val="00C559A6"/>
    <w:rsid w:val="00C5621D"/>
    <w:rsid w:val="00C578C7"/>
    <w:rsid w:val="00C603D6"/>
    <w:rsid w:val="00C60494"/>
    <w:rsid w:val="00C61504"/>
    <w:rsid w:val="00C63B30"/>
    <w:rsid w:val="00C67BFF"/>
    <w:rsid w:val="00C719AB"/>
    <w:rsid w:val="00C720A3"/>
    <w:rsid w:val="00C73300"/>
    <w:rsid w:val="00C742F8"/>
    <w:rsid w:val="00C7506C"/>
    <w:rsid w:val="00C77E46"/>
    <w:rsid w:val="00C80A46"/>
    <w:rsid w:val="00C8497C"/>
    <w:rsid w:val="00C903FA"/>
    <w:rsid w:val="00C9154F"/>
    <w:rsid w:val="00C91E93"/>
    <w:rsid w:val="00C92D6B"/>
    <w:rsid w:val="00C94A36"/>
    <w:rsid w:val="00C94E92"/>
    <w:rsid w:val="00CA005F"/>
    <w:rsid w:val="00CA0F8F"/>
    <w:rsid w:val="00CA25FB"/>
    <w:rsid w:val="00CA28E1"/>
    <w:rsid w:val="00CA320C"/>
    <w:rsid w:val="00CA4F9E"/>
    <w:rsid w:val="00CA7DA3"/>
    <w:rsid w:val="00CB08B3"/>
    <w:rsid w:val="00CB3F61"/>
    <w:rsid w:val="00CB443A"/>
    <w:rsid w:val="00CB49B8"/>
    <w:rsid w:val="00CB7B6F"/>
    <w:rsid w:val="00CC00C2"/>
    <w:rsid w:val="00CC0254"/>
    <w:rsid w:val="00CC1AD5"/>
    <w:rsid w:val="00CC1C76"/>
    <w:rsid w:val="00CC1EFC"/>
    <w:rsid w:val="00CC2232"/>
    <w:rsid w:val="00CC28DB"/>
    <w:rsid w:val="00CC33A3"/>
    <w:rsid w:val="00CC48BC"/>
    <w:rsid w:val="00CC509C"/>
    <w:rsid w:val="00CC5C73"/>
    <w:rsid w:val="00CC696E"/>
    <w:rsid w:val="00CC6B1A"/>
    <w:rsid w:val="00CC6B1D"/>
    <w:rsid w:val="00CD2573"/>
    <w:rsid w:val="00CD4E9A"/>
    <w:rsid w:val="00CD661B"/>
    <w:rsid w:val="00CD77D6"/>
    <w:rsid w:val="00CE0CA7"/>
    <w:rsid w:val="00CE1800"/>
    <w:rsid w:val="00CE1878"/>
    <w:rsid w:val="00CE51C7"/>
    <w:rsid w:val="00CE5473"/>
    <w:rsid w:val="00CE5A5A"/>
    <w:rsid w:val="00CE5C32"/>
    <w:rsid w:val="00CE7D66"/>
    <w:rsid w:val="00CE7F93"/>
    <w:rsid w:val="00CF071C"/>
    <w:rsid w:val="00CF1273"/>
    <w:rsid w:val="00CF154B"/>
    <w:rsid w:val="00CF1D8C"/>
    <w:rsid w:val="00CF331D"/>
    <w:rsid w:val="00CF3798"/>
    <w:rsid w:val="00CF408F"/>
    <w:rsid w:val="00CF452E"/>
    <w:rsid w:val="00CF4DFF"/>
    <w:rsid w:val="00CF6B41"/>
    <w:rsid w:val="00CF71A5"/>
    <w:rsid w:val="00D004F2"/>
    <w:rsid w:val="00D00972"/>
    <w:rsid w:val="00D00C04"/>
    <w:rsid w:val="00D02579"/>
    <w:rsid w:val="00D0366C"/>
    <w:rsid w:val="00D03E26"/>
    <w:rsid w:val="00D04102"/>
    <w:rsid w:val="00D064F0"/>
    <w:rsid w:val="00D103C4"/>
    <w:rsid w:val="00D118DD"/>
    <w:rsid w:val="00D11C9D"/>
    <w:rsid w:val="00D127B0"/>
    <w:rsid w:val="00D1291E"/>
    <w:rsid w:val="00D13B1D"/>
    <w:rsid w:val="00D14240"/>
    <w:rsid w:val="00D14FDF"/>
    <w:rsid w:val="00D152AB"/>
    <w:rsid w:val="00D170BD"/>
    <w:rsid w:val="00D22C67"/>
    <w:rsid w:val="00D23826"/>
    <w:rsid w:val="00D24694"/>
    <w:rsid w:val="00D24BF7"/>
    <w:rsid w:val="00D26DCB"/>
    <w:rsid w:val="00D301F2"/>
    <w:rsid w:val="00D30A0A"/>
    <w:rsid w:val="00D30E1C"/>
    <w:rsid w:val="00D313DC"/>
    <w:rsid w:val="00D31582"/>
    <w:rsid w:val="00D31964"/>
    <w:rsid w:val="00D31C78"/>
    <w:rsid w:val="00D32171"/>
    <w:rsid w:val="00D32400"/>
    <w:rsid w:val="00D33D42"/>
    <w:rsid w:val="00D356DD"/>
    <w:rsid w:val="00D35761"/>
    <w:rsid w:val="00D41269"/>
    <w:rsid w:val="00D44CFA"/>
    <w:rsid w:val="00D45B51"/>
    <w:rsid w:val="00D45BB0"/>
    <w:rsid w:val="00D46146"/>
    <w:rsid w:val="00D46294"/>
    <w:rsid w:val="00D51401"/>
    <w:rsid w:val="00D51580"/>
    <w:rsid w:val="00D52004"/>
    <w:rsid w:val="00D52DD0"/>
    <w:rsid w:val="00D53469"/>
    <w:rsid w:val="00D54359"/>
    <w:rsid w:val="00D54FC7"/>
    <w:rsid w:val="00D60937"/>
    <w:rsid w:val="00D62399"/>
    <w:rsid w:val="00D63CF0"/>
    <w:rsid w:val="00D64EA7"/>
    <w:rsid w:val="00D67FE8"/>
    <w:rsid w:val="00D707C1"/>
    <w:rsid w:val="00D71722"/>
    <w:rsid w:val="00D71F4D"/>
    <w:rsid w:val="00D72612"/>
    <w:rsid w:val="00D7348C"/>
    <w:rsid w:val="00D737B2"/>
    <w:rsid w:val="00D7389A"/>
    <w:rsid w:val="00D748AB"/>
    <w:rsid w:val="00D74FB9"/>
    <w:rsid w:val="00D753FA"/>
    <w:rsid w:val="00D75922"/>
    <w:rsid w:val="00D75EBE"/>
    <w:rsid w:val="00D75F23"/>
    <w:rsid w:val="00D76B0C"/>
    <w:rsid w:val="00D77187"/>
    <w:rsid w:val="00D77705"/>
    <w:rsid w:val="00D80B7B"/>
    <w:rsid w:val="00D80C0C"/>
    <w:rsid w:val="00D813FD"/>
    <w:rsid w:val="00D825EC"/>
    <w:rsid w:val="00D8260D"/>
    <w:rsid w:val="00D82C51"/>
    <w:rsid w:val="00D82C6F"/>
    <w:rsid w:val="00D83BE6"/>
    <w:rsid w:val="00D84198"/>
    <w:rsid w:val="00D86252"/>
    <w:rsid w:val="00D86D9A"/>
    <w:rsid w:val="00D873D5"/>
    <w:rsid w:val="00D90757"/>
    <w:rsid w:val="00D90D46"/>
    <w:rsid w:val="00D9176F"/>
    <w:rsid w:val="00D91915"/>
    <w:rsid w:val="00D943BF"/>
    <w:rsid w:val="00D94965"/>
    <w:rsid w:val="00D97202"/>
    <w:rsid w:val="00D97A6C"/>
    <w:rsid w:val="00DA1389"/>
    <w:rsid w:val="00DA161F"/>
    <w:rsid w:val="00DA39AC"/>
    <w:rsid w:val="00DA3D5B"/>
    <w:rsid w:val="00DA47B7"/>
    <w:rsid w:val="00DA5143"/>
    <w:rsid w:val="00DA521D"/>
    <w:rsid w:val="00DA5858"/>
    <w:rsid w:val="00DA5E8F"/>
    <w:rsid w:val="00DA734B"/>
    <w:rsid w:val="00DB04F0"/>
    <w:rsid w:val="00DB2147"/>
    <w:rsid w:val="00DB37B4"/>
    <w:rsid w:val="00DB6452"/>
    <w:rsid w:val="00DB6A67"/>
    <w:rsid w:val="00DB7CED"/>
    <w:rsid w:val="00DC1743"/>
    <w:rsid w:val="00DC27AB"/>
    <w:rsid w:val="00DC3C64"/>
    <w:rsid w:val="00DC42E7"/>
    <w:rsid w:val="00DC4EB5"/>
    <w:rsid w:val="00DC7107"/>
    <w:rsid w:val="00DD06E2"/>
    <w:rsid w:val="00DD0D5F"/>
    <w:rsid w:val="00DD34D4"/>
    <w:rsid w:val="00DD3A74"/>
    <w:rsid w:val="00DD3AFA"/>
    <w:rsid w:val="00DD4D83"/>
    <w:rsid w:val="00DD5020"/>
    <w:rsid w:val="00DE03FA"/>
    <w:rsid w:val="00DE131E"/>
    <w:rsid w:val="00DE32BA"/>
    <w:rsid w:val="00DE44CC"/>
    <w:rsid w:val="00DE7790"/>
    <w:rsid w:val="00DF1458"/>
    <w:rsid w:val="00DF34EF"/>
    <w:rsid w:val="00DF459D"/>
    <w:rsid w:val="00DF48DC"/>
    <w:rsid w:val="00DF4B9A"/>
    <w:rsid w:val="00DF62FE"/>
    <w:rsid w:val="00DF69B5"/>
    <w:rsid w:val="00DF756E"/>
    <w:rsid w:val="00DF7769"/>
    <w:rsid w:val="00E003BC"/>
    <w:rsid w:val="00E008FA"/>
    <w:rsid w:val="00E01B91"/>
    <w:rsid w:val="00E02214"/>
    <w:rsid w:val="00E02357"/>
    <w:rsid w:val="00E028E0"/>
    <w:rsid w:val="00E03C9A"/>
    <w:rsid w:val="00E04DB2"/>
    <w:rsid w:val="00E05CFA"/>
    <w:rsid w:val="00E06B0A"/>
    <w:rsid w:val="00E07C6F"/>
    <w:rsid w:val="00E10E5E"/>
    <w:rsid w:val="00E168F1"/>
    <w:rsid w:val="00E169D2"/>
    <w:rsid w:val="00E17C49"/>
    <w:rsid w:val="00E21922"/>
    <w:rsid w:val="00E24323"/>
    <w:rsid w:val="00E249E4"/>
    <w:rsid w:val="00E26026"/>
    <w:rsid w:val="00E260B4"/>
    <w:rsid w:val="00E27360"/>
    <w:rsid w:val="00E30319"/>
    <w:rsid w:val="00E30FB1"/>
    <w:rsid w:val="00E31B42"/>
    <w:rsid w:val="00E32DA4"/>
    <w:rsid w:val="00E32ED8"/>
    <w:rsid w:val="00E33EC3"/>
    <w:rsid w:val="00E3406E"/>
    <w:rsid w:val="00E355F4"/>
    <w:rsid w:val="00E35CF2"/>
    <w:rsid w:val="00E3784F"/>
    <w:rsid w:val="00E4060A"/>
    <w:rsid w:val="00E40D21"/>
    <w:rsid w:val="00E43672"/>
    <w:rsid w:val="00E43798"/>
    <w:rsid w:val="00E43BC1"/>
    <w:rsid w:val="00E453FC"/>
    <w:rsid w:val="00E45EBB"/>
    <w:rsid w:val="00E467E0"/>
    <w:rsid w:val="00E4735C"/>
    <w:rsid w:val="00E55298"/>
    <w:rsid w:val="00E556D9"/>
    <w:rsid w:val="00E61453"/>
    <w:rsid w:val="00E61702"/>
    <w:rsid w:val="00E627FA"/>
    <w:rsid w:val="00E628C1"/>
    <w:rsid w:val="00E63DC1"/>
    <w:rsid w:val="00E64A29"/>
    <w:rsid w:val="00E64E51"/>
    <w:rsid w:val="00E668B3"/>
    <w:rsid w:val="00E66906"/>
    <w:rsid w:val="00E67B52"/>
    <w:rsid w:val="00E715E8"/>
    <w:rsid w:val="00E721A0"/>
    <w:rsid w:val="00E7593D"/>
    <w:rsid w:val="00E76063"/>
    <w:rsid w:val="00E80AA2"/>
    <w:rsid w:val="00E80F63"/>
    <w:rsid w:val="00E81F76"/>
    <w:rsid w:val="00E821AD"/>
    <w:rsid w:val="00E84EE8"/>
    <w:rsid w:val="00E852A9"/>
    <w:rsid w:val="00E859CB"/>
    <w:rsid w:val="00E86187"/>
    <w:rsid w:val="00E92A70"/>
    <w:rsid w:val="00E93E6B"/>
    <w:rsid w:val="00E93F4C"/>
    <w:rsid w:val="00E942F0"/>
    <w:rsid w:val="00E94722"/>
    <w:rsid w:val="00E95A67"/>
    <w:rsid w:val="00E95AB5"/>
    <w:rsid w:val="00E96A52"/>
    <w:rsid w:val="00EA0929"/>
    <w:rsid w:val="00EA0F64"/>
    <w:rsid w:val="00EA16A7"/>
    <w:rsid w:val="00EA1AA6"/>
    <w:rsid w:val="00EA1CB9"/>
    <w:rsid w:val="00EA3F33"/>
    <w:rsid w:val="00EA4064"/>
    <w:rsid w:val="00EA48CE"/>
    <w:rsid w:val="00EA5299"/>
    <w:rsid w:val="00EB17E1"/>
    <w:rsid w:val="00EB2209"/>
    <w:rsid w:val="00EB3480"/>
    <w:rsid w:val="00EB44BC"/>
    <w:rsid w:val="00EB44E6"/>
    <w:rsid w:val="00EB5A4E"/>
    <w:rsid w:val="00EC0901"/>
    <w:rsid w:val="00EC1710"/>
    <w:rsid w:val="00EC1D11"/>
    <w:rsid w:val="00EC216C"/>
    <w:rsid w:val="00EC22DE"/>
    <w:rsid w:val="00EC276D"/>
    <w:rsid w:val="00EC42CE"/>
    <w:rsid w:val="00EC44B2"/>
    <w:rsid w:val="00EC55C2"/>
    <w:rsid w:val="00EC6E16"/>
    <w:rsid w:val="00EC736A"/>
    <w:rsid w:val="00ED1049"/>
    <w:rsid w:val="00ED158D"/>
    <w:rsid w:val="00ED1758"/>
    <w:rsid w:val="00ED1E50"/>
    <w:rsid w:val="00ED1FE4"/>
    <w:rsid w:val="00ED2558"/>
    <w:rsid w:val="00ED3586"/>
    <w:rsid w:val="00EE245F"/>
    <w:rsid w:val="00EE33FC"/>
    <w:rsid w:val="00EE4402"/>
    <w:rsid w:val="00EE72D3"/>
    <w:rsid w:val="00EE7FD1"/>
    <w:rsid w:val="00EF089A"/>
    <w:rsid w:val="00EF12F5"/>
    <w:rsid w:val="00EF2C32"/>
    <w:rsid w:val="00F01812"/>
    <w:rsid w:val="00F019D2"/>
    <w:rsid w:val="00F051DA"/>
    <w:rsid w:val="00F0575C"/>
    <w:rsid w:val="00F05DE7"/>
    <w:rsid w:val="00F05EAF"/>
    <w:rsid w:val="00F064E4"/>
    <w:rsid w:val="00F06A89"/>
    <w:rsid w:val="00F106A4"/>
    <w:rsid w:val="00F10941"/>
    <w:rsid w:val="00F1140C"/>
    <w:rsid w:val="00F123F2"/>
    <w:rsid w:val="00F127A5"/>
    <w:rsid w:val="00F13B8D"/>
    <w:rsid w:val="00F14800"/>
    <w:rsid w:val="00F14C57"/>
    <w:rsid w:val="00F15207"/>
    <w:rsid w:val="00F156E9"/>
    <w:rsid w:val="00F15E8C"/>
    <w:rsid w:val="00F1619C"/>
    <w:rsid w:val="00F1686A"/>
    <w:rsid w:val="00F17A2A"/>
    <w:rsid w:val="00F17A73"/>
    <w:rsid w:val="00F20EED"/>
    <w:rsid w:val="00F21768"/>
    <w:rsid w:val="00F21AEF"/>
    <w:rsid w:val="00F22114"/>
    <w:rsid w:val="00F24B02"/>
    <w:rsid w:val="00F2602D"/>
    <w:rsid w:val="00F278E2"/>
    <w:rsid w:val="00F31A1C"/>
    <w:rsid w:val="00F31C55"/>
    <w:rsid w:val="00F3525F"/>
    <w:rsid w:val="00F352EE"/>
    <w:rsid w:val="00F361F8"/>
    <w:rsid w:val="00F364DE"/>
    <w:rsid w:val="00F36E38"/>
    <w:rsid w:val="00F36FB7"/>
    <w:rsid w:val="00F37D6C"/>
    <w:rsid w:val="00F42363"/>
    <w:rsid w:val="00F42C58"/>
    <w:rsid w:val="00F42D47"/>
    <w:rsid w:val="00F44BA2"/>
    <w:rsid w:val="00F44F97"/>
    <w:rsid w:val="00F45568"/>
    <w:rsid w:val="00F45C7B"/>
    <w:rsid w:val="00F47588"/>
    <w:rsid w:val="00F50F98"/>
    <w:rsid w:val="00F52345"/>
    <w:rsid w:val="00F52989"/>
    <w:rsid w:val="00F5409A"/>
    <w:rsid w:val="00F55361"/>
    <w:rsid w:val="00F55388"/>
    <w:rsid w:val="00F56693"/>
    <w:rsid w:val="00F6008B"/>
    <w:rsid w:val="00F611E7"/>
    <w:rsid w:val="00F61444"/>
    <w:rsid w:val="00F63499"/>
    <w:rsid w:val="00F64CB9"/>
    <w:rsid w:val="00F66AC1"/>
    <w:rsid w:val="00F70080"/>
    <w:rsid w:val="00F7112F"/>
    <w:rsid w:val="00F716C1"/>
    <w:rsid w:val="00F727DF"/>
    <w:rsid w:val="00F72F16"/>
    <w:rsid w:val="00F73C90"/>
    <w:rsid w:val="00F74063"/>
    <w:rsid w:val="00F74F48"/>
    <w:rsid w:val="00F75228"/>
    <w:rsid w:val="00F772BC"/>
    <w:rsid w:val="00F80C83"/>
    <w:rsid w:val="00F86348"/>
    <w:rsid w:val="00F86FA6"/>
    <w:rsid w:val="00F91A5B"/>
    <w:rsid w:val="00F95347"/>
    <w:rsid w:val="00F95983"/>
    <w:rsid w:val="00FA1BB2"/>
    <w:rsid w:val="00FA4AC5"/>
    <w:rsid w:val="00FA4BED"/>
    <w:rsid w:val="00FA6F10"/>
    <w:rsid w:val="00FA76BF"/>
    <w:rsid w:val="00FA7BE5"/>
    <w:rsid w:val="00FA7F89"/>
    <w:rsid w:val="00FB0342"/>
    <w:rsid w:val="00FB0F91"/>
    <w:rsid w:val="00FB1DDE"/>
    <w:rsid w:val="00FB2017"/>
    <w:rsid w:val="00FB3075"/>
    <w:rsid w:val="00FB72DF"/>
    <w:rsid w:val="00FB78C8"/>
    <w:rsid w:val="00FC02C4"/>
    <w:rsid w:val="00FC076B"/>
    <w:rsid w:val="00FC0B5B"/>
    <w:rsid w:val="00FC263F"/>
    <w:rsid w:val="00FC3836"/>
    <w:rsid w:val="00FC39DB"/>
    <w:rsid w:val="00FC39E5"/>
    <w:rsid w:val="00FC3D0A"/>
    <w:rsid w:val="00FC3F9E"/>
    <w:rsid w:val="00FC4501"/>
    <w:rsid w:val="00FC4730"/>
    <w:rsid w:val="00FC5D0E"/>
    <w:rsid w:val="00FC6392"/>
    <w:rsid w:val="00FC6CBF"/>
    <w:rsid w:val="00FC791F"/>
    <w:rsid w:val="00FD074B"/>
    <w:rsid w:val="00FD1666"/>
    <w:rsid w:val="00FD17EE"/>
    <w:rsid w:val="00FD1D36"/>
    <w:rsid w:val="00FD1E3F"/>
    <w:rsid w:val="00FD214D"/>
    <w:rsid w:val="00FD23BD"/>
    <w:rsid w:val="00FD46C5"/>
    <w:rsid w:val="00FD4DE4"/>
    <w:rsid w:val="00FD6403"/>
    <w:rsid w:val="00FD748A"/>
    <w:rsid w:val="00FE17C1"/>
    <w:rsid w:val="00FE1838"/>
    <w:rsid w:val="00FE2A9C"/>
    <w:rsid w:val="00FE2AF0"/>
    <w:rsid w:val="00FE460C"/>
    <w:rsid w:val="00FE6A09"/>
    <w:rsid w:val="00FE7D7E"/>
    <w:rsid w:val="00FF157E"/>
    <w:rsid w:val="00FF17A3"/>
    <w:rsid w:val="00FF1C33"/>
    <w:rsid w:val="00FF27B1"/>
    <w:rsid w:val="00FF2C4E"/>
    <w:rsid w:val="00FF536D"/>
    <w:rsid w:val="00FF62E3"/>
    <w:rsid w:val="00FF73F3"/>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fftimenewsromanfs12pt1">
    <w:name w:val="ff_time_news_roman_fs_12pt1"/>
    <w:basedOn w:val="DefaultParagraphFont"/>
    <w:rsid w:val="00797469"/>
    <w:rPr>
      <w:rFonts w:ascii="Times New Roman" w:hAnsi="Times New Roman" w:cs="Times New Roman"/>
      <w:sz w:val="24"/>
      <w:szCs w:val="24"/>
      <w:shd w:val="clear" w:color="auto" w:fill="FFFFFF"/>
    </w:rPr>
  </w:style>
  <w:style w:type="table" w:customStyle="1" w:styleId="TableGrid2">
    <w:name w:val="Table Grid2"/>
    <w:basedOn w:val="TableNormal"/>
    <w:next w:val="TableGrid"/>
    <w:uiPriority w:val="59"/>
    <w:rsid w:val="00164B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5A6F"/>
    <w:pPr>
      <w:spacing w:after="12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A5A6F"/>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4">
    <w:name w:val="Table Grid4"/>
    <w:basedOn w:val="TableNormal"/>
    <w:next w:val="TableGrid"/>
    <w:uiPriority w:val="59"/>
    <w:rsid w:val="00362378"/>
    <w:pPr>
      <w:spacing w:after="0" w:line="240" w:lineRule="auto"/>
    </w:pPr>
    <w:rPr>
      <w:rFonts w:ascii="Times New Roman" w:eastAsia="Arial" w:hAnsi="Times New Roman"/>
      <w:sz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738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7389A"/>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TMLPreformatted">
    <w:name w:val="HTML Preformatted"/>
    <w:basedOn w:val="Normal"/>
    <w:link w:val="HTMLPreformattedChar"/>
    <w:uiPriority w:val="99"/>
    <w:unhideWhenUsed/>
    <w:rsid w:val="00A8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081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fftimenewsromanfs12pt1">
    <w:name w:val="ff_time_news_roman_fs_12pt1"/>
    <w:basedOn w:val="DefaultParagraphFont"/>
    <w:rsid w:val="00797469"/>
    <w:rPr>
      <w:rFonts w:ascii="Times New Roman" w:hAnsi="Times New Roman" w:cs="Times New Roman"/>
      <w:sz w:val="24"/>
      <w:szCs w:val="24"/>
      <w:shd w:val="clear" w:color="auto" w:fill="FFFFFF"/>
    </w:rPr>
  </w:style>
  <w:style w:type="table" w:customStyle="1" w:styleId="TableGrid2">
    <w:name w:val="Table Grid2"/>
    <w:basedOn w:val="TableNormal"/>
    <w:next w:val="TableGrid"/>
    <w:uiPriority w:val="59"/>
    <w:rsid w:val="00164B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5A6F"/>
    <w:pPr>
      <w:spacing w:after="12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A5A6F"/>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4">
    <w:name w:val="Table Grid4"/>
    <w:basedOn w:val="TableNormal"/>
    <w:next w:val="TableGrid"/>
    <w:uiPriority w:val="59"/>
    <w:rsid w:val="00362378"/>
    <w:pPr>
      <w:spacing w:after="0" w:line="240" w:lineRule="auto"/>
    </w:pPr>
    <w:rPr>
      <w:rFonts w:ascii="Times New Roman" w:eastAsia="Arial" w:hAnsi="Times New Roman"/>
      <w:sz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738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7389A"/>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TMLPreformatted">
    <w:name w:val="HTML Preformatted"/>
    <w:basedOn w:val="Normal"/>
    <w:link w:val="HTMLPreformattedChar"/>
    <w:uiPriority w:val="99"/>
    <w:unhideWhenUsed/>
    <w:rsid w:val="00A8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081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158">
      <w:bodyDiv w:val="1"/>
      <w:marLeft w:val="0"/>
      <w:marRight w:val="0"/>
      <w:marTop w:val="0"/>
      <w:marBottom w:val="0"/>
      <w:divBdr>
        <w:top w:val="none" w:sz="0" w:space="0" w:color="auto"/>
        <w:left w:val="none" w:sz="0" w:space="0" w:color="auto"/>
        <w:bottom w:val="none" w:sz="0" w:space="0" w:color="auto"/>
        <w:right w:val="none" w:sz="0" w:space="0" w:color="auto"/>
      </w:divBdr>
    </w:div>
    <w:div w:id="114495061">
      <w:bodyDiv w:val="1"/>
      <w:marLeft w:val="0"/>
      <w:marRight w:val="0"/>
      <w:marTop w:val="0"/>
      <w:marBottom w:val="0"/>
      <w:divBdr>
        <w:top w:val="none" w:sz="0" w:space="0" w:color="auto"/>
        <w:left w:val="none" w:sz="0" w:space="0" w:color="auto"/>
        <w:bottom w:val="none" w:sz="0" w:space="0" w:color="auto"/>
        <w:right w:val="none" w:sz="0" w:space="0" w:color="auto"/>
      </w:divBdr>
    </w:div>
    <w:div w:id="787048127">
      <w:bodyDiv w:val="1"/>
      <w:marLeft w:val="0"/>
      <w:marRight w:val="0"/>
      <w:marTop w:val="0"/>
      <w:marBottom w:val="0"/>
      <w:divBdr>
        <w:top w:val="none" w:sz="0" w:space="0" w:color="auto"/>
        <w:left w:val="none" w:sz="0" w:space="0" w:color="auto"/>
        <w:bottom w:val="none" w:sz="0" w:space="0" w:color="auto"/>
        <w:right w:val="none" w:sz="0" w:space="0" w:color="auto"/>
      </w:divBdr>
    </w:div>
    <w:div w:id="911161950">
      <w:bodyDiv w:val="1"/>
      <w:marLeft w:val="0"/>
      <w:marRight w:val="0"/>
      <w:marTop w:val="0"/>
      <w:marBottom w:val="0"/>
      <w:divBdr>
        <w:top w:val="none" w:sz="0" w:space="0" w:color="auto"/>
        <w:left w:val="none" w:sz="0" w:space="0" w:color="auto"/>
        <w:bottom w:val="none" w:sz="0" w:space="0" w:color="auto"/>
        <w:right w:val="none" w:sz="0" w:space="0" w:color="auto"/>
      </w:divBdr>
    </w:div>
    <w:div w:id="940603352">
      <w:bodyDiv w:val="1"/>
      <w:marLeft w:val="0"/>
      <w:marRight w:val="0"/>
      <w:marTop w:val="0"/>
      <w:marBottom w:val="0"/>
      <w:divBdr>
        <w:top w:val="none" w:sz="0" w:space="0" w:color="auto"/>
        <w:left w:val="none" w:sz="0" w:space="0" w:color="auto"/>
        <w:bottom w:val="none" w:sz="0" w:space="0" w:color="auto"/>
        <w:right w:val="none" w:sz="0" w:space="0" w:color="auto"/>
      </w:divBdr>
      <w:divsChild>
        <w:div w:id="281809793">
          <w:marLeft w:val="0"/>
          <w:marRight w:val="0"/>
          <w:marTop w:val="0"/>
          <w:marBottom w:val="0"/>
          <w:divBdr>
            <w:top w:val="none" w:sz="0" w:space="0" w:color="auto"/>
            <w:left w:val="none" w:sz="0" w:space="0" w:color="auto"/>
            <w:bottom w:val="none" w:sz="0" w:space="0" w:color="auto"/>
            <w:right w:val="none" w:sz="0" w:space="0" w:color="auto"/>
          </w:divBdr>
        </w:div>
      </w:divsChild>
    </w:div>
    <w:div w:id="1287466393">
      <w:bodyDiv w:val="1"/>
      <w:marLeft w:val="0"/>
      <w:marRight w:val="0"/>
      <w:marTop w:val="0"/>
      <w:marBottom w:val="0"/>
      <w:divBdr>
        <w:top w:val="none" w:sz="0" w:space="0" w:color="auto"/>
        <w:left w:val="none" w:sz="0" w:space="0" w:color="auto"/>
        <w:bottom w:val="none" w:sz="0" w:space="0" w:color="auto"/>
        <w:right w:val="none" w:sz="0" w:space="0" w:color="auto"/>
      </w:divBdr>
      <w:divsChild>
        <w:div w:id="602608737">
          <w:marLeft w:val="0"/>
          <w:marRight w:val="0"/>
          <w:marTop w:val="0"/>
          <w:marBottom w:val="0"/>
          <w:divBdr>
            <w:top w:val="none" w:sz="0" w:space="0" w:color="auto"/>
            <w:left w:val="none" w:sz="0" w:space="0" w:color="auto"/>
            <w:bottom w:val="none" w:sz="0" w:space="0" w:color="auto"/>
            <w:right w:val="none" w:sz="0" w:space="0" w:color="auto"/>
          </w:divBdr>
        </w:div>
      </w:divsChild>
    </w:div>
    <w:div w:id="1415853561">
      <w:bodyDiv w:val="1"/>
      <w:marLeft w:val="0"/>
      <w:marRight w:val="0"/>
      <w:marTop w:val="0"/>
      <w:marBottom w:val="0"/>
      <w:divBdr>
        <w:top w:val="none" w:sz="0" w:space="0" w:color="auto"/>
        <w:left w:val="none" w:sz="0" w:space="0" w:color="auto"/>
        <w:bottom w:val="none" w:sz="0" w:space="0" w:color="auto"/>
        <w:right w:val="none" w:sz="0" w:space="0" w:color="auto"/>
      </w:divBdr>
    </w:div>
    <w:div w:id="1437670482">
      <w:bodyDiv w:val="1"/>
      <w:marLeft w:val="0"/>
      <w:marRight w:val="0"/>
      <w:marTop w:val="0"/>
      <w:marBottom w:val="0"/>
      <w:divBdr>
        <w:top w:val="none" w:sz="0" w:space="0" w:color="auto"/>
        <w:left w:val="none" w:sz="0" w:space="0" w:color="auto"/>
        <w:bottom w:val="none" w:sz="0" w:space="0" w:color="auto"/>
        <w:right w:val="none" w:sz="0" w:space="0" w:color="auto"/>
      </w:divBdr>
    </w:div>
    <w:div w:id="1468814790">
      <w:bodyDiv w:val="1"/>
      <w:marLeft w:val="0"/>
      <w:marRight w:val="0"/>
      <w:marTop w:val="0"/>
      <w:marBottom w:val="0"/>
      <w:divBdr>
        <w:top w:val="none" w:sz="0" w:space="0" w:color="auto"/>
        <w:left w:val="none" w:sz="0" w:space="0" w:color="auto"/>
        <w:bottom w:val="none" w:sz="0" w:space="0" w:color="auto"/>
        <w:right w:val="none" w:sz="0" w:space="0" w:color="auto"/>
      </w:divBdr>
    </w:div>
    <w:div w:id="1503735226">
      <w:bodyDiv w:val="1"/>
      <w:marLeft w:val="0"/>
      <w:marRight w:val="0"/>
      <w:marTop w:val="0"/>
      <w:marBottom w:val="0"/>
      <w:divBdr>
        <w:top w:val="none" w:sz="0" w:space="0" w:color="auto"/>
        <w:left w:val="none" w:sz="0" w:space="0" w:color="auto"/>
        <w:bottom w:val="none" w:sz="0" w:space="0" w:color="auto"/>
        <w:right w:val="none" w:sz="0" w:space="0" w:color="auto"/>
      </w:divBdr>
    </w:div>
    <w:div w:id="1990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H:\Econometric\Th&#225;ng%206.2016\Full%20version_lam%20phat%202005%20-%206.2016_x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B&#7843;ng%20ph&#7909;%20l&#7909;c%20s&#7889;%20li&#7879;u%20T6%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B&#7843;ng%20ph&#7909;%20l&#7909;c%20s&#7889;%20li&#7879;u%20T6%20.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so%20lieu%20vi%20mo%20theo%20tha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so%20lieu%20vi%20mo%20theo%20thang.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file:///D:\TAI%20LIEU%20CHUYEN%20MON\CHI%20SO%20DAN%20BAO\Du%20lieu%20input%20va%20output\OUTPUT\out_T6-2016_do%20thi.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AI%20LIEU%20CHUYEN%20MON\CHI%20SO%20DAN%20BAO\Du%20lieu%20input%20va%20output\OUTPUT\out_T6-2016_do%20thi.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Econometric\Th&#225;ng%206.2016\GDP_PH&#194;N%20R&#195;_D&#7879;t%20g&#7917;i%20l&#7847;n%202_T6.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225042301184452E-2"/>
          <c:y val="5.8201058201058149E-2"/>
          <c:w val="0.9255499153976311"/>
          <c:h val="0.6514440088294402"/>
        </c:manualLayout>
      </c:layout>
      <c:barChart>
        <c:barDir val="col"/>
        <c:grouping val="clustered"/>
        <c:varyColors val="0"/>
        <c:ser>
          <c:idx val="0"/>
          <c:order val="0"/>
          <c:tx>
            <c:strRef>
              <c:f>Sheet1!$B$1</c:f>
              <c:strCache>
                <c:ptCount val="1"/>
                <c:pt idx="0">
                  <c:v>Nông, lâm nghiệp và thủy sản</c:v>
                </c:pt>
              </c:strCache>
            </c:strRef>
          </c:tx>
          <c:spPr>
            <a:solidFill>
              <a:srgbClr val="00B0F0"/>
            </a:solidFill>
          </c:spPr>
          <c:invertIfNegative val="0"/>
          <c:dLbls>
            <c:dLbl>
              <c:idx val="4"/>
              <c:layout>
                <c:manualLayout>
                  <c:x val="-3.4782608695652181E-2"/>
                  <c:y val="1.0974368944622569E-2"/>
                </c:manualLayout>
              </c:layout>
              <c:showLegendKey val="0"/>
              <c:showVal val="1"/>
              <c:showCatName val="0"/>
              <c:showSerName val="0"/>
              <c:showPercent val="0"/>
              <c:showBubbleSize val="0"/>
            </c:dLbl>
            <c:txPr>
              <a:bodyPr/>
              <a:lstStyle/>
              <a:p>
                <a:pPr>
                  <a:defRPr sz="600"/>
                </a:pPr>
                <a:endParaRPr lang="en-US"/>
              </a:p>
            </c:txPr>
            <c:showLegendKey val="0"/>
            <c:showVal val="1"/>
            <c:showCatName val="0"/>
            <c:showSerName val="0"/>
            <c:showPercent val="0"/>
            <c:showBubbleSize val="0"/>
            <c:showLeaderLines val="0"/>
          </c:dLbls>
          <c:cat>
            <c:strRef>
              <c:f>Sheet1!$A$2:$A$6</c:f>
              <c:strCache>
                <c:ptCount val="5"/>
                <c:pt idx="0">
                  <c:v>6T/12</c:v>
                </c:pt>
                <c:pt idx="1">
                  <c:v>6T/13</c:v>
                </c:pt>
                <c:pt idx="2">
                  <c:v>6T/14</c:v>
                </c:pt>
                <c:pt idx="3">
                  <c:v>6T/15</c:v>
                </c:pt>
                <c:pt idx="4">
                  <c:v>6T/16</c:v>
                </c:pt>
              </c:strCache>
            </c:strRef>
          </c:cat>
          <c:val>
            <c:numRef>
              <c:f>Sheet1!$B$2:$B$6</c:f>
              <c:numCache>
                <c:formatCode>General</c:formatCode>
                <c:ptCount val="5"/>
                <c:pt idx="0">
                  <c:v>2.8099999999999987</c:v>
                </c:pt>
                <c:pt idx="1">
                  <c:v>2.0699999999999998</c:v>
                </c:pt>
                <c:pt idx="2">
                  <c:v>2.96</c:v>
                </c:pt>
                <c:pt idx="3">
                  <c:v>2.36</c:v>
                </c:pt>
                <c:pt idx="4">
                  <c:v>-0.1800000000000001</c:v>
                </c:pt>
              </c:numCache>
            </c:numRef>
          </c:val>
        </c:ser>
        <c:ser>
          <c:idx val="1"/>
          <c:order val="1"/>
          <c:tx>
            <c:strRef>
              <c:f>Sheet1!$C$1</c:f>
              <c:strCache>
                <c:ptCount val="1"/>
                <c:pt idx="0">
                  <c:v>Công nghiệp và xây dựng</c:v>
                </c:pt>
              </c:strCache>
            </c:strRef>
          </c:tx>
          <c:spPr>
            <a:solidFill>
              <a:srgbClr val="FF00FF"/>
            </a:solidFill>
          </c:spPr>
          <c:invertIfNegative val="0"/>
          <c:dLbls>
            <c:txPr>
              <a:bodyPr/>
              <a:lstStyle/>
              <a:p>
                <a:pPr>
                  <a:defRPr sz="600"/>
                </a:pPr>
                <a:endParaRPr lang="en-US"/>
              </a:p>
            </c:txPr>
            <c:showLegendKey val="0"/>
            <c:showVal val="1"/>
            <c:showCatName val="0"/>
            <c:showSerName val="0"/>
            <c:showPercent val="0"/>
            <c:showBubbleSize val="0"/>
            <c:showLeaderLines val="0"/>
          </c:dLbls>
          <c:cat>
            <c:strRef>
              <c:f>Sheet1!$A$2:$A$6</c:f>
              <c:strCache>
                <c:ptCount val="5"/>
                <c:pt idx="0">
                  <c:v>6T/12</c:v>
                </c:pt>
                <c:pt idx="1">
                  <c:v>6T/13</c:v>
                </c:pt>
                <c:pt idx="2">
                  <c:v>6T/14</c:v>
                </c:pt>
                <c:pt idx="3">
                  <c:v>6T/15</c:v>
                </c:pt>
                <c:pt idx="4">
                  <c:v>6T/16</c:v>
                </c:pt>
              </c:strCache>
            </c:strRef>
          </c:cat>
          <c:val>
            <c:numRef>
              <c:f>Sheet1!$C$2:$C$6</c:f>
              <c:numCache>
                <c:formatCode>General</c:formatCode>
                <c:ptCount val="5"/>
                <c:pt idx="0">
                  <c:v>3.8099999999999987</c:v>
                </c:pt>
                <c:pt idx="1">
                  <c:v>5.18</c:v>
                </c:pt>
                <c:pt idx="2">
                  <c:v>5.33</c:v>
                </c:pt>
                <c:pt idx="3">
                  <c:v>9.09</c:v>
                </c:pt>
                <c:pt idx="4">
                  <c:v>7.1199999999999966</c:v>
                </c:pt>
              </c:numCache>
            </c:numRef>
          </c:val>
        </c:ser>
        <c:ser>
          <c:idx val="2"/>
          <c:order val="2"/>
          <c:tx>
            <c:strRef>
              <c:f>Sheet1!$D$1</c:f>
              <c:strCache>
                <c:ptCount val="1"/>
                <c:pt idx="0">
                  <c:v>Dịch vụ</c:v>
                </c:pt>
              </c:strCache>
            </c:strRef>
          </c:tx>
          <c:spPr>
            <a:solidFill>
              <a:schemeClr val="tx2">
                <a:lumMod val="75000"/>
              </a:schemeClr>
            </a:solidFill>
          </c:spPr>
          <c:invertIfNegative val="0"/>
          <c:dLbls>
            <c:txPr>
              <a:bodyPr/>
              <a:lstStyle/>
              <a:p>
                <a:pPr>
                  <a:defRPr sz="600"/>
                </a:pPr>
                <a:endParaRPr lang="en-US"/>
              </a:p>
            </c:txPr>
            <c:showLegendKey val="0"/>
            <c:showVal val="1"/>
            <c:showCatName val="0"/>
            <c:showSerName val="0"/>
            <c:showPercent val="0"/>
            <c:showBubbleSize val="0"/>
            <c:showLeaderLines val="0"/>
          </c:dLbls>
          <c:cat>
            <c:strRef>
              <c:f>Sheet1!$A$2:$A$6</c:f>
              <c:strCache>
                <c:ptCount val="5"/>
                <c:pt idx="0">
                  <c:v>6T/12</c:v>
                </c:pt>
                <c:pt idx="1">
                  <c:v>6T/13</c:v>
                </c:pt>
                <c:pt idx="2">
                  <c:v>6T/14</c:v>
                </c:pt>
                <c:pt idx="3">
                  <c:v>6T/15</c:v>
                </c:pt>
                <c:pt idx="4">
                  <c:v>6T/16</c:v>
                </c:pt>
              </c:strCache>
            </c:strRef>
          </c:cat>
          <c:val>
            <c:numRef>
              <c:f>Sheet1!$D$2:$D$6</c:f>
              <c:numCache>
                <c:formatCode>General</c:formatCode>
                <c:ptCount val="5"/>
                <c:pt idx="0">
                  <c:v>5.57</c:v>
                </c:pt>
                <c:pt idx="1">
                  <c:v>5.92</c:v>
                </c:pt>
                <c:pt idx="2">
                  <c:v>6.01</c:v>
                </c:pt>
                <c:pt idx="3">
                  <c:v>5.9</c:v>
                </c:pt>
                <c:pt idx="4">
                  <c:v>6.35</c:v>
                </c:pt>
              </c:numCache>
            </c:numRef>
          </c:val>
        </c:ser>
        <c:dLbls>
          <c:showLegendKey val="0"/>
          <c:showVal val="0"/>
          <c:showCatName val="0"/>
          <c:showSerName val="0"/>
          <c:showPercent val="0"/>
          <c:showBubbleSize val="0"/>
        </c:dLbls>
        <c:gapWidth val="150"/>
        <c:axId val="57055872"/>
        <c:axId val="57310208"/>
      </c:barChart>
      <c:catAx>
        <c:axId val="57055872"/>
        <c:scaling>
          <c:orientation val="minMax"/>
        </c:scaling>
        <c:delete val="0"/>
        <c:axPos val="b"/>
        <c:majorTickMark val="none"/>
        <c:minorTickMark val="none"/>
        <c:tickLblPos val="low"/>
        <c:crossAx val="57310208"/>
        <c:crosses val="autoZero"/>
        <c:auto val="1"/>
        <c:lblAlgn val="ctr"/>
        <c:lblOffset val="100"/>
        <c:noMultiLvlLbl val="0"/>
      </c:catAx>
      <c:valAx>
        <c:axId val="57310208"/>
        <c:scaling>
          <c:orientation val="minMax"/>
          <c:min val="-2"/>
        </c:scaling>
        <c:delete val="1"/>
        <c:axPos val="l"/>
        <c:numFmt formatCode="General" sourceLinked="1"/>
        <c:majorTickMark val="out"/>
        <c:minorTickMark val="none"/>
        <c:tickLblPos val="none"/>
        <c:crossAx val="57055872"/>
        <c:crosses val="autoZero"/>
        <c:crossBetween val="between"/>
        <c:majorUnit val="2"/>
      </c:valAx>
    </c:plotArea>
    <c:legend>
      <c:legendPos val="b"/>
      <c:layout>
        <c:manualLayout>
          <c:xMode val="edge"/>
          <c:yMode val="edge"/>
          <c:x val="0"/>
          <c:y val="0.79301583385183116"/>
          <c:w val="0.98272574137188073"/>
          <c:h val="0.2020124270180513"/>
        </c:manualLayout>
      </c:layout>
      <c:overlay val="0"/>
    </c:legend>
    <c:plotVisOnly val="1"/>
    <c:dispBlanksAs val="gap"/>
    <c:showDLblsOverMax val="0"/>
  </c:chart>
  <c:spPr>
    <a:ln>
      <a:noFill/>
    </a:ln>
  </c:spPr>
  <c:txPr>
    <a:bodyPr/>
    <a:lstStyle/>
    <a:p>
      <a:pPr>
        <a:defRPr sz="800">
          <a:latin typeface="+mj-lt"/>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87070263758022E-2"/>
          <c:y val="0.11524656002408921"/>
          <c:w val="0.8862906428524896"/>
          <c:h val="0.75824493992508213"/>
        </c:manualLayout>
      </c:layout>
      <c:barChart>
        <c:barDir val="col"/>
        <c:grouping val="clustered"/>
        <c:varyColors val="0"/>
        <c:ser>
          <c:idx val="3"/>
          <c:order val="2"/>
          <c:tx>
            <c:v>Mùa vụ- Trục phải</c:v>
          </c:tx>
          <c:invertIfNegative val="0"/>
          <c:cat>
            <c:strRef>
              <c:f>'Phan ra lam phat'!$A$3:$A$140</c:f>
              <c:strCache>
                <c:ptCount val="138"/>
                <c:pt idx="0">
                  <c:v>2005 M1</c:v>
                </c:pt>
                <c:pt idx="1">
                  <c:v>2005 M2</c:v>
                </c:pt>
                <c:pt idx="2">
                  <c:v>2005 M3</c:v>
                </c:pt>
                <c:pt idx="3">
                  <c:v>2005 M4</c:v>
                </c:pt>
                <c:pt idx="4">
                  <c:v>2005 M5</c:v>
                </c:pt>
                <c:pt idx="5">
                  <c:v>2005 M6 </c:v>
                </c:pt>
                <c:pt idx="6">
                  <c:v>2005 M7</c:v>
                </c:pt>
                <c:pt idx="7">
                  <c:v>2005 M8</c:v>
                </c:pt>
                <c:pt idx="8">
                  <c:v>2005 M9</c:v>
                </c:pt>
                <c:pt idx="9">
                  <c:v>2005 M10</c:v>
                </c:pt>
                <c:pt idx="10">
                  <c:v>2005 M11</c:v>
                </c:pt>
                <c:pt idx="11">
                  <c:v>2005 M12</c:v>
                </c:pt>
                <c:pt idx="12">
                  <c:v>2006 M1</c:v>
                </c:pt>
                <c:pt idx="13">
                  <c:v>2006 M2</c:v>
                </c:pt>
                <c:pt idx="14">
                  <c:v>2006 M3</c:v>
                </c:pt>
                <c:pt idx="15">
                  <c:v>2006 M4</c:v>
                </c:pt>
                <c:pt idx="16">
                  <c:v>2006 M5</c:v>
                </c:pt>
                <c:pt idx="17">
                  <c:v>2006 M6 </c:v>
                </c:pt>
                <c:pt idx="18">
                  <c:v>2006 M7</c:v>
                </c:pt>
                <c:pt idx="19">
                  <c:v>2006 M8</c:v>
                </c:pt>
                <c:pt idx="20">
                  <c:v>2006 M9</c:v>
                </c:pt>
                <c:pt idx="21">
                  <c:v>2006 M10</c:v>
                </c:pt>
                <c:pt idx="22">
                  <c:v>2006 M11</c:v>
                </c:pt>
                <c:pt idx="23">
                  <c:v>2006 M12</c:v>
                </c:pt>
                <c:pt idx="24">
                  <c:v>2007 M1</c:v>
                </c:pt>
                <c:pt idx="25">
                  <c:v>2007 M2</c:v>
                </c:pt>
                <c:pt idx="26">
                  <c:v>2007 M3</c:v>
                </c:pt>
                <c:pt idx="27">
                  <c:v>2007 M4</c:v>
                </c:pt>
                <c:pt idx="28">
                  <c:v>2007 M5</c:v>
                </c:pt>
                <c:pt idx="29">
                  <c:v>2007 M6 </c:v>
                </c:pt>
                <c:pt idx="30">
                  <c:v>2007 M7</c:v>
                </c:pt>
                <c:pt idx="31">
                  <c:v>2007 M8</c:v>
                </c:pt>
                <c:pt idx="32">
                  <c:v>2007 M9</c:v>
                </c:pt>
                <c:pt idx="33">
                  <c:v>2007 M10</c:v>
                </c:pt>
                <c:pt idx="34">
                  <c:v>2007 M11</c:v>
                </c:pt>
                <c:pt idx="35">
                  <c:v>2007 M12</c:v>
                </c:pt>
                <c:pt idx="36">
                  <c:v>2008 M1</c:v>
                </c:pt>
                <c:pt idx="37">
                  <c:v>2008 M2</c:v>
                </c:pt>
                <c:pt idx="38">
                  <c:v>2008 M3</c:v>
                </c:pt>
                <c:pt idx="39">
                  <c:v>2008 M4</c:v>
                </c:pt>
                <c:pt idx="40">
                  <c:v>2008 M5</c:v>
                </c:pt>
                <c:pt idx="41">
                  <c:v>2008 M6 </c:v>
                </c:pt>
                <c:pt idx="42">
                  <c:v>2008 M7</c:v>
                </c:pt>
                <c:pt idx="43">
                  <c:v>2008 M8</c:v>
                </c:pt>
                <c:pt idx="44">
                  <c:v>2008 M9</c:v>
                </c:pt>
                <c:pt idx="45">
                  <c:v>2008 M10</c:v>
                </c:pt>
                <c:pt idx="46">
                  <c:v>2008 M11</c:v>
                </c:pt>
                <c:pt idx="47">
                  <c:v>2008 M12</c:v>
                </c:pt>
                <c:pt idx="48">
                  <c:v>2009 M1</c:v>
                </c:pt>
                <c:pt idx="49">
                  <c:v>2009 M2</c:v>
                </c:pt>
                <c:pt idx="50">
                  <c:v>2009 M3</c:v>
                </c:pt>
                <c:pt idx="51">
                  <c:v>2009 M4</c:v>
                </c:pt>
                <c:pt idx="52">
                  <c:v>2009 M5</c:v>
                </c:pt>
                <c:pt idx="53">
                  <c:v>2009 M6 </c:v>
                </c:pt>
                <c:pt idx="54">
                  <c:v>2009 M7</c:v>
                </c:pt>
                <c:pt idx="55">
                  <c:v>2009 M8</c:v>
                </c:pt>
                <c:pt idx="56">
                  <c:v>2009 M9</c:v>
                </c:pt>
                <c:pt idx="57">
                  <c:v>2009 M10</c:v>
                </c:pt>
                <c:pt idx="58">
                  <c:v>2009 M11</c:v>
                </c:pt>
                <c:pt idx="59">
                  <c:v>2009 M12</c:v>
                </c:pt>
                <c:pt idx="60">
                  <c:v>2010 M1</c:v>
                </c:pt>
                <c:pt idx="61">
                  <c:v>2010 M2</c:v>
                </c:pt>
                <c:pt idx="62">
                  <c:v>2010 M3</c:v>
                </c:pt>
                <c:pt idx="63">
                  <c:v>2010 M4</c:v>
                </c:pt>
                <c:pt idx="64">
                  <c:v>2010 M5</c:v>
                </c:pt>
                <c:pt idx="65">
                  <c:v>2010 M6 </c:v>
                </c:pt>
                <c:pt idx="66">
                  <c:v>2010 M7</c:v>
                </c:pt>
                <c:pt idx="67">
                  <c:v>2010 M8</c:v>
                </c:pt>
                <c:pt idx="68">
                  <c:v>2010 M9</c:v>
                </c:pt>
                <c:pt idx="69">
                  <c:v>2010 M10</c:v>
                </c:pt>
                <c:pt idx="70">
                  <c:v>2010 M11</c:v>
                </c:pt>
                <c:pt idx="71">
                  <c:v>2010 M12</c:v>
                </c:pt>
                <c:pt idx="72">
                  <c:v>2011 M1</c:v>
                </c:pt>
                <c:pt idx="73">
                  <c:v>2011 M2</c:v>
                </c:pt>
                <c:pt idx="74">
                  <c:v>2011 M3</c:v>
                </c:pt>
                <c:pt idx="75">
                  <c:v>2011 M4</c:v>
                </c:pt>
                <c:pt idx="76">
                  <c:v>2011 M5</c:v>
                </c:pt>
                <c:pt idx="77">
                  <c:v>2011 M6 </c:v>
                </c:pt>
                <c:pt idx="78">
                  <c:v>2011 M7</c:v>
                </c:pt>
                <c:pt idx="79">
                  <c:v>2011 M8</c:v>
                </c:pt>
                <c:pt idx="80">
                  <c:v>2011 M9</c:v>
                </c:pt>
                <c:pt idx="81">
                  <c:v>2011 M10</c:v>
                </c:pt>
                <c:pt idx="82">
                  <c:v>2011 M11</c:v>
                </c:pt>
                <c:pt idx="83">
                  <c:v>2011 M12</c:v>
                </c:pt>
                <c:pt idx="84">
                  <c:v>2012 M1</c:v>
                </c:pt>
                <c:pt idx="85">
                  <c:v>2012 M2</c:v>
                </c:pt>
                <c:pt idx="86">
                  <c:v>2012 M3</c:v>
                </c:pt>
                <c:pt idx="87">
                  <c:v>2012 M4</c:v>
                </c:pt>
                <c:pt idx="88">
                  <c:v>2012 M5</c:v>
                </c:pt>
                <c:pt idx="89">
                  <c:v>2012 M6 </c:v>
                </c:pt>
                <c:pt idx="90">
                  <c:v>2012 M7</c:v>
                </c:pt>
                <c:pt idx="91">
                  <c:v>2012 M8</c:v>
                </c:pt>
                <c:pt idx="92">
                  <c:v>2012 M9</c:v>
                </c:pt>
                <c:pt idx="93">
                  <c:v>2012 M10</c:v>
                </c:pt>
                <c:pt idx="94">
                  <c:v>2012 M11</c:v>
                </c:pt>
                <c:pt idx="95">
                  <c:v>2012 M12</c:v>
                </c:pt>
                <c:pt idx="96">
                  <c:v>2013 M1</c:v>
                </c:pt>
                <c:pt idx="97">
                  <c:v>2013 M2</c:v>
                </c:pt>
                <c:pt idx="98">
                  <c:v>2013 M3</c:v>
                </c:pt>
                <c:pt idx="99">
                  <c:v>2013 M4</c:v>
                </c:pt>
                <c:pt idx="100">
                  <c:v>2013 M5</c:v>
                </c:pt>
                <c:pt idx="101">
                  <c:v>2013 M6 </c:v>
                </c:pt>
                <c:pt idx="102">
                  <c:v>2013 M7</c:v>
                </c:pt>
                <c:pt idx="103">
                  <c:v>2013 M8</c:v>
                </c:pt>
                <c:pt idx="104">
                  <c:v>2013 M9</c:v>
                </c:pt>
                <c:pt idx="105">
                  <c:v>2013 M10</c:v>
                </c:pt>
                <c:pt idx="106">
                  <c:v>2013 M11</c:v>
                </c:pt>
                <c:pt idx="107">
                  <c:v>2013 M12</c:v>
                </c:pt>
                <c:pt idx="108">
                  <c:v>2014 M1</c:v>
                </c:pt>
                <c:pt idx="109">
                  <c:v>2014 M2</c:v>
                </c:pt>
                <c:pt idx="110">
                  <c:v>2014 M3</c:v>
                </c:pt>
                <c:pt idx="111">
                  <c:v>2014 M4</c:v>
                </c:pt>
                <c:pt idx="112">
                  <c:v>2014 M5</c:v>
                </c:pt>
                <c:pt idx="113">
                  <c:v>2014 M6 </c:v>
                </c:pt>
                <c:pt idx="114">
                  <c:v>2014 M7</c:v>
                </c:pt>
                <c:pt idx="115">
                  <c:v>2014 M8</c:v>
                </c:pt>
                <c:pt idx="116">
                  <c:v>2014 M9</c:v>
                </c:pt>
                <c:pt idx="117">
                  <c:v>2014 M10</c:v>
                </c:pt>
                <c:pt idx="118">
                  <c:v>2014 M11</c:v>
                </c:pt>
                <c:pt idx="119">
                  <c:v>2014 M12</c:v>
                </c:pt>
                <c:pt idx="120">
                  <c:v>2015 M1</c:v>
                </c:pt>
                <c:pt idx="121">
                  <c:v>2015 M2</c:v>
                </c:pt>
                <c:pt idx="122">
                  <c:v>2015 M3</c:v>
                </c:pt>
                <c:pt idx="123">
                  <c:v>2015 M4</c:v>
                </c:pt>
                <c:pt idx="124">
                  <c:v>2015 M5</c:v>
                </c:pt>
                <c:pt idx="125">
                  <c:v>2015 M6 </c:v>
                </c:pt>
                <c:pt idx="126">
                  <c:v>2015 M7</c:v>
                </c:pt>
                <c:pt idx="127">
                  <c:v>2015 M8</c:v>
                </c:pt>
                <c:pt idx="128">
                  <c:v>2015 M9</c:v>
                </c:pt>
                <c:pt idx="129">
                  <c:v>2015 M10</c:v>
                </c:pt>
                <c:pt idx="130">
                  <c:v>2015 M11</c:v>
                </c:pt>
                <c:pt idx="131">
                  <c:v>2015 M12</c:v>
                </c:pt>
                <c:pt idx="132">
                  <c:v>2016 M1</c:v>
                </c:pt>
                <c:pt idx="133">
                  <c:v>2016 M2</c:v>
                </c:pt>
                <c:pt idx="134">
                  <c:v>2016 M3</c:v>
                </c:pt>
                <c:pt idx="135">
                  <c:v>2016 M4</c:v>
                </c:pt>
                <c:pt idx="136">
                  <c:v>2016 M5</c:v>
                </c:pt>
                <c:pt idx="137">
                  <c:v>2016 M6 </c:v>
                </c:pt>
              </c:strCache>
            </c:strRef>
          </c:cat>
          <c:val>
            <c:numRef>
              <c:f>'Phan ra lam phat'!$K$3:$K$140</c:f>
              <c:numCache>
                <c:formatCode>0.00</c:formatCode>
                <c:ptCount val="138"/>
                <c:pt idx="0">
                  <c:v>-9.6418720173160125E-2</c:v>
                </c:pt>
                <c:pt idx="1">
                  <c:v>0.1166240345048309</c:v>
                </c:pt>
                <c:pt idx="2">
                  <c:v>0.16800611141012933</c:v>
                </c:pt>
                <c:pt idx="3">
                  <c:v>3.4005094069689441E-2</c:v>
                </c:pt>
                <c:pt idx="4">
                  <c:v>-0.12649418695092968</c:v>
                </c:pt>
                <c:pt idx="5">
                  <c:v>-0.12870178359008921</c:v>
                </c:pt>
                <c:pt idx="6">
                  <c:v>-9.6235919289189745E-2</c:v>
                </c:pt>
                <c:pt idx="7">
                  <c:v>1.4693340873500374E-2</c:v>
                </c:pt>
                <c:pt idx="8">
                  <c:v>0.15562354770872042</c:v>
                </c:pt>
                <c:pt idx="9">
                  <c:v>0.10221536912098909</c:v>
                </c:pt>
                <c:pt idx="10">
                  <c:v>5.4015722258196133E-3</c:v>
                </c:pt>
                <c:pt idx="11">
                  <c:v>-0.10266044140557017</c:v>
                </c:pt>
                <c:pt idx="12">
                  <c:v>-8.5435464786201107E-2</c:v>
                </c:pt>
                <c:pt idx="13">
                  <c:v>0.11411491728306977</c:v>
                </c:pt>
                <c:pt idx="14">
                  <c:v>0.10360903692355994</c:v>
                </c:pt>
                <c:pt idx="15">
                  <c:v>-3.6306548976394759E-3</c:v>
                </c:pt>
                <c:pt idx="16">
                  <c:v>-0.14637830776626981</c:v>
                </c:pt>
                <c:pt idx="17">
                  <c:v>-9.9630244459819897E-2</c:v>
                </c:pt>
                <c:pt idx="18">
                  <c:v>-7.6855344844159568E-2</c:v>
                </c:pt>
                <c:pt idx="19">
                  <c:v>5.6352280806009999E-2</c:v>
                </c:pt>
                <c:pt idx="20">
                  <c:v>0.20156557025637942</c:v>
                </c:pt>
                <c:pt idx="21">
                  <c:v>0.13401257260125987</c:v>
                </c:pt>
                <c:pt idx="22">
                  <c:v>8.4104239416395998E-3</c:v>
                </c:pt>
                <c:pt idx="23">
                  <c:v>-0.13320742620608961</c:v>
                </c:pt>
                <c:pt idx="24">
                  <c:v>-8.7500383880240049E-2</c:v>
                </c:pt>
                <c:pt idx="25">
                  <c:v>6.4132802866009989E-2</c:v>
                </c:pt>
                <c:pt idx="26">
                  <c:v>-1.4424221032879991E-2</c:v>
                </c:pt>
                <c:pt idx="27">
                  <c:v>-3.9665052296070001E-2</c:v>
                </c:pt>
                <c:pt idx="28">
                  <c:v>-0.16110100118740978</c:v>
                </c:pt>
                <c:pt idx="29">
                  <c:v>-5.1341884634839907E-2</c:v>
                </c:pt>
                <c:pt idx="30">
                  <c:v>-5.3240099228499815E-3</c:v>
                </c:pt>
                <c:pt idx="31">
                  <c:v>0.16093588921189031</c:v>
                </c:pt>
                <c:pt idx="32">
                  <c:v>0.32794079448324914</c:v>
                </c:pt>
                <c:pt idx="33">
                  <c:v>0.33925312211489023</c:v>
                </c:pt>
                <c:pt idx="34">
                  <c:v>-1.7393012203550384E-2</c:v>
                </c:pt>
                <c:pt idx="35">
                  <c:v>-0.44638707782659992</c:v>
                </c:pt>
                <c:pt idx="36">
                  <c:v>-0.29815180194689916</c:v>
                </c:pt>
                <c:pt idx="37">
                  <c:v>8.1014723682800507E-2</c:v>
                </c:pt>
                <c:pt idx="38">
                  <c:v>-0.30061507441320146</c:v>
                </c:pt>
                <c:pt idx="39">
                  <c:v>-0.3432750478239015</c:v>
                </c:pt>
                <c:pt idx="40">
                  <c:v>-0.57675349054320124</c:v>
                </c:pt>
                <c:pt idx="41">
                  <c:v>0.12206817815939885</c:v>
                </c:pt>
                <c:pt idx="42">
                  <c:v>0.27607632203720223</c:v>
                </c:pt>
                <c:pt idx="43">
                  <c:v>0.95794134243010098</c:v>
                </c:pt>
                <c:pt idx="44">
                  <c:v>1.3031318137057999</c:v>
                </c:pt>
                <c:pt idx="45">
                  <c:v>1.4189357494872998</c:v>
                </c:pt>
                <c:pt idx="46">
                  <c:v>-3.4429294084599611E-2</c:v>
                </c:pt>
                <c:pt idx="47">
                  <c:v>-1.0063436155544976</c:v>
                </c:pt>
                <c:pt idx="48">
                  <c:v>-4.0410430626449931E-2</c:v>
                </c:pt>
                <c:pt idx="49">
                  <c:v>-0.11541361850720121</c:v>
                </c:pt>
                <c:pt idx="50">
                  <c:v>-0.34469644840399893</c:v>
                </c:pt>
                <c:pt idx="51">
                  <c:v>-0.16710278969408066</c:v>
                </c:pt>
                <c:pt idx="52">
                  <c:v>-9.1740500719660209E-2</c:v>
                </c:pt>
                <c:pt idx="53">
                  <c:v>7.3138432185949884E-2</c:v>
                </c:pt>
                <c:pt idx="54">
                  <c:v>7.1508392648039987E-2</c:v>
                </c:pt>
                <c:pt idx="55">
                  <c:v>8.7707525040440285E-2</c:v>
                </c:pt>
                <c:pt idx="56">
                  <c:v>0.11455099899362015</c:v>
                </c:pt>
                <c:pt idx="57">
                  <c:v>0.18964385607980994</c:v>
                </c:pt>
                <c:pt idx="58">
                  <c:v>-4.5406792781840032E-2</c:v>
                </c:pt>
                <c:pt idx="59">
                  <c:v>-0.38018372620385005</c:v>
                </c:pt>
                <c:pt idx="60">
                  <c:v>-0.33969164223786064</c:v>
                </c:pt>
                <c:pt idx="61">
                  <c:v>-0.12745629320827059</c:v>
                </c:pt>
                <c:pt idx="62">
                  <c:v>-0.29222679214583142</c:v>
                </c:pt>
                <c:pt idx="63">
                  <c:v>-0.15764839148184986</c:v>
                </c:pt>
                <c:pt idx="64">
                  <c:v>-4.7437719671320308E-2</c:v>
                </c:pt>
                <c:pt idx="65">
                  <c:v>0.2631995419782403</c:v>
                </c:pt>
                <c:pt idx="66">
                  <c:v>0.13547345456758123</c:v>
                </c:pt>
                <c:pt idx="67">
                  <c:v>0.310659500648651</c:v>
                </c:pt>
                <c:pt idx="68">
                  <c:v>0.4727311163048995</c:v>
                </c:pt>
                <c:pt idx="69">
                  <c:v>0.60258765183736906</c:v>
                </c:pt>
                <c:pt idx="70">
                  <c:v>-0.13233759387789956</c:v>
                </c:pt>
                <c:pt idx="71">
                  <c:v>-0.69440439189989966</c:v>
                </c:pt>
                <c:pt idx="72">
                  <c:v>-0.59580659470799913</c:v>
                </c:pt>
                <c:pt idx="73">
                  <c:v>-0.25567823644660059</c:v>
                </c:pt>
                <c:pt idx="74">
                  <c:v>-0.28349845976589982</c:v>
                </c:pt>
                <c:pt idx="75">
                  <c:v>-5.2533516260400162E-2</c:v>
                </c:pt>
                <c:pt idx="76">
                  <c:v>0.1347069219759974</c:v>
                </c:pt>
                <c:pt idx="77">
                  <c:v>0.49917047780279988</c:v>
                </c:pt>
                <c:pt idx="78">
                  <c:v>-9.6404058781800556E-2</c:v>
                </c:pt>
                <c:pt idx="79">
                  <c:v>0.36321667449960093</c:v>
                </c:pt>
                <c:pt idx="80">
                  <c:v>0.89680854210199712</c:v>
                </c:pt>
                <c:pt idx="81">
                  <c:v>1.4028505230038997</c:v>
                </c:pt>
                <c:pt idx="82">
                  <c:v>-0.25388529033469742</c:v>
                </c:pt>
                <c:pt idx="83">
                  <c:v>-0.77261819943429844</c:v>
                </c:pt>
                <c:pt idx="84">
                  <c:v>-0.6059302762439005</c:v>
                </c:pt>
                <c:pt idx="85">
                  <c:v>-0.1147354131223004</c:v>
                </c:pt>
                <c:pt idx="86">
                  <c:v>0.12713260547969968</c:v>
                </c:pt>
                <c:pt idx="87">
                  <c:v>8.0881499200801329E-2</c:v>
                </c:pt>
                <c:pt idx="88">
                  <c:v>3.1718690976850546E-2</c:v>
                </c:pt>
                <c:pt idx="89">
                  <c:v>-5.9866018199590761E-2</c:v>
                </c:pt>
                <c:pt idx="90">
                  <c:v>-0.25605209644689975</c:v>
                </c:pt>
                <c:pt idx="91">
                  <c:v>-0.11037558566919968</c:v>
                </c:pt>
                <c:pt idx="92">
                  <c:v>0.25206105799945988</c:v>
                </c:pt>
                <c:pt idx="93">
                  <c:v>0.47186689374671997</c:v>
                </c:pt>
                <c:pt idx="94">
                  <c:v>7.8690607123610923E-2</c:v>
                </c:pt>
                <c:pt idx="95">
                  <c:v>-0.10298147805613944</c:v>
                </c:pt>
                <c:pt idx="96">
                  <c:v>-2.3099157592960235E-2</c:v>
                </c:pt>
                <c:pt idx="97">
                  <c:v>8.9516545964460167E-2</c:v>
                </c:pt>
                <c:pt idx="98">
                  <c:v>0.20441355766141028</c:v>
                </c:pt>
                <c:pt idx="99">
                  <c:v>0.11904095973610938</c:v>
                </c:pt>
                <c:pt idx="100">
                  <c:v>-8.7621272109060261E-2</c:v>
                </c:pt>
                <c:pt idx="101">
                  <c:v>-0.35064178548212066</c:v>
                </c:pt>
                <c:pt idx="102">
                  <c:v>-0.66054911109041092</c:v>
                </c:pt>
                <c:pt idx="103">
                  <c:v>-0.40382365779475066</c:v>
                </c:pt>
                <c:pt idx="104">
                  <c:v>0.24649179414563013</c:v>
                </c:pt>
                <c:pt idx="105">
                  <c:v>0.42854907686627985</c:v>
                </c:pt>
                <c:pt idx="106">
                  <c:v>0.22419736434492954</c:v>
                </c:pt>
                <c:pt idx="107">
                  <c:v>0.10848274367014016</c:v>
                </c:pt>
                <c:pt idx="108">
                  <c:v>0.21131745628010029</c:v>
                </c:pt>
                <c:pt idx="109">
                  <c:v>0.20181229699532044</c:v>
                </c:pt>
                <c:pt idx="110">
                  <c:v>0.22916714738837041</c:v>
                </c:pt>
                <c:pt idx="111">
                  <c:v>7.8888819159219692E-2</c:v>
                </c:pt>
                <c:pt idx="112">
                  <c:v>-0.19298829083834973</c:v>
                </c:pt>
                <c:pt idx="113">
                  <c:v>-0.4703836129141109</c:v>
                </c:pt>
                <c:pt idx="114">
                  <c:v>-0.62449093117031063</c:v>
                </c:pt>
                <c:pt idx="115">
                  <c:v>-0.34109343229111944</c:v>
                </c:pt>
                <c:pt idx="116">
                  <c:v>0.18307150145064011</c:v>
                </c:pt>
                <c:pt idx="117">
                  <c:v>0.28464867089572987</c:v>
                </c:pt>
                <c:pt idx="118">
                  <c:v>0.19234327647602012</c:v>
                </c:pt>
                <c:pt idx="119">
                  <c:v>7.2703826941029906E-2</c:v>
                </c:pt>
                <c:pt idx="120">
                  <c:v>6.988813368392012E-2</c:v>
                </c:pt>
                <c:pt idx="121">
                  <c:v>1.9718290350463963E-2</c:v>
                </c:pt>
                <c:pt idx="122">
                  <c:v>5.5387294635831988E-2</c:v>
                </c:pt>
                <c:pt idx="123">
                  <c:v>1.5056446117960087E-2</c:v>
                </c:pt>
                <c:pt idx="124">
                  <c:v>-6.1607728235113964E-2</c:v>
                </c:pt>
                <c:pt idx="125">
                  <c:v>-0.12422411958370216</c:v>
                </c:pt>
                <c:pt idx="126">
                  <c:v>-0.12083797730475095</c:v>
                </c:pt>
                <c:pt idx="127">
                  <c:v>-7.303676903169902E-2</c:v>
                </c:pt>
                <c:pt idx="128">
                  <c:v>5.5748660284010006E-5</c:v>
                </c:pt>
                <c:pt idx="129">
                  <c:v>9.9227535471090093E-5</c:v>
                </c:pt>
                <c:pt idx="130">
                  <c:v>3.0967054311104969E-2</c:v>
                </c:pt>
                <c:pt idx="131">
                  <c:v>2.9866696698334971E-2</c:v>
                </c:pt>
                <c:pt idx="132">
                  <c:v>7.2679285382051886E-2</c:v>
                </c:pt>
                <c:pt idx="133">
                  <c:v>8.895595860813002E-2</c:v>
                </c:pt>
                <c:pt idx="134">
                  <c:v>0.11469622251713009</c:v>
                </c:pt>
                <c:pt idx="135">
                  <c:v>1.7382845420190085E-2</c:v>
                </c:pt>
                <c:pt idx="136">
                  <c:v>-0.18517458234372963</c:v>
                </c:pt>
                <c:pt idx="137">
                  <c:v>-0.34121691726093034</c:v>
                </c:pt>
              </c:numCache>
            </c:numRef>
          </c:val>
        </c:ser>
        <c:dLbls>
          <c:showLegendKey val="0"/>
          <c:showVal val="0"/>
          <c:showCatName val="0"/>
          <c:showSerName val="0"/>
          <c:showPercent val="0"/>
          <c:showBubbleSize val="0"/>
        </c:dLbls>
        <c:gapWidth val="150"/>
        <c:axId val="57771136"/>
        <c:axId val="57769344"/>
      </c:barChart>
      <c:lineChart>
        <c:grouping val="standard"/>
        <c:varyColors val="0"/>
        <c:ser>
          <c:idx val="1"/>
          <c:order val="0"/>
          <c:tx>
            <c:v>Thành phần xu hướng-trục trái</c:v>
          </c:tx>
          <c:spPr>
            <a:ln w="19050">
              <a:prstDash val="sysDash"/>
            </a:ln>
          </c:spPr>
          <c:marker>
            <c:symbol val="none"/>
          </c:marker>
          <c:cat>
            <c:strRef>
              <c:f>'Phan ra lam phat'!$A$3:$A$140</c:f>
              <c:strCache>
                <c:ptCount val="138"/>
                <c:pt idx="0">
                  <c:v>2005 M1</c:v>
                </c:pt>
                <c:pt idx="1">
                  <c:v>2005 M2</c:v>
                </c:pt>
                <c:pt idx="2">
                  <c:v>2005 M3</c:v>
                </c:pt>
                <c:pt idx="3">
                  <c:v>2005 M4</c:v>
                </c:pt>
                <c:pt idx="4">
                  <c:v>2005 M5</c:v>
                </c:pt>
                <c:pt idx="5">
                  <c:v>2005 M6 </c:v>
                </c:pt>
                <c:pt idx="6">
                  <c:v>2005 M7</c:v>
                </c:pt>
                <c:pt idx="7">
                  <c:v>2005 M8</c:v>
                </c:pt>
                <c:pt idx="8">
                  <c:v>2005 M9</c:v>
                </c:pt>
                <c:pt idx="9">
                  <c:v>2005 M10</c:v>
                </c:pt>
                <c:pt idx="10">
                  <c:v>2005 M11</c:v>
                </c:pt>
                <c:pt idx="11">
                  <c:v>2005 M12</c:v>
                </c:pt>
                <c:pt idx="12">
                  <c:v>2006 M1</c:v>
                </c:pt>
                <c:pt idx="13">
                  <c:v>2006 M2</c:v>
                </c:pt>
                <c:pt idx="14">
                  <c:v>2006 M3</c:v>
                </c:pt>
                <c:pt idx="15">
                  <c:v>2006 M4</c:v>
                </c:pt>
                <c:pt idx="16">
                  <c:v>2006 M5</c:v>
                </c:pt>
                <c:pt idx="17">
                  <c:v>2006 M6 </c:v>
                </c:pt>
                <c:pt idx="18">
                  <c:v>2006 M7</c:v>
                </c:pt>
                <c:pt idx="19">
                  <c:v>2006 M8</c:v>
                </c:pt>
                <c:pt idx="20">
                  <c:v>2006 M9</c:v>
                </c:pt>
                <c:pt idx="21">
                  <c:v>2006 M10</c:v>
                </c:pt>
                <c:pt idx="22">
                  <c:v>2006 M11</c:v>
                </c:pt>
                <c:pt idx="23">
                  <c:v>2006 M12</c:v>
                </c:pt>
                <c:pt idx="24">
                  <c:v>2007 M1</c:v>
                </c:pt>
                <c:pt idx="25">
                  <c:v>2007 M2</c:v>
                </c:pt>
                <c:pt idx="26">
                  <c:v>2007 M3</c:v>
                </c:pt>
                <c:pt idx="27">
                  <c:v>2007 M4</c:v>
                </c:pt>
                <c:pt idx="28">
                  <c:v>2007 M5</c:v>
                </c:pt>
                <c:pt idx="29">
                  <c:v>2007 M6 </c:v>
                </c:pt>
                <c:pt idx="30">
                  <c:v>2007 M7</c:v>
                </c:pt>
                <c:pt idx="31">
                  <c:v>2007 M8</c:v>
                </c:pt>
                <c:pt idx="32">
                  <c:v>2007 M9</c:v>
                </c:pt>
                <c:pt idx="33">
                  <c:v>2007 M10</c:v>
                </c:pt>
                <c:pt idx="34">
                  <c:v>2007 M11</c:v>
                </c:pt>
                <c:pt idx="35">
                  <c:v>2007 M12</c:v>
                </c:pt>
                <c:pt idx="36">
                  <c:v>2008 M1</c:v>
                </c:pt>
                <c:pt idx="37">
                  <c:v>2008 M2</c:v>
                </c:pt>
                <c:pt idx="38">
                  <c:v>2008 M3</c:v>
                </c:pt>
                <c:pt idx="39">
                  <c:v>2008 M4</c:v>
                </c:pt>
                <c:pt idx="40">
                  <c:v>2008 M5</c:v>
                </c:pt>
                <c:pt idx="41">
                  <c:v>2008 M6 </c:v>
                </c:pt>
                <c:pt idx="42">
                  <c:v>2008 M7</c:v>
                </c:pt>
                <c:pt idx="43">
                  <c:v>2008 M8</c:v>
                </c:pt>
                <c:pt idx="44">
                  <c:v>2008 M9</c:v>
                </c:pt>
                <c:pt idx="45">
                  <c:v>2008 M10</c:v>
                </c:pt>
                <c:pt idx="46">
                  <c:v>2008 M11</c:v>
                </c:pt>
                <c:pt idx="47">
                  <c:v>2008 M12</c:v>
                </c:pt>
                <c:pt idx="48">
                  <c:v>2009 M1</c:v>
                </c:pt>
                <c:pt idx="49">
                  <c:v>2009 M2</c:v>
                </c:pt>
                <c:pt idx="50">
                  <c:v>2009 M3</c:v>
                </c:pt>
                <c:pt idx="51">
                  <c:v>2009 M4</c:v>
                </c:pt>
                <c:pt idx="52">
                  <c:v>2009 M5</c:v>
                </c:pt>
                <c:pt idx="53">
                  <c:v>2009 M6 </c:v>
                </c:pt>
                <c:pt idx="54">
                  <c:v>2009 M7</c:v>
                </c:pt>
                <c:pt idx="55">
                  <c:v>2009 M8</c:v>
                </c:pt>
                <c:pt idx="56">
                  <c:v>2009 M9</c:v>
                </c:pt>
                <c:pt idx="57">
                  <c:v>2009 M10</c:v>
                </c:pt>
                <c:pt idx="58">
                  <c:v>2009 M11</c:v>
                </c:pt>
                <c:pt idx="59">
                  <c:v>2009 M12</c:v>
                </c:pt>
                <c:pt idx="60">
                  <c:v>2010 M1</c:v>
                </c:pt>
                <c:pt idx="61">
                  <c:v>2010 M2</c:v>
                </c:pt>
                <c:pt idx="62">
                  <c:v>2010 M3</c:v>
                </c:pt>
                <c:pt idx="63">
                  <c:v>2010 M4</c:v>
                </c:pt>
                <c:pt idx="64">
                  <c:v>2010 M5</c:v>
                </c:pt>
                <c:pt idx="65">
                  <c:v>2010 M6 </c:v>
                </c:pt>
                <c:pt idx="66">
                  <c:v>2010 M7</c:v>
                </c:pt>
                <c:pt idx="67">
                  <c:v>2010 M8</c:v>
                </c:pt>
                <c:pt idx="68">
                  <c:v>2010 M9</c:v>
                </c:pt>
                <c:pt idx="69">
                  <c:v>2010 M10</c:v>
                </c:pt>
                <c:pt idx="70">
                  <c:v>2010 M11</c:v>
                </c:pt>
                <c:pt idx="71">
                  <c:v>2010 M12</c:v>
                </c:pt>
                <c:pt idx="72">
                  <c:v>2011 M1</c:v>
                </c:pt>
                <c:pt idx="73">
                  <c:v>2011 M2</c:v>
                </c:pt>
                <c:pt idx="74">
                  <c:v>2011 M3</c:v>
                </c:pt>
                <c:pt idx="75">
                  <c:v>2011 M4</c:v>
                </c:pt>
                <c:pt idx="76">
                  <c:v>2011 M5</c:v>
                </c:pt>
                <c:pt idx="77">
                  <c:v>2011 M6 </c:v>
                </c:pt>
                <c:pt idx="78">
                  <c:v>2011 M7</c:v>
                </c:pt>
                <c:pt idx="79">
                  <c:v>2011 M8</c:v>
                </c:pt>
                <c:pt idx="80">
                  <c:v>2011 M9</c:v>
                </c:pt>
                <c:pt idx="81">
                  <c:v>2011 M10</c:v>
                </c:pt>
                <c:pt idx="82">
                  <c:v>2011 M11</c:v>
                </c:pt>
                <c:pt idx="83">
                  <c:v>2011 M12</c:v>
                </c:pt>
                <c:pt idx="84">
                  <c:v>2012 M1</c:v>
                </c:pt>
                <c:pt idx="85">
                  <c:v>2012 M2</c:v>
                </c:pt>
                <c:pt idx="86">
                  <c:v>2012 M3</c:v>
                </c:pt>
                <c:pt idx="87">
                  <c:v>2012 M4</c:v>
                </c:pt>
                <c:pt idx="88">
                  <c:v>2012 M5</c:v>
                </c:pt>
                <c:pt idx="89">
                  <c:v>2012 M6 </c:v>
                </c:pt>
                <c:pt idx="90">
                  <c:v>2012 M7</c:v>
                </c:pt>
                <c:pt idx="91">
                  <c:v>2012 M8</c:v>
                </c:pt>
                <c:pt idx="92">
                  <c:v>2012 M9</c:v>
                </c:pt>
                <c:pt idx="93">
                  <c:v>2012 M10</c:v>
                </c:pt>
                <c:pt idx="94">
                  <c:v>2012 M11</c:v>
                </c:pt>
                <c:pt idx="95">
                  <c:v>2012 M12</c:v>
                </c:pt>
                <c:pt idx="96">
                  <c:v>2013 M1</c:v>
                </c:pt>
                <c:pt idx="97">
                  <c:v>2013 M2</c:v>
                </c:pt>
                <c:pt idx="98">
                  <c:v>2013 M3</c:v>
                </c:pt>
                <c:pt idx="99">
                  <c:v>2013 M4</c:v>
                </c:pt>
                <c:pt idx="100">
                  <c:v>2013 M5</c:v>
                </c:pt>
                <c:pt idx="101">
                  <c:v>2013 M6 </c:v>
                </c:pt>
                <c:pt idx="102">
                  <c:v>2013 M7</c:v>
                </c:pt>
                <c:pt idx="103">
                  <c:v>2013 M8</c:v>
                </c:pt>
                <c:pt idx="104">
                  <c:v>2013 M9</c:v>
                </c:pt>
                <c:pt idx="105">
                  <c:v>2013 M10</c:v>
                </c:pt>
                <c:pt idx="106">
                  <c:v>2013 M11</c:v>
                </c:pt>
                <c:pt idx="107">
                  <c:v>2013 M12</c:v>
                </c:pt>
                <c:pt idx="108">
                  <c:v>2014 M1</c:v>
                </c:pt>
                <c:pt idx="109">
                  <c:v>2014 M2</c:v>
                </c:pt>
                <c:pt idx="110">
                  <c:v>2014 M3</c:v>
                </c:pt>
                <c:pt idx="111">
                  <c:v>2014 M4</c:v>
                </c:pt>
                <c:pt idx="112">
                  <c:v>2014 M5</c:v>
                </c:pt>
                <c:pt idx="113">
                  <c:v>2014 M6 </c:v>
                </c:pt>
                <c:pt idx="114">
                  <c:v>2014 M7</c:v>
                </c:pt>
                <c:pt idx="115">
                  <c:v>2014 M8</c:v>
                </c:pt>
                <c:pt idx="116">
                  <c:v>2014 M9</c:v>
                </c:pt>
                <c:pt idx="117">
                  <c:v>2014 M10</c:v>
                </c:pt>
                <c:pt idx="118">
                  <c:v>2014 M11</c:v>
                </c:pt>
                <c:pt idx="119">
                  <c:v>2014 M12</c:v>
                </c:pt>
                <c:pt idx="120">
                  <c:v>2015 M1</c:v>
                </c:pt>
                <c:pt idx="121">
                  <c:v>2015 M2</c:v>
                </c:pt>
                <c:pt idx="122">
                  <c:v>2015 M3</c:v>
                </c:pt>
                <c:pt idx="123">
                  <c:v>2015 M4</c:v>
                </c:pt>
                <c:pt idx="124">
                  <c:v>2015 M5</c:v>
                </c:pt>
                <c:pt idx="125">
                  <c:v>2015 M6 </c:v>
                </c:pt>
                <c:pt idx="126">
                  <c:v>2015 M7</c:v>
                </c:pt>
                <c:pt idx="127">
                  <c:v>2015 M8</c:v>
                </c:pt>
                <c:pt idx="128">
                  <c:v>2015 M9</c:v>
                </c:pt>
                <c:pt idx="129">
                  <c:v>2015 M10</c:v>
                </c:pt>
                <c:pt idx="130">
                  <c:v>2015 M11</c:v>
                </c:pt>
                <c:pt idx="131">
                  <c:v>2015 M12</c:v>
                </c:pt>
                <c:pt idx="132">
                  <c:v>2016 M1</c:v>
                </c:pt>
                <c:pt idx="133">
                  <c:v>2016 M2</c:v>
                </c:pt>
                <c:pt idx="134">
                  <c:v>2016 M3</c:v>
                </c:pt>
                <c:pt idx="135">
                  <c:v>2016 M4</c:v>
                </c:pt>
                <c:pt idx="136">
                  <c:v>2016 M5</c:v>
                </c:pt>
                <c:pt idx="137">
                  <c:v>2016 M6 </c:v>
                </c:pt>
              </c:strCache>
            </c:strRef>
          </c:cat>
          <c:val>
            <c:numRef>
              <c:f>'Phan ra lam phat'!$G$3:$G$140</c:f>
              <c:numCache>
                <c:formatCode>0.00</c:formatCode>
                <c:ptCount val="138"/>
                <c:pt idx="0">
                  <c:v>7.0580558914372764</c:v>
                </c:pt>
                <c:pt idx="1">
                  <c:v>7.1419292630764062</c:v>
                </c:pt>
                <c:pt idx="2">
                  <c:v>7.2259794073119563</c:v>
                </c:pt>
                <c:pt idx="3">
                  <c:v>7.3105271727661485</c:v>
                </c:pt>
                <c:pt idx="4">
                  <c:v>7.3959866043600764</c:v>
                </c:pt>
                <c:pt idx="5">
                  <c:v>7.48285671075939</c:v>
                </c:pt>
                <c:pt idx="6">
                  <c:v>7.5716766061303336</c:v>
                </c:pt>
                <c:pt idx="7">
                  <c:v>7.6629846019659302</c:v>
                </c:pt>
                <c:pt idx="8">
                  <c:v>7.7573073491672062</c:v>
                </c:pt>
                <c:pt idx="9">
                  <c:v>7.8551473117419865</c:v>
                </c:pt>
                <c:pt idx="10">
                  <c:v>7.9570207256563803</c:v>
                </c:pt>
                <c:pt idx="11">
                  <c:v>8.063481817713809</c:v>
                </c:pt>
                <c:pt idx="12">
                  <c:v>8.1751228967208807</c:v>
                </c:pt>
                <c:pt idx="13">
                  <c:v>8.2925525116051695</c:v>
                </c:pt>
                <c:pt idx="14">
                  <c:v>8.4164166725190892</c:v>
                </c:pt>
                <c:pt idx="15">
                  <c:v>8.5473767758932322</c:v>
                </c:pt>
                <c:pt idx="16">
                  <c:v>8.6860516620724173</c:v>
                </c:pt>
                <c:pt idx="17">
                  <c:v>8.8329732958854201</c:v>
                </c:pt>
                <c:pt idx="18">
                  <c:v>8.9885811123019703</c:v>
                </c:pt>
                <c:pt idx="19">
                  <c:v>9.1532220043793</c:v>
                </c:pt>
                <c:pt idx="20">
                  <c:v>9.3271341543095705</c:v>
                </c:pt>
                <c:pt idx="21">
                  <c:v>9.5104448505541228</c:v>
                </c:pt>
                <c:pt idx="22">
                  <c:v>9.7031268282004106</c:v>
                </c:pt>
                <c:pt idx="23">
                  <c:v>9.9049669589832767</c:v>
                </c:pt>
                <c:pt idx="24">
                  <c:v>10.115558037109407</c:v>
                </c:pt>
                <c:pt idx="25">
                  <c:v>10.334254094675501</c:v>
                </c:pt>
                <c:pt idx="26">
                  <c:v>10.560148534721307</c:v>
                </c:pt>
                <c:pt idx="27">
                  <c:v>10.792072946307799</c:v>
                </c:pt>
                <c:pt idx="28">
                  <c:v>11.028596795388006</c:v>
                </c:pt>
                <c:pt idx="29">
                  <c:v>11.268034566109407</c:v>
                </c:pt>
                <c:pt idx="30">
                  <c:v>11.508431319161502</c:v>
                </c:pt>
                <c:pt idx="31">
                  <c:v>11.747587714091498</c:v>
                </c:pt>
                <c:pt idx="32">
                  <c:v>11.983087482992801</c:v>
                </c:pt>
                <c:pt idx="33">
                  <c:v>12.212304868249007</c:v>
                </c:pt>
                <c:pt idx="34">
                  <c:v>12.432415838168316</c:v>
                </c:pt>
                <c:pt idx="35">
                  <c:v>12.640420454687202</c:v>
                </c:pt>
                <c:pt idx="36">
                  <c:v>12.8331493485723</c:v>
                </c:pt>
                <c:pt idx="37">
                  <c:v>13.007401427844902</c:v>
                </c:pt>
                <c:pt idx="38">
                  <c:v>13.160043565724004</c:v>
                </c:pt>
                <c:pt idx="39">
                  <c:v>13.288133164129997</c:v>
                </c:pt>
                <c:pt idx="40">
                  <c:v>13.389139384799707</c:v>
                </c:pt>
                <c:pt idx="41">
                  <c:v>13.4610722638997</c:v>
                </c:pt>
                <c:pt idx="42">
                  <c:v>13.502721983924699</c:v>
                </c:pt>
                <c:pt idx="43">
                  <c:v>13.5138135187524</c:v>
                </c:pt>
                <c:pt idx="44">
                  <c:v>13.4950311029784</c:v>
                </c:pt>
                <c:pt idx="45">
                  <c:v>13.448153702296885</c:v>
                </c:pt>
                <c:pt idx="46">
                  <c:v>13.3760511227298</c:v>
                </c:pt>
                <c:pt idx="47">
                  <c:v>13.282613363496099</c:v>
                </c:pt>
                <c:pt idx="48">
                  <c:v>13.172481084897402</c:v>
                </c:pt>
                <c:pt idx="49">
                  <c:v>13.050683908556104</c:v>
                </c:pt>
                <c:pt idx="50">
                  <c:v>12.9214151441836</c:v>
                </c:pt>
                <c:pt idx="51">
                  <c:v>12.7891676780522</c:v>
                </c:pt>
                <c:pt idx="52">
                  <c:v>12.658294388684602</c:v>
                </c:pt>
                <c:pt idx="53">
                  <c:v>12.532889385820907</c:v>
                </c:pt>
                <c:pt idx="54">
                  <c:v>12.416548860111902</c:v>
                </c:pt>
                <c:pt idx="55">
                  <c:v>12.312277352836499</c:v>
                </c:pt>
                <c:pt idx="56">
                  <c:v>12.2224519719077</c:v>
                </c:pt>
                <c:pt idx="57">
                  <c:v>12.148737702333891</c:v>
                </c:pt>
                <c:pt idx="58">
                  <c:v>12.092126758222607</c:v>
                </c:pt>
                <c:pt idx="59">
                  <c:v>12.052988499942007</c:v>
                </c:pt>
                <c:pt idx="60">
                  <c:v>12.031151486919189</c:v>
                </c:pt>
                <c:pt idx="61">
                  <c:v>12.026033641621099</c:v>
                </c:pt>
                <c:pt idx="62">
                  <c:v>12.036722966852999</c:v>
                </c:pt>
                <c:pt idx="63">
                  <c:v>12.062050973063506</c:v>
                </c:pt>
                <c:pt idx="64">
                  <c:v>12.100649938079007</c:v>
                </c:pt>
                <c:pt idx="65">
                  <c:v>12.150944521714704</c:v>
                </c:pt>
                <c:pt idx="66">
                  <c:v>12.211144238809307</c:v>
                </c:pt>
                <c:pt idx="67">
                  <c:v>12.279236538578216</c:v>
                </c:pt>
                <c:pt idx="68">
                  <c:v>12.352939031987619</c:v>
                </c:pt>
                <c:pt idx="69">
                  <c:v>12.429706234376312</c:v>
                </c:pt>
                <c:pt idx="70">
                  <c:v>12.506838479977599</c:v>
                </c:pt>
                <c:pt idx="71">
                  <c:v>12.581434219790216</c:v>
                </c:pt>
                <c:pt idx="72">
                  <c:v>12.650484323140807</c:v>
                </c:pt>
                <c:pt idx="73">
                  <c:v>12.710873698341398</c:v>
                </c:pt>
                <c:pt idx="74">
                  <c:v>12.759412511279214</c:v>
                </c:pt>
                <c:pt idx="75">
                  <c:v>12.792865333957099</c:v>
                </c:pt>
                <c:pt idx="76">
                  <c:v>12.808055564004899</c:v>
                </c:pt>
                <c:pt idx="77">
                  <c:v>12.802130529687814</c:v>
                </c:pt>
                <c:pt idx="78">
                  <c:v>12.772731076726608</c:v>
                </c:pt>
                <c:pt idx="79">
                  <c:v>12.718089511949307</c:v>
                </c:pt>
                <c:pt idx="80">
                  <c:v>12.637083341133092</c:v>
                </c:pt>
                <c:pt idx="81">
                  <c:v>12.529330703885902</c:v>
                </c:pt>
                <c:pt idx="82">
                  <c:v>12.3951913873988</c:v>
                </c:pt>
                <c:pt idx="83">
                  <c:v>12.2357518121838</c:v>
                </c:pt>
                <c:pt idx="84">
                  <c:v>12.052597073983714</c:v>
                </c:pt>
                <c:pt idx="85">
                  <c:v>11.8476679372903</c:v>
                </c:pt>
                <c:pt idx="86">
                  <c:v>11.623225407751789</c:v>
                </c:pt>
                <c:pt idx="87">
                  <c:v>11.381841435228207</c:v>
                </c:pt>
                <c:pt idx="88">
                  <c:v>11.126272268690192</c:v>
                </c:pt>
                <c:pt idx="89">
                  <c:v>10.859221312668907</c:v>
                </c:pt>
                <c:pt idx="90">
                  <c:v>10.583200683252098</c:v>
                </c:pt>
                <c:pt idx="91">
                  <c:v>10.300443393241007</c:v>
                </c:pt>
                <c:pt idx="92">
                  <c:v>10.012801257326911</c:v>
                </c:pt>
                <c:pt idx="93">
                  <c:v>9.7217531166612279</c:v>
                </c:pt>
                <c:pt idx="94">
                  <c:v>9.4285499832144684</c:v>
                </c:pt>
                <c:pt idx="95">
                  <c:v>9.1342866268585681</c:v>
                </c:pt>
                <c:pt idx="96">
                  <c:v>8.8398612994532026</c:v>
                </c:pt>
                <c:pt idx="97">
                  <c:v>8.5460036925729259</c:v>
                </c:pt>
                <c:pt idx="98">
                  <c:v>8.2533189866494983</c:v>
                </c:pt>
                <c:pt idx="99">
                  <c:v>7.9623126060628096</c:v>
                </c:pt>
                <c:pt idx="100">
                  <c:v>7.6733921345379503</c:v>
                </c:pt>
                <c:pt idx="101">
                  <c:v>7.3868795119356996</c:v>
                </c:pt>
                <c:pt idx="102">
                  <c:v>7.1029993855191433</c:v>
                </c:pt>
                <c:pt idx="103">
                  <c:v>6.8219036580168062</c:v>
                </c:pt>
                <c:pt idx="104">
                  <c:v>6.5437113468449875</c:v>
                </c:pt>
                <c:pt idx="105">
                  <c:v>6.2685605161341602</c:v>
                </c:pt>
                <c:pt idx="106">
                  <c:v>5.9965894231013914</c:v>
                </c:pt>
                <c:pt idx="107">
                  <c:v>5.7279418797249262</c:v>
                </c:pt>
                <c:pt idx="108">
                  <c:v>5.4627622263122895</c:v>
                </c:pt>
                <c:pt idx="109">
                  <c:v>5.2012240073976237</c:v>
                </c:pt>
                <c:pt idx="110">
                  <c:v>4.94352080607272</c:v>
                </c:pt>
                <c:pt idx="111">
                  <c:v>4.6898497185050401</c:v>
                </c:pt>
                <c:pt idx="112">
                  <c:v>4.4403853163024163</c:v>
                </c:pt>
                <c:pt idx="113">
                  <c:v>4.1952909932324403</c:v>
                </c:pt>
                <c:pt idx="114">
                  <c:v>3.9547361587844412</c:v>
                </c:pt>
                <c:pt idx="115">
                  <c:v>3.7189120506000899</c:v>
                </c:pt>
                <c:pt idx="116">
                  <c:v>3.4880349599953719</c:v>
                </c:pt>
                <c:pt idx="117">
                  <c:v>3.26233853901662</c:v>
                </c:pt>
                <c:pt idx="118">
                  <c:v>3.0420783172477797</c:v>
                </c:pt>
                <c:pt idx="119">
                  <c:v>2.8275273458097319</c:v>
                </c:pt>
                <c:pt idx="120">
                  <c:v>2.6189413331121787</c:v>
                </c:pt>
                <c:pt idx="121">
                  <c:v>2.416512458153798</c:v>
                </c:pt>
                <c:pt idx="122">
                  <c:v>2.2203211601277619</c:v>
                </c:pt>
                <c:pt idx="123">
                  <c:v>2.0303050452989</c:v>
                </c:pt>
                <c:pt idx="124">
                  <c:v>1.8463159606358417</c:v>
                </c:pt>
                <c:pt idx="125">
                  <c:v>1.6681345552878299</c:v>
                </c:pt>
                <c:pt idx="126">
                  <c:v>1.4954749559257099</c:v>
                </c:pt>
                <c:pt idx="127">
                  <c:v>1.3279962643123591</c:v>
                </c:pt>
                <c:pt idx="128">
                  <c:v>1.1653050604791499</c:v>
                </c:pt>
                <c:pt idx="129">
                  <c:v>1.00696826938574</c:v>
                </c:pt>
                <c:pt idx="130">
                  <c:v>0.85247196534510705</c:v>
                </c:pt>
                <c:pt idx="131">
                  <c:v>0.70123237065342603</c:v>
                </c:pt>
                <c:pt idx="132">
                  <c:v>0.55263226976584556</c:v>
                </c:pt>
                <c:pt idx="133">
                  <c:v>0.40604949118792721</c:v>
                </c:pt>
                <c:pt idx="134">
                  <c:v>0.26088408891242937</c:v>
                </c:pt>
                <c:pt idx="135">
                  <c:v>0.116602290992344</c:v>
                </c:pt>
                <c:pt idx="136">
                  <c:v>-2.7222465343387382E-2</c:v>
                </c:pt>
                <c:pt idx="137">
                  <c:v>-0.17089238310510219</c:v>
                </c:pt>
              </c:numCache>
            </c:numRef>
          </c:val>
          <c:smooth val="1"/>
        </c:ser>
        <c:ser>
          <c:idx val="2"/>
          <c:order val="1"/>
          <c:tx>
            <c:v>Thành phần chu kì-trục trái</c:v>
          </c:tx>
          <c:marker>
            <c:symbol val="none"/>
          </c:marker>
          <c:cat>
            <c:strRef>
              <c:f>'Phan ra lam phat'!$A$3:$A$138</c:f>
              <c:strCache>
                <c:ptCount val="136"/>
                <c:pt idx="0">
                  <c:v>2005 M1</c:v>
                </c:pt>
                <c:pt idx="1">
                  <c:v>2005 M2</c:v>
                </c:pt>
                <c:pt idx="2">
                  <c:v>2005 M3</c:v>
                </c:pt>
                <c:pt idx="3">
                  <c:v>2005 M4</c:v>
                </c:pt>
                <c:pt idx="4">
                  <c:v>2005 M5</c:v>
                </c:pt>
                <c:pt idx="5">
                  <c:v>2005 M6 </c:v>
                </c:pt>
                <c:pt idx="6">
                  <c:v>2005 M7</c:v>
                </c:pt>
                <c:pt idx="7">
                  <c:v>2005 M8</c:v>
                </c:pt>
                <c:pt idx="8">
                  <c:v>2005 M9</c:v>
                </c:pt>
                <c:pt idx="9">
                  <c:v>2005 M10</c:v>
                </c:pt>
                <c:pt idx="10">
                  <c:v>2005 M11</c:v>
                </c:pt>
                <c:pt idx="11">
                  <c:v>2005 M12</c:v>
                </c:pt>
                <c:pt idx="12">
                  <c:v>2006 M1</c:v>
                </c:pt>
                <c:pt idx="13">
                  <c:v>2006 M2</c:v>
                </c:pt>
                <c:pt idx="14">
                  <c:v>2006 M3</c:v>
                </c:pt>
                <c:pt idx="15">
                  <c:v>2006 M4</c:v>
                </c:pt>
                <c:pt idx="16">
                  <c:v>2006 M5</c:v>
                </c:pt>
                <c:pt idx="17">
                  <c:v>2006 M6 </c:v>
                </c:pt>
                <c:pt idx="18">
                  <c:v>2006 M7</c:v>
                </c:pt>
                <c:pt idx="19">
                  <c:v>2006 M8</c:v>
                </c:pt>
                <c:pt idx="20">
                  <c:v>2006 M9</c:v>
                </c:pt>
                <c:pt idx="21">
                  <c:v>2006 M10</c:v>
                </c:pt>
                <c:pt idx="22">
                  <c:v>2006 M11</c:v>
                </c:pt>
                <c:pt idx="23">
                  <c:v>2006 M12</c:v>
                </c:pt>
                <c:pt idx="24">
                  <c:v>2007 M1</c:v>
                </c:pt>
                <c:pt idx="25">
                  <c:v>2007 M2</c:v>
                </c:pt>
                <c:pt idx="26">
                  <c:v>2007 M3</c:v>
                </c:pt>
                <c:pt idx="27">
                  <c:v>2007 M4</c:v>
                </c:pt>
                <c:pt idx="28">
                  <c:v>2007 M5</c:v>
                </c:pt>
                <c:pt idx="29">
                  <c:v>2007 M6 </c:v>
                </c:pt>
                <c:pt idx="30">
                  <c:v>2007 M7</c:v>
                </c:pt>
                <c:pt idx="31">
                  <c:v>2007 M8</c:v>
                </c:pt>
                <c:pt idx="32">
                  <c:v>2007 M9</c:v>
                </c:pt>
                <c:pt idx="33">
                  <c:v>2007 M10</c:v>
                </c:pt>
                <c:pt idx="34">
                  <c:v>2007 M11</c:v>
                </c:pt>
                <c:pt idx="35">
                  <c:v>2007 M12</c:v>
                </c:pt>
                <c:pt idx="36">
                  <c:v>2008 M1</c:v>
                </c:pt>
                <c:pt idx="37">
                  <c:v>2008 M2</c:v>
                </c:pt>
                <c:pt idx="38">
                  <c:v>2008 M3</c:v>
                </c:pt>
                <c:pt idx="39">
                  <c:v>2008 M4</c:v>
                </c:pt>
                <c:pt idx="40">
                  <c:v>2008 M5</c:v>
                </c:pt>
                <c:pt idx="41">
                  <c:v>2008 M6 </c:v>
                </c:pt>
                <c:pt idx="42">
                  <c:v>2008 M7</c:v>
                </c:pt>
                <c:pt idx="43">
                  <c:v>2008 M8</c:v>
                </c:pt>
                <c:pt idx="44">
                  <c:v>2008 M9</c:v>
                </c:pt>
                <c:pt idx="45">
                  <c:v>2008 M10</c:v>
                </c:pt>
                <c:pt idx="46">
                  <c:v>2008 M11</c:v>
                </c:pt>
                <c:pt idx="47">
                  <c:v>2008 M12</c:v>
                </c:pt>
                <c:pt idx="48">
                  <c:v>2009 M1</c:v>
                </c:pt>
                <c:pt idx="49">
                  <c:v>2009 M2</c:v>
                </c:pt>
                <c:pt idx="50">
                  <c:v>2009 M3</c:v>
                </c:pt>
                <c:pt idx="51">
                  <c:v>2009 M4</c:v>
                </c:pt>
                <c:pt idx="52">
                  <c:v>2009 M5</c:v>
                </c:pt>
                <c:pt idx="53">
                  <c:v>2009 M6 </c:v>
                </c:pt>
                <c:pt idx="54">
                  <c:v>2009 M7</c:v>
                </c:pt>
                <c:pt idx="55">
                  <c:v>2009 M8</c:v>
                </c:pt>
                <c:pt idx="56">
                  <c:v>2009 M9</c:v>
                </c:pt>
                <c:pt idx="57">
                  <c:v>2009 M10</c:v>
                </c:pt>
                <c:pt idx="58">
                  <c:v>2009 M11</c:v>
                </c:pt>
                <c:pt idx="59">
                  <c:v>2009 M12</c:v>
                </c:pt>
                <c:pt idx="60">
                  <c:v>2010 M1</c:v>
                </c:pt>
                <c:pt idx="61">
                  <c:v>2010 M2</c:v>
                </c:pt>
                <c:pt idx="62">
                  <c:v>2010 M3</c:v>
                </c:pt>
                <c:pt idx="63">
                  <c:v>2010 M4</c:v>
                </c:pt>
                <c:pt idx="64">
                  <c:v>2010 M5</c:v>
                </c:pt>
                <c:pt idx="65">
                  <c:v>2010 M6 </c:v>
                </c:pt>
                <c:pt idx="66">
                  <c:v>2010 M7</c:v>
                </c:pt>
                <c:pt idx="67">
                  <c:v>2010 M8</c:v>
                </c:pt>
                <c:pt idx="68">
                  <c:v>2010 M9</c:v>
                </c:pt>
                <c:pt idx="69">
                  <c:v>2010 M10</c:v>
                </c:pt>
                <c:pt idx="70">
                  <c:v>2010 M11</c:v>
                </c:pt>
                <c:pt idx="71">
                  <c:v>2010 M12</c:v>
                </c:pt>
                <c:pt idx="72">
                  <c:v>2011 M1</c:v>
                </c:pt>
                <c:pt idx="73">
                  <c:v>2011 M2</c:v>
                </c:pt>
                <c:pt idx="74">
                  <c:v>2011 M3</c:v>
                </c:pt>
                <c:pt idx="75">
                  <c:v>2011 M4</c:v>
                </c:pt>
                <c:pt idx="76">
                  <c:v>2011 M5</c:v>
                </c:pt>
                <c:pt idx="77">
                  <c:v>2011 M6 </c:v>
                </c:pt>
                <c:pt idx="78">
                  <c:v>2011 M7</c:v>
                </c:pt>
                <c:pt idx="79">
                  <c:v>2011 M8</c:v>
                </c:pt>
                <c:pt idx="80">
                  <c:v>2011 M9</c:v>
                </c:pt>
                <c:pt idx="81">
                  <c:v>2011 M10</c:v>
                </c:pt>
                <c:pt idx="82">
                  <c:v>2011 M11</c:v>
                </c:pt>
                <c:pt idx="83">
                  <c:v>2011 M12</c:v>
                </c:pt>
                <c:pt idx="84">
                  <c:v>2012 M1</c:v>
                </c:pt>
                <c:pt idx="85">
                  <c:v>2012 M2</c:v>
                </c:pt>
                <c:pt idx="86">
                  <c:v>2012 M3</c:v>
                </c:pt>
                <c:pt idx="87">
                  <c:v>2012 M4</c:v>
                </c:pt>
                <c:pt idx="88">
                  <c:v>2012 M5</c:v>
                </c:pt>
                <c:pt idx="89">
                  <c:v>2012 M6 </c:v>
                </c:pt>
                <c:pt idx="90">
                  <c:v>2012 M7</c:v>
                </c:pt>
                <c:pt idx="91">
                  <c:v>2012 M8</c:v>
                </c:pt>
                <c:pt idx="92">
                  <c:v>2012 M9</c:v>
                </c:pt>
                <c:pt idx="93">
                  <c:v>2012 M10</c:v>
                </c:pt>
                <c:pt idx="94">
                  <c:v>2012 M11</c:v>
                </c:pt>
                <c:pt idx="95">
                  <c:v>2012 M12</c:v>
                </c:pt>
                <c:pt idx="96">
                  <c:v>2013 M1</c:v>
                </c:pt>
                <c:pt idx="97">
                  <c:v>2013 M2</c:v>
                </c:pt>
                <c:pt idx="98">
                  <c:v>2013 M3</c:v>
                </c:pt>
                <c:pt idx="99">
                  <c:v>2013 M4</c:v>
                </c:pt>
                <c:pt idx="100">
                  <c:v>2013 M5</c:v>
                </c:pt>
                <c:pt idx="101">
                  <c:v>2013 M6 </c:v>
                </c:pt>
                <c:pt idx="102">
                  <c:v>2013 M7</c:v>
                </c:pt>
                <c:pt idx="103">
                  <c:v>2013 M8</c:v>
                </c:pt>
                <c:pt idx="104">
                  <c:v>2013 M9</c:v>
                </c:pt>
                <c:pt idx="105">
                  <c:v>2013 M10</c:v>
                </c:pt>
                <c:pt idx="106">
                  <c:v>2013 M11</c:v>
                </c:pt>
                <c:pt idx="107">
                  <c:v>2013 M12</c:v>
                </c:pt>
                <c:pt idx="108">
                  <c:v>2014 M1</c:v>
                </c:pt>
                <c:pt idx="109">
                  <c:v>2014 M2</c:v>
                </c:pt>
                <c:pt idx="110">
                  <c:v>2014 M3</c:v>
                </c:pt>
                <c:pt idx="111">
                  <c:v>2014 M4</c:v>
                </c:pt>
                <c:pt idx="112">
                  <c:v>2014 M5</c:v>
                </c:pt>
                <c:pt idx="113">
                  <c:v>2014 M6 </c:v>
                </c:pt>
                <c:pt idx="114">
                  <c:v>2014 M7</c:v>
                </c:pt>
                <c:pt idx="115">
                  <c:v>2014 M8</c:v>
                </c:pt>
                <c:pt idx="116">
                  <c:v>2014 M9</c:v>
                </c:pt>
                <c:pt idx="117">
                  <c:v>2014 M10</c:v>
                </c:pt>
                <c:pt idx="118">
                  <c:v>2014 M11</c:v>
                </c:pt>
                <c:pt idx="119">
                  <c:v>2014 M12</c:v>
                </c:pt>
                <c:pt idx="120">
                  <c:v>2015 M1</c:v>
                </c:pt>
                <c:pt idx="121">
                  <c:v>2015 M2</c:v>
                </c:pt>
                <c:pt idx="122">
                  <c:v>2015 M3</c:v>
                </c:pt>
                <c:pt idx="123">
                  <c:v>2015 M4</c:v>
                </c:pt>
                <c:pt idx="124">
                  <c:v>2015 M5</c:v>
                </c:pt>
                <c:pt idx="125">
                  <c:v>2015 M6 </c:v>
                </c:pt>
                <c:pt idx="126">
                  <c:v>2015 M7</c:v>
                </c:pt>
                <c:pt idx="127">
                  <c:v>2015 M8</c:v>
                </c:pt>
                <c:pt idx="128">
                  <c:v>2015 M9</c:v>
                </c:pt>
                <c:pt idx="129">
                  <c:v>2015 M10</c:v>
                </c:pt>
                <c:pt idx="130">
                  <c:v>2015 M11</c:v>
                </c:pt>
                <c:pt idx="131">
                  <c:v>2015 M12</c:v>
                </c:pt>
                <c:pt idx="132">
                  <c:v>2016 M1</c:v>
                </c:pt>
                <c:pt idx="133">
                  <c:v>2016 M2</c:v>
                </c:pt>
                <c:pt idx="134">
                  <c:v>2016 M3</c:v>
                </c:pt>
                <c:pt idx="135">
                  <c:v>2016 M4</c:v>
                </c:pt>
              </c:strCache>
            </c:strRef>
          </c:cat>
          <c:val>
            <c:numRef>
              <c:f>'Phan ra lam phat'!$I$3:$I$140</c:f>
              <c:numCache>
                <c:formatCode>0.00</c:formatCode>
                <c:ptCount val="138"/>
                <c:pt idx="0">
                  <c:v>2.5455253883895499</c:v>
                </c:pt>
                <c:pt idx="1">
                  <c:v>2.0746947714284212</c:v>
                </c:pt>
                <c:pt idx="2">
                  <c:v>1.3420267040981599</c:v>
                </c:pt>
                <c:pt idx="3">
                  <c:v>1.2234779213035309</c:v>
                </c:pt>
                <c:pt idx="4">
                  <c:v>0.57751920868898943</c:v>
                </c:pt>
                <c:pt idx="5">
                  <c:v>-1.1558494349483011E-2</c:v>
                </c:pt>
                <c:pt idx="6">
                  <c:v>-0.167912525419528</c:v>
                </c:pt>
                <c:pt idx="7">
                  <c:v>-0.34829126109244823</c:v>
                </c:pt>
                <c:pt idx="8">
                  <c:v>0.19831619854150612</c:v>
                </c:pt>
                <c:pt idx="9">
                  <c:v>0.54706805737899245</c:v>
                </c:pt>
                <c:pt idx="10">
                  <c:v>0.54838084656943142</c:v>
                </c:pt>
                <c:pt idx="11">
                  <c:v>0.23385774088062811</c:v>
                </c:pt>
                <c:pt idx="12">
                  <c:v>0.53944163849291904</c:v>
                </c:pt>
                <c:pt idx="13">
                  <c:v>0.22156240567790611</c:v>
                </c:pt>
                <c:pt idx="14">
                  <c:v>-0.61280763559552376</c:v>
                </c:pt>
                <c:pt idx="15">
                  <c:v>-1.2510074307908801</c:v>
                </c:pt>
                <c:pt idx="16">
                  <c:v>-1.3324299698387012</c:v>
                </c:pt>
                <c:pt idx="17">
                  <c:v>-1.3326035403452401</c:v>
                </c:pt>
                <c:pt idx="18">
                  <c:v>-1.565436457146129</c:v>
                </c:pt>
                <c:pt idx="19">
                  <c:v>-1.59686972357329</c:v>
                </c:pt>
                <c:pt idx="20">
                  <c:v>-2.225568584053188</c:v>
                </c:pt>
                <c:pt idx="21">
                  <c:v>-2.67643227795286</c:v>
                </c:pt>
                <c:pt idx="22">
                  <c:v>-2.7947164042587684</c:v>
                </c:pt>
                <c:pt idx="23">
                  <c:v>-3.43817438518936</c:v>
                </c:pt>
                <c:pt idx="24">
                  <c:v>-3.753058420989678</c:v>
                </c:pt>
                <c:pt idx="25">
                  <c:v>-3.7701212918095726</c:v>
                </c:pt>
                <c:pt idx="26">
                  <c:v>-3.7745727557542401</c:v>
                </c:pt>
                <c:pt idx="27">
                  <c:v>-3.6717379986038901</c:v>
                </c:pt>
                <c:pt idx="28">
                  <c:v>-3.8796977965754</c:v>
                </c:pt>
                <c:pt idx="29">
                  <c:v>-3.5193764507442684</c:v>
                </c:pt>
                <c:pt idx="30">
                  <c:v>-3.12375532908443</c:v>
                </c:pt>
                <c:pt idx="31">
                  <c:v>-3.0166518248795979</c:v>
                </c:pt>
                <c:pt idx="32">
                  <c:v>-2.8551466885095587</c:v>
                </c:pt>
                <c:pt idx="33">
                  <c:v>-2.5330517461342001</c:v>
                </c:pt>
                <c:pt idx="34">
                  <c:v>-2.4398088503718673</c:v>
                </c:pt>
                <c:pt idx="35">
                  <c:v>-0.456807532513826</c:v>
                </c:pt>
                <c:pt idx="36">
                  <c:v>0.97869884948075059</c:v>
                </c:pt>
                <c:pt idx="37">
                  <c:v>2.7436132958378718</c:v>
                </c:pt>
                <c:pt idx="38">
                  <c:v>5.9293413598627103</c:v>
                </c:pt>
                <c:pt idx="39">
                  <c:v>7.7885917880460314</c:v>
                </c:pt>
                <c:pt idx="40">
                  <c:v>11.234107124656992</c:v>
                </c:pt>
                <c:pt idx="41">
                  <c:v>13.460995914259607</c:v>
                </c:pt>
                <c:pt idx="42">
                  <c:v>13.813354338112402</c:v>
                </c:pt>
                <c:pt idx="43">
                  <c:v>15.764127823677592</c:v>
                </c:pt>
                <c:pt idx="44">
                  <c:v>15.708100710727299</c:v>
                </c:pt>
                <c:pt idx="45">
                  <c:v>14.6907820471903</c:v>
                </c:pt>
                <c:pt idx="46">
                  <c:v>10.809519583185507</c:v>
                </c:pt>
                <c:pt idx="47">
                  <c:v>5.6010430209493434</c:v>
                </c:pt>
                <c:pt idx="48">
                  <c:v>-12.042891515523907</c:v>
                </c:pt>
                <c:pt idx="49">
                  <c:v>4.3139024729366895</c:v>
                </c:pt>
                <c:pt idx="50">
                  <c:v>-2.0161115925876318</c:v>
                </c:pt>
                <c:pt idx="51">
                  <c:v>-3.7262704677463119</c:v>
                </c:pt>
                <c:pt idx="52">
                  <c:v>-7.1700348894042696</c:v>
                </c:pt>
                <c:pt idx="53">
                  <c:v>-8.5197509536350093</c:v>
                </c:pt>
                <c:pt idx="54">
                  <c:v>-9.0350404674639471</c:v>
                </c:pt>
                <c:pt idx="55">
                  <c:v>-10.2545698277961</c:v>
                </c:pt>
                <c:pt idx="56">
                  <c:v>-9.6879009729141039</c:v>
                </c:pt>
                <c:pt idx="57">
                  <c:v>-8.9690938462541396</c:v>
                </c:pt>
                <c:pt idx="58">
                  <c:v>-7.7875335510045085</c:v>
                </c:pt>
                <c:pt idx="59">
                  <c:v>-5.9131722261459148</c:v>
                </c:pt>
                <c:pt idx="60">
                  <c:v>-4.7508431291570998</c:v>
                </c:pt>
                <c:pt idx="61">
                  <c:v>-3.6934899348294197</c:v>
                </c:pt>
                <c:pt idx="62">
                  <c:v>-2.86894975899886</c:v>
                </c:pt>
                <c:pt idx="63">
                  <c:v>-2.98969936454534</c:v>
                </c:pt>
                <c:pt idx="64">
                  <c:v>-3.0980876577503529</c:v>
                </c:pt>
                <c:pt idx="65">
                  <c:v>-3.1977449797364801</c:v>
                </c:pt>
                <c:pt idx="66">
                  <c:v>-3.8856707842417997</c:v>
                </c:pt>
                <c:pt idx="67">
                  <c:v>-3.7885770379295929</c:v>
                </c:pt>
                <c:pt idx="68">
                  <c:v>-2.2202079156827699</c:v>
                </c:pt>
                <c:pt idx="69">
                  <c:v>-2.9071185825389612</c:v>
                </c:pt>
                <c:pt idx="70">
                  <c:v>-1.54917607385557</c:v>
                </c:pt>
                <c:pt idx="71">
                  <c:v>-1.525838611690149</c:v>
                </c:pt>
                <c:pt idx="72">
                  <c:v>-1.07629091784882</c:v>
                </c:pt>
                <c:pt idx="73">
                  <c:v>-0.65655193478801643</c:v>
                </c:pt>
                <c:pt idx="74">
                  <c:v>0.84708902895486304</c:v>
                </c:pt>
                <c:pt idx="75">
                  <c:v>4.6646011497824764</c:v>
                </c:pt>
                <c:pt idx="76">
                  <c:v>7.1066513579710895</c:v>
                </c:pt>
                <c:pt idx="77">
                  <c:v>8.5170399481149506</c:v>
                </c:pt>
                <c:pt idx="78">
                  <c:v>9.2908648644915814</c:v>
                </c:pt>
                <c:pt idx="79">
                  <c:v>10.665127162550201</c:v>
                </c:pt>
                <c:pt idx="80">
                  <c:v>10.6797252009688</c:v>
                </c:pt>
                <c:pt idx="81">
                  <c:v>10.463519819117918</c:v>
                </c:pt>
                <c:pt idx="82">
                  <c:v>7.1809233222664766</c:v>
                </c:pt>
                <c:pt idx="83">
                  <c:v>5.1216299883818639</c:v>
                </c:pt>
                <c:pt idx="84">
                  <c:v>4.6114726497723897</c:v>
                </c:pt>
                <c:pt idx="85">
                  <c:v>4.47759664958736</c:v>
                </c:pt>
                <c:pt idx="86">
                  <c:v>2.6539071977278299</c:v>
                </c:pt>
                <c:pt idx="87">
                  <c:v>-0.76095993602742273</c:v>
                </c:pt>
                <c:pt idx="88">
                  <c:v>-2.7545535777134318</c:v>
                </c:pt>
                <c:pt idx="89">
                  <c:v>-4.01908733086852</c:v>
                </c:pt>
                <c:pt idx="90">
                  <c:v>-5.4892527796990533</c:v>
                </c:pt>
                <c:pt idx="91">
                  <c:v>-5.3708189789102159</c:v>
                </c:pt>
                <c:pt idx="92">
                  <c:v>-3.28074019932752</c:v>
                </c:pt>
                <c:pt idx="93">
                  <c:v>-2.2498862229145118</c:v>
                </c:pt>
                <c:pt idx="94">
                  <c:v>-2.8298593760908575</c:v>
                </c:pt>
                <c:pt idx="95">
                  <c:v>-2.4272681049147073</c:v>
                </c:pt>
                <c:pt idx="96">
                  <c:v>-1.792960457046159</c:v>
                </c:pt>
                <c:pt idx="97">
                  <c:v>-1.4364871466084701</c:v>
                </c:pt>
                <c:pt idx="98">
                  <c:v>-1.4089054289881</c:v>
                </c:pt>
                <c:pt idx="99">
                  <c:v>-1.2332716463266991</c:v>
                </c:pt>
                <c:pt idx="100">
                  <c:v>-1.4010134066470099</c:v>
                </c:pt>
                <c:pt idx="101">
                  <c:v>-1.0475212974178179</c:v>
                </c:pt>
                <c:pt idx="102">
                  <c:v>-0.47354849660955423</c:v>
                </c:pt>
                <c:pt idx="103">
                  <c:v>0.27427268418843598</c:v>
                </c:pt>
                <c:pt idx="104">
                  <c:v>2.7804473006307617E-3</c:v>
                </c:pt>
                <c:pt idx="105">
                  <c:v>7.9988560732115119E-2</c:v>
                </c:pt>
                <c:pt idx="106">
                  <c:v>7.6079412435356899E-3</c:v>
                </c:pt>
                <c:pt idx="107">
                  <c:v>0.42054086394520351</c:v>
                </c:pt>
                <c:pt idx="108">
                  <c:v>0.28855522996780641</c:v>
                </c:pt>
                <c:pt idx="109">
                  <c:v>5.0588289597695402E-2</c:v>
                </c:pt>
                <c:pt idx="110">
                  <c:v>-0.32435365868436222</c:v>
                </c:pt>
                <c:pt idx="111">
                  <c:v>-0.16096089934581601</c:v>
                </c:pt>
                <c:pt idx="112">
                  <c:v>8.6626392859227755E-2</c:v>
                </c:pt>
                <c:pt idx="113">
                  <c:v>0.31432539385345359</c:v>
                </c:pt>
                <c:pt idx="114">
                  <c:v>0.36077291004524537</c:v>
                </c:pt>
                <c:pt idx="115">
                  <c:v>0.24999451710877901</c:v>
                </c:pt>
                <c:pt idx="116">
                  <c:v>0.31503654145526822</c:v>
                </c:pt>
                <c:pt idx="117">
                  <c:v>0.25231013187910523</c:v>
                </c:pt>
                <c:pt idx="118">
                  <c:v>-0.24973504077176725</c:v>
                </c:pt>
                <c:pt idx="119">
                  <c:v>-0.91482351886870805</c:v>
                </c:pt>
                <c:pt idx="120">
                  <c:v>-1.6090531994282609</c:v>
                </c:pt>
                <c:pt idx="121">
                  <c:v>-2.0567941678033401</c:v>
                </c:pt>
                <c:pt idx="122">
                  <c:v>-1.23493386549193</c:v>
                </c:pt>
                <c:pt idx="123">
                  <c:v>-1.0252485991809399</c:v>
                </c:pt>
                <c:pt idx="124">
                  <c:v>-0.95792368887095858</c:v>
                </c:pt>
                <c:pt idx="125">
                  <c:v>-0.79235867487153799</c:v>
                </c:pt>
                <c:pt idx="126">
                  <c:v>-0.756312933230468</c:v>
                </c:pt>
                <c:pt idx="127">
                  <c:v>-0.57103303334405842</c:v>
                </c:pt>
                <c:pt idx="128">
                  <c:v>-1.1642493118188701</c:v>
                </c:pt>
                <c:pt idx="129">
                  <c:v>-1.0058690418502698</c:v>
                </c:pt>
                <c:pt idx="130">
                  <c:v>-0.4815049110340025</c:v>
                </c:pt>
                <c:pt idx="131">
                  <c:v>-7.1365673955091691E-2</c:v>
                </c:pt>
                <c:pt idx="132">
                  <c:v>0.32004701561620502</c:v>
                </c:pt>
                <c:pt idx="133">
                  <c:v>0.95290646742020102</c:v>
                </c:pt>
                <c:pt idx="134">
                  <c:v>1.5438121336046999</c:v>
                </c:pt>
                <c:pt idx="135">
                  <c:v>1.7907805544278401</c:v>
                </c:pt>
                <c:pt idx="136">
                  <c:v>2.1220478829996501</c:v>
                </c:pt>
                <c:pt idx="137">
                  <c:v>2.2296754658441684</c:v>
                </c:pt>
              </c:numCache>
            </c:numRef>
          </c:val>
          <c:smooth val="0"/>
        </c:ser>
        <c:dLbls>
          <c:showLegendKey val="0"/>
          <c:showVal val="0"/>
          <c:showCatName val="0"/>
          <c:showSerName val="0"/>
          <c:showPercent val="0"/>
          <c:showBubbleSize val="0"/>
        </c:dLbls>
        <c:marker val="1"/>
        <c:smooth val="0"/>
        <c:axId val="57766272"/>
        <c:axId val="57767808"/>
      </c:lineChart>
      <c:catAx>
        <c:axId val="57766272"/>
        <c:scaling>
          <c:orientation val="minMax"/>
        </c:scaling>
        <c:delete val="0"/>
        <c:axPos val="b"/>
        <c:numFmt formatCode="0.00" sourceLinked="1"/>
        <c:majorTickMark val="out"/>
        <c:minorTickMark val="none"/>
        <c:tickLblPos val="low"/>
        <c:txPr>
          <a:bodyPr rot="-5400000" vert="horz"/>
          <a:lstStyle/>
          <a:p>
            <a:pPr>
              <a:defRPr sz="700"/>
            </a:pPr>
            <a:endParaRPr lang="en-US"/>
          </a:p>
        </c:txPr>
        <c:crossAx val="57767808"/>
        <c:crosses val="autoZero"/>
        <c:auto val="1"/>
        <c:lblAlgn val="ctr"/>
        <c:lblOffset val="100"/>
        <c:tickMarkSkip val="3"/>
        <c:noMultiLvlLbl val="0"/>
      </c:catAx>
      <c:valAx>
        <c:axId val="57767808"/>
        <c:scaling>
          <c:orientation val="minMax"/>
          <c:max val="20"/>
          <c:min val="-15"/>
        </c:scaling>
        <c:delete val="0"/>
        <c:axPos val="l"/>
        <c:majorGridlines>
          <c:spPr>
            <a:ln>
              <a:prstDash val="sysDot"/>
            </a:ln>
          </c:spPr>
        </c:majorGridlines>
        <c:numFmt formatCode="0" sourceLinked="0"/>
        <c:majorTickMark val="out"/>
        <c:minorTickMark val="none"/>
        <c:tickLblPos val="nextTo"/>
        <c:txPr>
          <a:bodyPr rot="0" vert="horz"/>
          <a:lstStyle/>
          <a:p>
            <a:pPr>
              <a:defRPr/>
            </a:pPr>
            <a:endParaRPr lang="en-US"/>
          </a:p>
        </c:txPr>
        <c:crossAx val="57766272"/>
        <c:crosses val="autoZero"/>
        <c:crossBetween val="between"/>
      </c:valAx>
      <c:valAx>
        <c:axId val="57769344"/>
        <c:scaling>
          <c:orientation val="minMax"/>
          <c:max val="2"/>
          <c:min val="-1.5"/>
        </c:scaling>
        <c:delete val="0"/>
        <c:axPos val="r"/>
        <c:numFmt formatCode="0.0" sourceLinked="0"/>
        <c:majorTickMark val="out"/>
        <c:minorTickMark val="none"/>
        <c:tickLblPos val="nextTo"/>
        <c:crossAx val="57771136"/>
        <c:crosses val="max"/>
        <c:crossBetween val="between"/>
      </c:valAx>
      <c:catAx>
        <c:axId val="57771136"/>
        <c:scaling>
          <c:orientation val="minMax"/>
        </c:scaling>
        <c:delete val="1"/>
        <c:axPos val="b"/>
        <c:majorTickMark val="out"/>
        <c:minorTickMark val="none"/>
        <c:tickLblPos val="none"/>
        <c:crossAx val="57769344"/>
        <c:crosses val="autoZero"/>
        <c:auto val="1"/>
        <c:lblAlgn val="ctr"/>
        <c:lblOffset val="100"/>
        <c:noMultiLvlLbl val="0"/>
      </c:catAx>
    </c:plotArea>
    <c:legend>
      <c:legendPos val="t"/>
      <c:layout>
        <c:manualLayout>
          <c:xMode val="edge"/>
          <c:yMode val="edge"/>
          <c:x val="0.05"/>
          <c:y val="2.6148063409053793E-2"/>
          <c:w val="0.9"/>
          <c:h val="5.9217385373813082E-2"/>
        </c:manualLayout>
      </c:layout>
      <c:overlay val="0"/>
    </c:legend>
    <c:plotVisOnly val="1"/>
    <c:dispBlanksAs val="gap"/>
    <c:showDLblsOverMax val="0"/>
  </c:chart>
  <c:spPr>
    <a:ln>
      <a:noFill/>
    </a:ln>
  </c:spPr>
  <c:txPr>
    <a:bodyPr/>
    <a:lstStyle/>
    <a:p>
      <a:pPr>
        <a:defRPr sz="9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31125286608737"/>
          <c:y val="5.8526816761208876E-2"/>
          <c:w val="0.79967022453122083"/>
          <c:h val="0.82463029002694499"/>
        </c:manualLayout>
      </c:layout>
      <c:barChart>
        <c:barDir val="col"/>
        <c:grouping val="clustered"/>
        <c:varyColors val="0"/>
        <c:ser>
          <c:idx val="0"/>
          <c:order val="0"/>
          <c:tx>
            <c:strRef>
              <c:f>Sheet1!$M$6</c:f>
              <c:strCache>
                <c:ptCount val="1"/>
                <c:pt idx="0">
                  <c:v>% tăng giảm cùng kỳ 2015</c:v>
                </c:pt>
              </c:strCache>
            </c:strRef>
          </c:tx>
          <c:spPr>
            <a:solidFill>
              <a:schemeClr val="accent3">
                <a:lumMod val="20000"/>
                <a:lumOff val="80000"/>
              </a:schemeClr>
            </a:solidFill>
            <a:ln>
              <a:solidFill>
                <a:schemeClr val="bg1">
                  <a:lumMod val="65000"/>
                </a:schemeClr>
              </a:solidFill>
            </a:ln>
          </c:spPr>
          <c:invertIfNegative val="0"/>
          <c:cat>
            <c:strRef>
              <c:f>Sheet1!$L$7:$L$10</c:f>
              <c:strCache>
                <c:ptCount val="4"/>
                <c:pt idx="0">
                  <c:v>Tổng thu NSNN</c:v>
                </c:pt>
                <c:pt idx="1">
                  <c:v>Thu nội địa</c:v>
                </c:pt>
                <c:pt idx="2">
                  <c:v>Thu từ dầu thô</c:v>
                </c:pt>
                <c:pt idx="3">
                  <c:v>Thu từ XNK</c:v>
                </c:pt>
              </c:strCache>
            </c:strRef>
          </c:cat>
          <c:val>
            <c:numRef>
              <c:f>Sheet1!$M$7:$M$10</c:f>
              <c:numCache>
                <c:formatCode>General</c:formatCode>
                <c:ptCount val="4"/>
                <c:pt idx="0">
                  <c:v>6.1</c:v>
                </c:pt>
                <c:pt idx="1">
                  <c:v>13.8</c:v>
                </c:pt>
                <c:pt idx="2">
                  <c:v>-44.8</c:v>
                </c:pt>
                <c:pt idx="3">
                  <c:v>-2.2000000000000002</c:v>
                </c:pt>
              </c:numCache>
            </c:numRef>
          </c:val>
        </c:ser>
        <c:ser>
          <c:idx val="1"/>
          <c:order val="1"/>
          <c:tx>
            <c:strRef>
              <c:f>Sheet1!$N$6</c:f>
              <c:strCache>
                <c:ptCount val="1"/>
                <c:pt idx="0">
                  <c:v>% thực hiện dự toán</c:v>
                </c:pt>
              </c:strCache>
            </c:strRef>
          </c:tx>
          <c:spPr>
            <a:solidFill>
              <a:schemeClr val="accent3">
                <a:lumMod val="60000"/>
                <a:lumOff val="40000"/>
              </a:schemeClr>
            </a:solidFill>
            <a:ln>
              <a:solidFill>
                <a:schemeClr val="bg1">
                  <a:lumMod val="65000"/>
                </a:schemeClr>
              </a:solidFill>
            </a:ln>
          </c:spPr>
          <c:invertIfNegative val="0"/>
          <c:cat>
            <c:strRef>
              <c:f>Sheet1!$L$7:$L$10</c:f>
              <c:strCache>
                <c:ptCount val="4"/>
                <c:pt idx="0">
                  <c:v>Tổng thu NSNN</c:v>
                </c:pt>
                <c:pt idx="1">
                  <c:v>Thu nội địa</c:v>
                </c:pt>
                <c:pt idx="2">
                  <c:v>Thu từ dầu thô</c:v>
                </c:pt>
                <c:pt idx="3">
                  <c:v>Thu từ XNK</c:v>
                </c:pt>
              </c:strCache>
            </c:strRef>
          </c:cat>
          <c:val>
            <c:numRef>
              <c:f>Sheet1!$N$7:$N$10</c:f>
              <c:numCache>
                <c:formatCode>General</c:formatCode>
                <c:ptCount val="4"/>
                <c:pt idx="0">
                  <c:v>47</c:v>
                </c:pt>
                <c:pt idx="1">
                  <c:v>48.8</c:v>
                </c:pt>
                <c:pt idx="2">
                  <c:v>37.200000000000003</c:v>
                </c:pt>
                <c:pt idx="3">
                  <c:v>41.9</c:v>
                </c:pt>
              </c:numCache>
            </c:numRef>
          </c:val>
        </c:ser>
        <c:dLbls>
          <c:showLegendKey val="0"/>
          <c:showVal val="0"/>
          <c:showCatName val="0"/>
          <c:showSerName val="0"/>
          <c:showPercent val="0"/>
          <c:showBubbleSize val="0"/>
        </c:dLbls>
        <c:gapWidth val="99"/>
        <c:overlap val="-1"/>
        <c:axId val="57787904"/>
        <c:axId val="57789440"/>
      </c:barChart>
      <c:catAx>
        <c:axId val="57787904"/>
        <c:scaling>
          <c:orientation val="minMax"/>
        </c:scaling>
        <c:delete val="0"/>
        <c:axPos val="b"/>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7789440"/>
        <c:crosses val="autoZero"/>
        <c:auto val="1"/>
        <c:lblAlgn val="ctr"/>
        <c:lblOffset val="100"/>
        <c:noMultiLvlLbl val="0"/>
      </c:catAx>
      <c:valAx>
        <c:axId val="57789440"/>
        <c:scaling>
          <c:orientation val="minMax"/>
          <c:max val="60"/>
          <c:min val="-60"/>
        </c:scaling>
        <c:delete val="0"/>
        <c:axPos val="l"/>
        <c:majorGridlines>
          <c:spPr>
            <a:ln>
              <a:prstDash val="sysDot"/>
            </a:ln>
          </c:spPr>
        </c:majorGridlines>
        <c:numFmt formatCode="General" sourceLinked="1"/>
        <c:majorTickMark val="none"/>
        <c:minorTickMark val="none"/>
        <c:tickLblPos val="nextTo"/>
        <c:spPr>
          <a:ln>
            <a:noFill/>
          </a:ln>
        </c:spPr>
        <c:txPr>
          <a:bodyPr/>
          <a:lstStyle/>
          <a:p>
            <a:pPr>
              <a:defRPr>
                <a:latin typeface="Times New Roman" panose="02020603050405020304" pitchFamily="18" charset="0"/>
                <a:cs typeface="Times New Roman" panose="02020603050405020304" pitchFamily="18" charset="0"/>
              </a:defRPr>
            </a:pPr>
            <a:endParaRPr lang="en-US"/>
          </a:p>
        </c:txPr>
        <c:crossAx val="57787904"/>
        <c:crosses val="autoZero"/>
        <c:crossBetween val="between"/>
        <c:majorUnit val="30"/>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85176852893392"/>
          <c:y val="5.8666666666666693E-2"/>
          <c:w val="0.84758738491021879"/>
          <c:h val="0.53696294319142279"/>
        </c:manualLayout>
      </c:layout>
      <c:barChart>
        <c:barDir val="col"/>
        <c:grouping val="clustered"/>
        <c:varyColors val="0"/>
        <c:ser>
          <c:idx val="0"/>
          <c:order val="0"/>
          <c:tx>
            <c:strRef>
              <c:f>Sheet1!$M$12</c:f>
              <c:strCache>
                <c:ptCount val="1"/>
                <c:pt idx="0">
                  <c:v>% tăng giảm cùng kỳ 2015</c:v>
                </c:pt>
              </c:strCache>
            </c:strRef>
          </c:tx>
          <c:spPr>
            <a:solidFill>
              <a:schemeClr val="accent3">
                <a:lumMod val="60000"/>
                <a:lumOff val="40000"/>
              </a:schemeClr>
            </a:solidFill>
            <a:ln>
              <a:solidFill>
                <a:schemeClr val="tx1">
                  <a:tint val="75000"/>
                  <a:shade val="95000"/>
                  <a:satMod val="105000"/>
                </a:schemeClr>
              </a:solidFill>
            </a:ln>
          </c:spPr>
          <c:invertIfNegative val="0"/>
          <c:cat>
            <c:strRef>
              <c:f>Sheet1!$L$13:$L$16</c:f>
              <c:strCache>
                <c:ptCount val="4"/>
                <c:pt idx="0">
                  <c:v>Tổng chi NSNN</c:v>
                </c:pt>
                <c:pt idx="1">
                  <c:v>Chi Đầu tư</c:v>
                </c:pt>
                <c:pt idx="2">
                  <c:v>Chi Thường xuyên</c:v>
                </c:pt>
                <c:pt idx="3">
                  <c:v>Chi trả nợ</c:v>
                </c:pt>
              </c:strCache>
            </c:strRef>
          </c:cat>
          <c:val>
            <c:numRef>
              <c:f>Sheet1!$M$13:$M$16</c:f>
              <c:numCache>
                <c:formatCode>General</c:formatCode>
                <c:ptCount val="4"/>
                <c:pt idx="0">
                  <c:v>4.9000000000000004</c:v>
                </c:pt>
                <c:pt idx="1">
                  <c:v>4.5999999999999996</c:v>
                </c:pt>
                <c:pt idx="2">
                  <c:v>5</c:v>
                </c:pt>
                <c:pt idx="3">
                  <c:v>5.2</c:v>
                </c:pt>
              </c:numCache>
            </c:numRef>
          </c:val>
        </c:ser>
        <c:ser>
          <c:idx val="1"/>
          <c:order val="1"/>
          <c:tx>
            <c:strRef>
              <c:f>Sheet1!$N$12</c:f>
              <c:strCache>
                <c:ptCount val="1"/>
                <c:pt idx="0">
                  <c:v>% thực hiện dự toán</c:v>
                </c:pt>
              </c:strCache>
            </c:strRef>
          </c:tx>
          <c:spPr>
            <a:solidFill>
              <a:schemeClr val="accent3">
                <a:lumMod val="20000"/>
                <a:lumOff val="80000"/>
              </a:schemeClr>
            </a:solidFill>
            <a:ln>
              <a:solidFill>
                <a:schemeClr val="tx1">
                  <a:tint val="75000"/>
                  <a:shade val="95000"/>
                  <a:satMod val="105000"/>
                </a:schemeClr>
              </a:solidFill>
            </a:ln>
          </c:spPr>
          <c:invertIfNegative val="0"/>
          <c:cat>
            <c:strRef>
              <c:f>Sheet1!$L$13:$L$16</c:f>
              <c:strCache>
                <c:ptCount val="4"/>
                <c:pt idx="0">
                  <c:v>Tổng chi NSNN</c:v>
                </c:pt>
                <c:pt idx="1">
                  <c:v>Chi Đầu tư</c:v>
                </c:pt>
                <c:pt idx="2">
                  <c:v>Chi Thường xuyên</c:v>
                </c:pt>
                <c:pt idx="3">
                  <c:v>Chi trả nợ</c:v>
                </c:pt>
              </c:strCache>
            </c:strRef>
          </c:cat>
          <c:val>
            <c:numRef>
              <c:f>Sheet1!$N$13:$N$16</c:f>
              <c:numCache>
                <c:formatCode>General</c:formatCode>
                <c:ptCount val="4"/>
                <c:pt idx="0">
                  <c:v>44.2</c:v>
                </c:pt>
                <c:pt idx="1">
                  <c:v>32.200000000000003</c:v>
                </c:pt>
                <c:pt idx="2">
                  <c:v>48.5</c:v>
                </c:pt>
                <c:pt idx="3">
                  <c:v>50</c:v>
                </c:pt>
              </c:numCache>
            </c:numRef>
          </c:val>
        </c:ser>
        <c:dLbls>
          <c:showLegendKey val="0"/>
          <c:showVal val="0"/>
          <c:showCatName val="0"/>
          <c:showSerName val="0"/>
          <c:showPercent val="0"/>
          <c:showBubbleSize val="0"/>
        </c:dLbls>
        <c:gapWidth val="99"/>
        <c:overlap val="-1"/>
        <c:axId val="57798016"/>
        <c:axId val="57816192"/>
      </c:barChart>
      <c:catAx>
        <c:axId val="57798016"/>
        <c:scaling>
          <c:orientation val="minMax"/>
        </c:scaling>
        <c:delete val="0"/>
        <c:axPos val="b"/>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7816192"/>
        <c:crosses val="autoZero"/>
        <c:auto val="1"/>
        <c:lblAlgn val="ctr"/>
        <c:lblOffset val="100"/>
        <c:noMultiLvlLbl val="0"/>
      </c:catAx>
      <c:valAx>
        <c:axId val="57816192"/>
        <c:scaling>
          <c:orientation val="minMax"/>
          <c:max val="60"/>
          <c:min val="0"/>
        </c:scaling>
        <c:delete val="0"/>
        <c:axPos val="l"/>
        <c:majorGridlines>
          <c:spPr>
            <a:ln>
              <a:prstDash val="sysDot"/>
            </a:ln>
          </c:spPr>
        </c:majorGridlines>
        <c:numFmt formatCode="General"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en-US"/>
          </a:p>
        </c:txPr>
        <c:crossAx val="57798016"/>
        <c:crosses val="autoZero"/>
        <c:crossBetween val="between"/>
        <c:majorUnit val="20"/>
      </c:valAx>
    </c:plotArea>
    <c:legend>
      <c:legendPos val="b"/>
      <c:layout>
        <c:manualLayout>
          <c:xMode val="edge"/>
          <c:yMode val="edge"/>
          <c:x val="0"/>
          <c:y val="0.82704881889763782"/>
          <c:w val="1"/>
          <c:h val="0.17295118110236249"/>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545895304753737E-2"/>
          <c:y val="3.8255477132715952E-2"/>
          <c:w val="0.89464038349373043"/>
          <c:h val="0.7428654460912526"/>
        </c:manualLayout>
      </c:layout>
      <c:barChart>
        <c:barDir val="col"/>
        <c:grouping val="clustered"/>
        <c:varyColors val="0"/>
        <c:ser>
          <c:idx val="0"/>
          <c:order val="0"/>
          <c:tx>
            <c:strRef>
              <c:f>Sheet1!$B$1</c:f>
              <c:strCache>
                <c:ptCount val="1"/>
                <c:pt idx="0">
                  <c:v>Cổ phiếu </c:v>
                </c:pt>
              </c:strCache>
            </c:strRef>
          </c:tx>
          <c:spPr>
            <a:solidFill>
              <a:schemeClr val="bg1">
                <a:lumMod val="75000"/>
              </a:schemeClr>
            </a:solidFill>
            <a:ln>
              <a:solidFill>
                <a:schemeClr val="tx1"/>
              </a:solidFill>
            </a:ln>
          </c:spPr>
          <c:invertIfNegative val="0"/>
          <c:dLbls>
            <c:dLbl>
              <c:idx val="4"/>
              <c:layout>
                <c:manualLayout>
                  <c:x val="-6.9444444444444501E-3"/>
                  <c:y val="0"/>
                </c:manualLayout>
              </c:layout>
              <c:showLegendKey val="0"/>
              <c:showVal val="1"/>
              <c:showCatName val="0"/>
              <c:showSerName val="0"/>
              <c:showPercent val="0"/>
              <c:showBubbleSize val="0"/>
            </c:dLbl>
            <c:dLbl>
              <c:idx val="6"/>
              <c:layout>
                <c:manualLayout>
                  <c:x val="-6.9444444444444501E-3"/>
                  <c:y val="2.072538860103627E-2"/>
                </c:manualLayout>
              </c:layout>
              <c:showLegendKey val="0"/>
              <c:showVal val="1"/>
              <c:showCatName val="0"/>
              <c:showSerName val="0"/>
              <c:showPercent val="0"/>
              <c:showBubbleSize val="0"/>
            </c:dLbl>
            <c:dLbl>
              <c:idx val="10"/>
              <c:layout>
                <c:manualLayout>
                  <c:x val="0"/>
                  <c:y val="2.7633851468048389E-2"/>
                </c:manualLayout>
              </c:layout>
              <c:showLegendKey val="0"/>
              <c:showVal val="1"/>
              <c:showCatName val="0"/>
              <c:showSerName val="0"/>
              <c:showPercent val="0"/>
              <c:showBubbleSize val="0"/>
            </c:dLbl>
            <c:numFmt formatCode="#,##0_);[Red]\(#,##0\)" sourceLinked="0"/>
            <c:showLegendKey val="0"/>
            <c:showVal val="1"/>
            <c:showCatName val="0"/>
            <c:showSerName val="0"/>
            <c:showPercent val="0"/>
            <c:showBubbleSize val="0"/>
            <c:showLeaderLines val="0"/>
          </c:dLbls>
          <c:cat>
            <c:strRef>
              <c:f>Sheet1!$A$2:$A$9</c:f>
              <c:strCache>
                <c:ptCount val="8"/>
                <c:pt idx="0">
                  <c:v>T11.15</c:v>
                </c:pt>
                <c:pt idx="1">
                  <c:v>T12.15</c:v>
                </c:pt>
                <c:pt idx="2">
                  <c:v>T1.16</c:v>
                </c:pt>
                <c:pt idx="3">
                  <c:v>T2.16</c:v>
                </c:pt>
                <c:pt idx="4">
                  <c:v>T3.16</c:v>
                </c:pt>
                <c:pt idx="5">
                  <c:v>T4.16 </c:v>
                </c:pt>
                <c:pt idx="6">
                  <c:v>T5.16 </c:v>
                </c:pt>
                <c:pt idx="7">
                  <c:v>T6.16 (tới 22/6) </c:v>
                </c:pt>
              </c:strCache>
            </c:strRef>
          </c:cat>
          <c:val>
            <c:numRef>
              <c:f>Sheet1!$B$2:$B$9</c:f>
              <c:numCache>
                <c:formatCode>General</c:formatCode>
                <c:ptCount val="8"/>
                <c:pt idx="0">
                  <c:v>-381.42999999999978</c:v>
                </c:pt>
                <c:pt idx="1">
                  <c:v>-2126.2799999999997</c:v>
                </c:pt>
                <c:pt idx="2">
                  <c:v>-1282</c:v>
                </c:pt>
                <c:pt idx="3">
                  <c:v>-180</c:v>
                </c:pt>
                <c:pt idx="4">
                  <c:v>674</c:v>
                </c:pt>
                <c:pt idx="5">
                  <c:v>-1405</c:v>
                </c:pt>
                <c:pt idx="6">
                  <c:v>918</c:v>
                </c:pt>
                <c:pt idx="7">
                  <c:v>287</c:v>
                </c:pt>
              </c:numCache>
            </c:numRef>
          </c:val>
        </c:ser>
        <c:ser>
          <c:idx val="1"/>
          <c:order val="1"/>
          <c:tx>
            <c:strRef>
              <c:f>Sheet1!$C$1</c:f>
              <c:strCache>
                <c:ptCount val="1"/>
                <c:pt idx="0">
                  <c:v>Trái phiếu Chính phủ</c:v>
                </c:pt>
              </c:strCache>
            </c:strRef>
          </c:tx>
          <c:invertIfNegative val="0"/>
          <c:dLbls>
            <c:dLbl>
              <c:idx val="4"/>
              <c:layout>
                <c:manualLayout>
                  <c:x val="0"/>
                  <c:y val="1.3816925734024163E-2"/>
                </c:manualLayout>
              </c:layout>
              <c:showLegendKey val="0"/>
              <c:showVal val="1"/>
              <c:showCatName val="0"/>
              <c:showSerName val="0"/>
              <c:showPercent val="0"/>
              <c:showBubbleSize val="0"/>
            </c:dLbl>
            <c:dLbl>
              <c:idx val="6"/>
              <c:layout>
                <c:manualLayout>
                  <c:x val="2.3148148148148147E-3"/>
                  <c:y val="2.7633851468048389E-2"/>
                </c:manualLayout>
              </c:layout>
              <c:showLegendKey val="0"/>
              <c:showVal val="1"/>
              <c:showCatName val="0"/>
              <c:showSerName val="0"/>
              <c:showPercent val="0"/>
              <c:showBubbleSize val="0"/>
            </c:dLbl>
            <c:dLbl>
              <c:idx val="10"/>
              <c:layout>
                <c:manualLayout>
                  <c:x val="2.3148148148148997E-3"/>
                  <c:y val="-4.145077720207254E-2"/>
                </c:manualLayout>
              </c:layout>
              <c:showLegendKey val="0"/>
              <c:showVal val="1"/>
              <c:showCatName val="0"/>
              <c:showSerName val="0"/>
              <c:showPercent val="0"/>
              <c:showBubbleSize val="0"/>
            </c:dLbl>
            <c:numFmt formatCode="#,##0_);[Red]\(#,##0\)" sourceLinked="0"/>
            <c:showLegendKey val="0"/>
            <c:showVal val="1"/>
            <c:showCatName val="0"/>
            <c:showSerName val="0"/>
            <c:showPercent val="0"/>
            <c:showBubbleSize val="0"/>
            <c:showLeaderLines val="0"/>
          </c:dLbls>
          <c:cat>
            <c:strRef>
              <c:f>Sheet1!$A$2:$A$9</c:f>
              <c:strCache>
                <c:ptCount val="8"/>
                <c:pt idx="0">
                  <c:v>T11.15</c:v>
                </c:pt>
                <c:pt idx="1">
                  <c:v>T12.15</c:v>
                </c:pt>
                <c:pt idx="2">
                  <c:v>T1.16</c:v>
                </c:pt>
                <c:pt idx="3">
                  <c:v>T2.16</c:v>
                </c:pt>
                <c:pt idx="4">
                  <c:v>T3.16</c:v>
                </c:pt>
                <c:pt idx="5">
                  <c:v>T4.16 </c:v>
                </c:pt>
                <c:pt idx="6">
                  <c:v>T5.16 </c:v>
                </c:pt>
                <c:pt idx="7">
                  <c:v>T6.16 (tới 22/6) </c:v>
                </c:pt>
              </c:strCache>
            </c:strRef>
          </c:cat>
          <c:val>
            <c:numRef>
              <c:f>Sheet1!$C$2:$C$9</c:f>
              <c:numCache>
                <c:formatCode>General</c:formatCode>
                <c:ptCount val="8"/>
                <c:pt idx="0">
                  <c:v>-607</c:v>
                </c:pt>
                <c:pt idx="1">
                  <c:v>-3674</c:v>
                </c:pt>
                <c:pt idx="2">
                  <c:v>1286</c:v>
                </c:pt>
                <c:pt idx="3">
                  <c:v>3389</c:v>
                </c:pt>
                <c:pt idx="4">
                  <c:v>2169</c:v>
                </c:pt>
                <c:pt idx="5">
                  <c:v>-168</c:v>
                </c:pt>
                <c:pt idx="6">
                  <c:v>3966</c:v>
                </c:pt>
                <c:pt idx="7">
                  <c:v>3014</c:v>
                </c:pt>
              </c:numCache>
            </c:numRef>
          </c:val>
        </c:ser>
        <c:dLbls>
          <c:showLegendKey val="0"/>
          <c:showVal val="0"/>
          <c:showCatName val="0"/>
          <c:showSerName val="0"/>
          <c:showPercent val="0"/>
          <c:showBubbleSize val="0"/>
        </c:dLbls>
        <c:gapWidth val="150"/>
        <c:axId val="57833728"/>
        <c:axId val="57835520"/>
      </c:barChart>
      <c:catAx>
        <c:axId val="57833728"/>
        <c:scaling>
          <c:orientation val="minMax"/>
        </c:scaling>
        <c:delete val="0"/>
        <c:axPos val="b"/>
        <c:majorTickMark val="out"/>
        <c:minorTickMark val="none"/>
        <c:tickLblPos val="low"/>
        <c:txPr>
          <a:bodyPr/>
          <a:lstStyle/>
          <a:p>
            <a:pPr>
              <a:defRPr sz="700"/>
            </a:pPr>
            <a:endParaRPr lang="en-US"/>
          </a:p>
        </c:txPr>
        <c:crossAx val="57835520"/>
        <c:crosses val="autoZero"/>
        <c:auto val="1"/>
        <c:lblAlgn val="ctr"/>
        <c:lblOffset val="100"/>
        <c:noMultiLvlLbl val="0"/>
      </c:catAx>
      <c:valAx>
        <c:axId val="57835520"/>
        <c:scaling>
          <c:orientation val="minMax"/>
        </c:scaling>
        <c:delete val="0"/>
        <c:axPos val="l"/>
        <c:numFmt formatCode="General" sourceLinked="1"/>
        <c:majorTickMark val="out"/>
        <c:minorTickMark val="none"/>
        <c:tickLblPos val="nextTo"/>
        <c:crossAx val="57833728"/>
        <c:crosses val="autoZero"/>
        <c:crossBetween val="between"/>
      </c:valAx>
    </c:plotArea>
    <c:legend>
      <c:legendPos val="b"/>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542528194535177E-2"/>
          <c:y val="8.9439431096201852E-2"/>
          <c:w val="0.94221198234465053"/>
          <c:h val="0.58041091637738829"/>
        </c:manualLayout>
      </c:layout>
      <c:barChart>
        <c:barDir val="col"/>
        <c:grouping val="clustered"/>
        <c:varyColors val="0"/>
        <c:ser>
          <c:idx val="0"/>
          <c:order val="0"/>
          <c:tx>
            <c:strRef>
              <c:f>IIP!$C$101</c:f>
              <c:strCache>
                <c:ptCount val="1"/>
                <c:pt idx="0">
                  <c:v>Toàn ngành công nghiệp</c:v>
                </c:pt>
              </c:strCache>
            </c:strRef>
          </c:tx>
          <c:spPr>
            <a:solidFill>
              <a:srgbClr val="00B0F0"/>
            </a:solidFill>
          </c:spPr>
          <c:invertIfNegative val="0"/>
          <c:dLbls>
            <c:showLegendKey val="0"/>
            <c:showVal val="1"/>
            <c:showCatName val="0"/>
            <c:showSerName val="0"/>
            <c:showPercent val="0"/>
            <c:showBubbleSize val="0"/>
            <c:showLeaderLines val="0"/>
          </c:dLbls>
          <c:cat>
            <c:strRef>
              <c:f>IIP!$B$102:$B$106</c:f>
              <c:strCache>
                <c:ptCount val="5"/>
                <c:pt idx="0">
                  <c:v>6T/12</c:v>
                </c:pt>
                <c:pt idx="1">
                  <c:v>6T/13</c:v>
                </c:pt>
                <c:pt idx="2">
                  <c:v>6T/14</c:v>
                </c:pt>
                <c:pt idx="3">
                  <c:v>6T/15</c:v>
                </c:pt>
                <c:pt idx="4">
                  <c:v>6T/16</c:v>
                </c:pt>
              </c:strCache>
            </c:strRef>
          </c:cat>
          <c:val>
            <c:numRef>
              <c:f>IIP!$C$102:$C$106</c:f>
              <c:numCache>
                <c:formatCode>General</c:formatCode>
                <c:ptCount val="5"/>
                <c:pt idx="0">
                  <c:v>4.5</c:v>
                </c:pt>
                <c:pt idx="1">
                  <c:v>5.2</c:v>
                </c:pt>
                <c:pt idx="2">
                  <c:v>5.8</c:v>
                </c:pt>
                <c:pt idx="3">
                  <c:v>9.6</c:v>
                </c:pt>
                <c:pt idx="4">
                  <c:v>7.5</c:v>
                </c:pt>
              </c:numCache>
            </c:numRef>
          </c:val>
        </c:ser>
        <c:ser>
          <c:idx val="1"/>
          <c:order val="1"/>
          <c:tx>
            <c:strRef>
              <c:f>IIP!$D$101</c:f>
              <c:strCache>
                <c:ptCount val="1"/>
                <c:pt idx="0">
                  <c:v>Công nghiệp chế biến chế tạo</c:v>
                </c:pt>
              </c:strCache>
            </c:strRef>
          </c:tx>
          <c:spPr>
            <a:solidFill>
              <a:schemeClr val="tx2">
                <a:lumMod val="75000"/>
              </a:schemeClr>
            </a:solidFill>
          </c:spPr>
          <c:invertIfNegative val="0"/>
          <c:dLbls>
            <c:showLegendKey val="0"/>
            <c:showVal val="1"/>
            <c:showCatName val="0"/>
            <c:showSerName val="0"/>
            <c:showPercent val="0"/>
            <c:showBubbleSize val="0"/>
            <c:showLeaderLines val="0"/>
          </c:dLbls>
          <c:cat>
            <c:strRef>
              <c:f>IIP!$B$102:$B$106</c:f>
              <c:strCache>
                <c:ptCount val="5"/>
                <c:pt idx="0">
                  <c:v>6T/12</c:v>
                </c:pt>
                <c:pt idx="1">
                  <c:v>6T/13</c:v>
                </c:pt>
                <c:pt idx="2">
                  <c:v>6T/14</c:v>
                </c:pt>
                <c:pt idx="3">
                  <c:v>6T/15</c:v>
                </c:pt>
                <c:pt idx="4">
                  <c:v>6T/16</c:v>
                </c:pt>
              </c:strCache>
            </c:strRef>
          </c:cat>
          <c:val>
            <c:numRef>
              <c:f>IIP!$D$102:$D$106</c:f>
              <c:numCache>
                <c:formatCode>General</c:formatCode>
                <c:ptCount val="5"/>
                <c:pt idx="0">
                  <c:v>4</c:v>
                </c:pt>
                <c:pt idx="1">
                  <c:v>4.0999999999999996</c:v>
                </c:pt>
                <c:pt idx="2">
                  <c:v>7.8</c:v>
                </c:pt>
                <c:pt idx="3">
                  <c:v>10</c:v>
                </c:pt>
                <c:pt idx="4">
                  <c:v>10.1</c:v>
                </c:pt>
              </c:numCache>
            </c:numRef>
          </c:val>
        </c:ser>
        <c:dLbls>
          <c:showLegendKey val="0"/>
          <c:showVal val="0"/>
          <c:showCatName val="0"/>
          <c:showSerName val="0"/>
          <c:showPercent val="0"/>
          <c:showBubbleSize val="0"/>
        </c:dLbls>
        <c:gapWidth val="150"/>
        <c:axId val="81651968"/>
        <c:axId val="94806400"/>
      </c:barChart>
      <c:catAx>
        <c:axId val="81651968"/>
        <c:scaling>
          <c:orientation val="minMax"/>
        </c:scaling>
        <c:delete val="0"/>
        <c:axPos val="b"/>
        <c:numFmt formatCode="General" sourceLinked="1"/>
        <c:majorTickMark val="none"/>
        <c:minorTickMark val="none"/>
        <c:tickLblPos val="nextTo"/>
        <c:crossAx val="94806400"/>
        <c:crosses val="autoZero"/>
        <c:auto val="1"/>
        <c:lblAlgn val="ctr"/>
        <c:lblOffset val="100"/>
        <c:noMultiLvlLbl val="0"/>
      </c:catAx>
      <c:valAx>
        <c:axId val="94806400"/>
        <c:scaling>
          <c:orientation val="minMax"/>
          <c:min val="2"/>
        </c:scaling>
        <c:delete val="1"/>
        <c:axPos val="l"/>
        <c:numFmt formatCode="General" sourceLinked="1"/>
        <c:majorTickMark val="none"/>
        <c:minorTickMark val="none"/>
        <c:tickLblPos val="none"/>
        <c:crossAx val="81651968"/>
        <c:crosses val="autoZero"/>
        <c:crossBetween val="between"/>
      </c:valAx>
    </c:plotArea>
    <c:legend>
      <c:legendPos val="b"/>
      <c:layout>
        <c:manualLayout>
          <c:xMode val="edge"/>
          <c:yMode val="edge"/>
          <c:x val="3.0640718201423688E-3"/>
          <c:y val="0.79878531312618228"/>
          <c:w val="0.99387185635971875"/>
          <c:h val="0.1577004487342309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668071121971185E-3"/>
          <c:y val="1.4055755667037903E-3"/>
          <c:w val="0.94730633400970754"/>
          <c:h val="0.80259768329147485"/>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'Tong muc ban le'!$A$69:$A$74</c:f>
              <c:strCache>
                <c:ptCount val="6"/>
                <c:pt idx="0">
                  <c:v>6T/11</c:v>
                </c:pt>
                <c:pt idx="1">
                  <c:v>6T/12</c:v>
                </c:pt>
                <c:pt idx="2">
                  <c:v>6T/13</c:v>
                </c:pt>
                <c:pt idx="3">
                  <c:v>6T/14</c:v>
                </c:pt>
                <c:pt idx="4">
                  <c:v>6T/15</c:v>
                </c:pt>
                <c:pt idx="5">
                  <c:v>6T/16</c:v>
                </c:pt>
              </c:strCache>
            </c:strRef>
          </c:cat>
          <c:val>
            <c:numRef>
              <c:f>'Tong muc ban le'!$B$69:$B$74</c:f>
              <c:numCache>
                <c:formatCode>General</c:formatCode>
                <c:ptCount val="6"/>
                <c:pt idx="0">
                  <c:v>5.7</c:v>
                </c:pt>
                <c:pt idx="1">
                  <c:v>6.5</c:v>
                </c:pt>
                <c:pt idx="2">
                  <c:v>4.9000000000000004</c:v>
                </c:pt>
                <c:pt idx="3">
                  <c:v>5.7</c:v>
                </c:pt>
                <c:pt idx="4">
                  <c:v>8.3000000000000007</c:v>
                </c:pt>
                <c:pt idx="5">
                  <c:v>7.5</c:v>
                </c:pt>
              </c:numCache>
            </c:numRef>
          </c:val>
        </c:ser>
        <c:dLbls>
          <c:showLegendKey val="0"/>
          <c:showVal val="0"/>
          <c:showCatName val="0"/>
          <c:showSerName val="0"/>
          <c:showPercent val="0"/>
          <c:showBubbleSize val="0"/>
        </c:dLbls>
        <c:gapWidth val="150"/>
        <c:axId val="132256896"/>
        <c:axId val="132826240"/>
      </c:barChart>
      <c:catAx>
        <c:axId val="132256896"/>
        <c:scaling>
          <c:orientation val="minMax"/>
        </c:scaling>
        <c:delete val="0"/>
        <c:axPos val="b"/>
        <c:majorTickMark val="out"/>
        <c:minorTickMark val="none"/>
        <c:tickLblPos val="nextTo"/>
        <c:crossAx val="132826240"/>
        <c:crosses val="autoZero"/>
        <c:auto val="1"/>
        <c:lblAlgn val="ctr"/>
        <c:lblOffset val="100"/>
        <c:noMultiLvlLbl val="0"/>
      </c:catAx>
      <c:valAx>
        <c:axId val="132826240"/>
        <c:scaling>
          <c:orientation val="minMax"/>
          <c:max val="10"/>
        </c:scaling>
        <c:delete val="1"/>
        <c:axPos val="l"/>
        <c:majorGridlines>
          <c:spPr>
            <a:ln>
              <a:solidFill>
                <a:schemeClr val="bg1"/>
              </a:solidFill>
            </a:ln>
          </c:spPr>
        </c:majorGridlines>
        <c:numFmt formatCode="General" sourceLinked="1"/>
        <c:majorTickMark val="out"/>
        <c:minorTickMark val="none"/>
        <c:tickLblPos val="none"/>
        <c:crossAx val="132256896"/>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39997083697869E-2"/>
          <c:y val="5.4328145620755108E-2"/>
          <c:w val="0.89671114027413235"/>
          <c:h val="0.68288225450892182"/>
        </c:manualLayout>
      </c:layout>
      <c:barChart>
        <c:barDir val="col"/>
        <c:grouping val="clustered"/>
        <c:varyColors val="0"/>
        <c:ser>
          <c:idx val="0"/>
          <c:order val="0"/>
          <c:tx>
            <c:strRef>
              <c:f>Sheet1!$B$1</c:f>
              <c:strCache>
                <c:ptCount val="1"/>
                <c:pt idx="0">
                  <c:v>Xuất khẩu</c:v>
                </c:pt>
              </c:strCache>
            </c:strRef>
          </c:tx>
          <c:spPr>
            <a:solidFill>
              <a:srgbClr val="0070C0"/>
            </a:solidFill>
          </c:spPr>
          <c:invertIfNegative val="0"/>
          <c:dLbls>
            <c:delete val="1"/>
          </c:dLbls>
          <c:cat>
            <c:strRef>
              <c:f>Sheet1!$A$2:$A$7</c:f>
              <c:strCache>
                <c:ptCount val="6"/>
                <c:pt idx="0">
                  <c:v>T1</c:v>
                </c:pt>
                <c:pt idx="1">
                  <c:v>T2</c:v>
                </c:pt>
                <c:pt idx="2">
                  <c:v>T3</c:v>
                </c:pt>
                <c:pt idx="3">
                  <c:v>T4</c:v>
                </c:pt>
                <c:pt idx="4">
                  <c:v>T5</c:v>
                </c:pt>
                <c:pt idx="5">
                  <c:v>T6</c:v>
                </c:pt>
              </c:strCache>
            </c:strRef>
          </c:cat>
          <c:val>
            <c:numRef>
              <c:f>Sheet1!$B$2:$B$7</c:f>
              <c:numCache>
                <c:formatCode>_(* #,##0_);_(* \(#,##0\);_(* "-"??_);_(@_)</c:formatCode>
                <c:ptCount val="6"/>
                <c:pt idx="0">
                  <c:v>13363</c:v>
                </c:pt>
                <c:pt idx="1">
                  <c:v>10099</c:v>
                </c:pt>
                <c:pt idx="2">
                  <c:v>15117</c:v>
                </c:pt>
                <c:pt idx="3">
                  <c:v>14350</c:v>
                </c:pt>
                <c:pt idx="4" formatCode="General">
                  <c:v>14600</c:v>
                </c:pt>
                <c:pt idx="5" formatCode="General">
                  <c:v>14800</c:v>
                </c:pt>
              </c:numCache>
            </c:numRef>
          </c:val>
        </c:ser>
        <c:ser>
          <c:idx val="1"/>
          <c:order val="1"/>
          <c:tx>
            <c:strRef>
              <c:f>Sheet1!$C$1</c:f>
              <c:strCache>
                <c:ptCount val="1"/>
                <c:pt idx="0">
                  <c:v>Nhập khẩu</c:v>
                </c:pt>
              </c:strCache>
            </c:strRef>
          </c:tx>
          <c:spPr>
            <a:solidFill>
              <a:srgbClr val="FFC000"/>
            </a:solidFill>
            <a:ln>
              <a:solidFill>
                <a:srgbClr val="FFC000"/>
              </a:solidFill>
            </a:ln>
          </c:spPr>
          <c:invertIfNegative val="0"/>
          <c:dLbls>
            <c:delete val="1"/>
          </c:dLbls>
          <c:cat>
            <c:strRef>
              <c:f>Sheet1!$A$2:$A$7</c:f>
              <c:strCache>
                <c:ptCount val="6"/>
                <c:pt idx="0">
                  <c:v>T1</c:v>
                </c:pt>
                <c:pt idx="1">
                  <c:v>T2</c:v>
                </c:pt>
                <c:pt idx="2">
                  <c:v>T3</c:v>
                </c:pt>
                <c:pt idx="3">
                  <c:v>T4</c:v>
                </c:pt>
                <c:pt idx="4">
                  <c:v>T5</c:v>
                </c:pt>
                <c:pt idx="5">
                  <c:v>T6</c:v>
                </c:pt>
              </c:strCache>
            </c:strRef>
          </c:cat>
          <c:val>
            <c:numRef>
              <c:f>Sheet1!$C$2:$C$7</c:f>
              <c:numCache>
                <c:formatCode>_(* #,##0_);_(* \(#,##0\);_(* "-"??_);_(@_)</c:formatCode>
                <c:ptCount val="6"/>
                <c:pt idx="0">
                  <c:v>12598</c:v>
                </c:pt>
                <c:pt idx="1">
                  <c:v>10290</c:v>
                </c:pt>
                <c:pt idx="2">
                  <c:v>14493</c:v>
                </c:pt>
                <c:pt idx="3">
                  <c:v>14073</c:v>
                </c:pt>
                <c:pt idx="4">
                  <c:v>15000</c:v>
                </c:pt>
                <c:pt idx="5" formatCode="General">
                  <c:v>14900</c:v>
                </c:pt>
              </c:numCache>
            </c:numRef>
          </c:val>
        </c:ser>
        <c:ser>
          <c:idx val="2"/>
          <c:order val="2"/>
          <c:tx>
            <c:strRef>
              <c:f>Sheet1!$D$1</c:f>
              <c:strCache>
                <c:ptCount val="1"/>
                <c:pt idx="0">
                  <c:v>Nhập siêu</c:v>
                </c:pt>
              </c:strCache>
            </c:strRef>
          </c:tx>
          <c:spPr>
            <a:solidFill>
              <a:srgbClr val="FF0000"/>
            </a:solidFill>
          </c:spPr>
          <c:invertIfNegative val="0"/>
          <c:dLbls>
            <c:delete val="1"/>
          </c:dLbls>
          <c:cat>
            <c:strRef>
              <c:f>Sheet1!$A$2:$A$7</c:f>
              <c:strCache>
                <c:ptCount val="6"/>
                <c:pt idx="0">
                  <c:v>T1</c:v>
                </c:pt>
                <c:pt idx="1">
                  <c:v>T2</c:v>
                </c:pt>
                <c:pt idx="2">
                  <c:v>T3</c:v>
                </c:pt>
                <c:pt idx="3">
                  <c:v>T4</c:v>
                </c:pt>
                <c:pt idx="4">
                  <c:v>T5</c:v>
                </c:pt>
                <c:pt idx="5">
                  <c:v>T6</c:v>
                </c:pt>
              </c:strCache>
            </c:strRef>
          </c:cat>
          <c:val>
            <c:numRef>
              <c:f>Sheet1!$D$2:$D$7</c:f>
              <c:numCache>
                <c:formatCode>General</c:formatCode>
                <c:ptCount val="6"/>
                <c:pt idx="0">
                  <c:v>-765</c:v>
                </c:pt>
                <c:pt idx="1">
                  <c:v>191</c:v>
                </c:pt>
                <c:pt idx="2">
                  <c:v>-624</c:v>
                </c:pt>
                <c:pt idx="3">
                  <c:v>-277</c:v>
                </c:pt>
                <c:pt idx="4">
                  <c:v>400</c:v>
                </c:pt>
                <c:pt idx="5">
                  <c:v>100</c:v>
                </c:pt>
              </c:numCache>
            </c:numRef>
          </c:val>
        </c:ser>
        <c:dLbls>
          <c:showLegendKey val="0"/>
          <c:showVal val="1"/>
          <c:showCatName val="0"/>
          <c:showSerName val="0"/>
          <c:showPercent val="0"/>
          <c:showBubbleSize val="0"/>
        </c:dLbls>
        <c:gapWidth val="150"/>
        <c:axId val="57339264"/>
        <c:axId val="57414784"/>
      </c:barChart>
      <c:catAx>
        <c:axId val="57339264"/>
        <c:scaling>
          <c:orientation val="minMax"/>
        </c:scaling>
        <c:delete val="0"/>
        <c:axPos val="b"/>
        <c:majorTickMark val="none"/>
        <c:minorTickMark val="none"/>
        <c:tickLblPos val="low"/>
        <c:crossAx val="57414784"/>
        <c:crosses val="autoZero"/>
        <c:auto val="1"/>
        <c:lblAlgn val="ctr"/>
        <c:lblOffset val="100"/>
        <c:noMultiLvlLbl val="0"/>
      </c:catAx>
      <c:valAx>
        <c:axId val="57414784"/>
        <c:scaling>
          <c:orientation val="minMax"/>
          <c:max val="15000"/>
          <c:min val="-2000"/>
        </c:scaling>
        <c:delete val="0"/>
        <c:axPos val="l"/>
        <c:majorGridlines>
          <c:spPr>
            <a:ln>
              <a:prstDash val="sysDot"/>
            </a:ln>
          </c:spPr>
        </c:majorGridlines>
        <c:numFmt formatCode="#,##0" sourceLinked="0"/>
        <c:majorTickMark val="out"/>
        <c:minorTickMark val="none"/>
        <c:tickLblPos val="nextTo"/>
        <c:txPr>
          <a:bodyPr/>
          <a:lstStyle/>
          <a:p>
            <a:pPr>
              <a:defRPr sz="600"/>
            </a:pPr>
            <a:endParaRPr lang="en-US"/>
          </a:p>
        </c:txPr>
        <c:crossAx val="57339264"/>
        <c:crosses val="autoZero"/>
        <c:crossBetween val="between"/>
        <c:majorUnit val="2000"/>
      </c:valAx>
    </c:plotArea>
    <c:legend>
      <c:legendPos val="b"/>
      <c:layout>
        <c:manualLayout>
          <c:xMode val="edge"/>
          <c:yMode val="edge"/>
          <c:x val="0"/>
          <c:y val="0.8681955005483758"/>
          <c:w val="0.97194584190980804"/>
          <c:h val="9.8966819722431265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90255266122228"/>
          <c:y val="4.7325488808281017E-2"/>
          <c:w val="0.8201296122790066"/>
          <c:h val="0.7015907043033236"/>
        </c:manualLayout>
      </c:layout>
      <c:barChart>
        <c:barDir val="col"/>
        <c:grouping val="clustered"/>
        <c:varyColors val="0"/>
        <c:ser>
          <c:idx val="0"/>
          <c:order val="0"/>
          <c:invertIfNegative val="0"/>
          <c:cat>
            <c:numRef>
              <c:f>Components!$A$190:$A$207</c:f>
              <c:numCache>
                <c:formatCode>yyyy\-mm</c:formatCode>
                <c:ptCount val="18"/>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numCache>
            </c:numRef>
          </c:cat>
          <c:val>
            <c:numRef>
              <c:f>Components!$B$190:$B$207</c:f>
              <c:numCache>
                <c:formatCode>General</c:formatCode>
                <c:ptCount val="18"/>
                <c:pt idx="0">
                  <c:v>100.39570969275924</c:v>
                </c:pt>
                <c:pt idx="1">
                  <c:v>100.1203402516347</c:v>
                </c:pt>
                <c:pt idx="2">
                  <c:v>99.910081270668599</c:v>
                </c:pt>
                <c:pt idx="3">
                  <c:v>99.776949982015125</c:v>
                </c:pt>
                <c:pt idx="4">
                  <c:v>99.689258407657618</c:v>
                </c:pt>
                <c:pt idx="5">
                  <c:v>99.606222988600535</c:v>
                </c:pt>
                <c:pt idx="6">
                  <c:v>99.529837814083521</c:v>
                </c:pt>
                <c:pt idx="7">
                  <c:v>99.443508719595641</c:v>
                </c:pt>
                <c:pt idx="8">
                  <c:v>99.332522992481259</c:v>
                </c:pt>
                <c:pt idx="9">
                  <c:v>99.211895355537962</c:v>
                </c:pt>
                <c:pt idx="10">
                  <c:v>99.099631732380843</c:v>
                </c:pt>
                <c:pt idx="11">
                  <c:v>99.001862872717751</c:v>
                </c:pt>
                <c:pt idx="12">
                  <c:v>98.961361947021615</c:v>
                </c:pt>
                <c:pt idx="13">
                  <c:v>99.006559113782359</c:v>
                </c:pt>
                <c:pt idx="14">
                  <c:v>99.157313476353963</c:v>
                </c:pt>
                <c:pt idx="15">
                  <c:v>99.311158618975099</c:v>
                </c:pt>
                <c:pt idx="16">
                  <c:v>99.446473523799682</c:v>
                </c:pt>
                <c:pt idx="17">
                  <c:v>99.588324458276205</c:v>
                </c:pt>
              </c:numCache>
            </c:numRef>
          </c:val>
        </c:ser>
        <c:dLbls>
          <c:showLegendKey val="0"/>
          <c:showVal val="0"/>
          <c:showCatName val="0"/>
          <c:showSerName val="0"/>
          <c:showPercent val="0"/>
          <c:showBubbleSize val="0"/>
        </c:dLbls>
        <c:gapWidth val="150"/>
        <c:axId val="57422592"/>
        <c:axId val="57424128"/>
      </c:barChart>
      <c:dateAx>
        <c:axId val="57422592"/>
        <c:scaling>
          <c:orientation val="minMax"/>
          <c:max val="42522"/>
        </c:scaling>
        <c:delete val="0"/>
        <c:axPos val="b"/>
        <c:numFmt formatCode="yyyy\-mm" sourceLinked="0"/>
        <c:majorTickMark val="out"/>
        <c:minorTickMark val="none"/>
        <c:tickLblPos val="low"/>
        <c:txPr>
          <a:bodyPr/>
          <a:lstStyle/>
          <a:p>
            <a:pPr>
              <a:defRPr sz="600"/>
            </a:pPr>
            <a:endParaRPr lang="en-US"/>
          </a:p>
        </c:txPr>
        <c:crossAx val="57424128"/>
        <c:crossesAt val="100"/>
        <c:auto val="1"/>
        <c:lblOffset val="100"/>
        <c:baseTimeUnit val="months"/>
        <c:majorUnit val="1"/>
        <c:majorTimeUnit val="months"/>
      </c:dateAx>
      <c:valAx>
        <c:axId val="57424128"/>
        <c:scaling>
          <c:orientation val="minMax"/>
          <c:max val="100.5"/>
          <c:min val="98.8"/>
        </c:scaling>
        <c:delete val="0"/>
        <c:axPos val="l"/>
        <c:majorGridlines>
          <c:spPr>
            <a:ln>
              <a:prstDash val="sysDot"/>
            </a:ln>
          </c:spPr>
        </c:majorGridlines>
        <c:numFmt formatCode="General" sourceLinked="1"/>
        <c:majorTickMark val="out"/>
        <c:minorTickMark val="none"/>
        <c:tickLblPos val="nextTo"/>
        <c:crossAx val="57422592"/>
        <c:crosses val="autoZero"/>
        <c:crossBetween val="between"/>
        <c:majorUnit val="0.4"/>
        <c:minorUnit val="0.1"/>
      </c:valAx>
    </c:plotArea>
    <c:plotVisOnly val="1"/>
    <c:dispBlanksAs val="gap"/>
    <c:showDLblsOverMax val="0"/>
  </c:chart>
  <c:spPr>
    <a:ln>
      <a:noFill/>
    </a:ln>
  </c:spPr>
  <c:txPr>
    <a:bodyPr/>
    <a:lstStyle/>
    <a:p>
      <a:pPr>
        <a:defRPr sz="7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Components!$A$190:$A$207</c:f>
              <c:numCache>
                <c:formatCode>yyyy\-mm</c:formatCode>
                <c:ptCount val="18"/>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numCache>
            </c:numRef>
          </c:cat>
          <c:val>
            <c:numRef>
              <c:f>Components!$C$190:$C$207</c:f>
              <c:numCache>
                <c:formatCode>General</c:formatCode>
                <c:ptCount val="18"/>
                <c:pt idx="0">
                  <c:v>101.62691618934279</c:v>
                </c:pt>
                <c:pt idx="1">
                  <c:v>101.58679467019694</c:v>
                </c:pt>
                <c:pt idx="2">
                  <c:v>101.42828144281184</c:v>
                </c:pt>
                <c:pt idx="3">
                  <c:v>101.18985868226854</c:v>
                </c:pt>
                <c:pt idx="4">
                  <c:v>100.97491074595538</c:v>
                </c:pt>
                <c:pt idx="5">
                  <c:v>100.74768093173682</c:v>
                </c:pt>
                <c:pt idx="6">
                  <c:v>100.48077959322987</c:v>
                </c:pt>
                <c:pt idx="7">
                  <c:v>100.17955216640348</c:v>
                </c:pt>
                <c:pt idx="8">
                  <c:v>99.847260652336828</c:v>
                </c:pt>
                <c:pt idx="9">
                  <c:v>99.494023096886025</c:v>
                </c:pt>
                <c:pt idx="10">
                  <c:v>99.147108719617393</c:v>
                </c:pt>
                <c:pt idx="11">
                  <c:v>98.796712752323018</c:v>
                </c:pt>
                <c:pt idx="12">
                  <c:v>98.494085783789956</c:v>
                </c:pt>
                <c:pt idx="13">
                  <c:v>98.335635966816142</c:v>
                </c:pt>
                <c:pt idx="14">
                  <c:v>98.348770910946186</c:v>
                </c:pt>
                <c:pt idx="15">
                  <c:v>98.471447144806049</c:v>
                </c:pt>
                <c:pt idx="16">
                  <c:v>98.629871517722961</c:v>
                </c:pt>
                <c:pt idx="17">
                  <c:v>98.789539290327326</c:v>
                </c:pt>
              </c:numCache>
            </c:numRef>
          </c:val>
        </c:ser>
        <c:dLbls>
          <c:showLegendKey val="0"/>
          <c:showVal val="0"/>
          <c:showCatName val="0"/>
          <c:showSerName val="0"/>
          <c:showPercent val="0"/>
          <c:showBubbleSize val="0"/>
        </c:dLbls>
        <c:gapWidth val="150"/>
        <c:axId val="57431552"/>
        <c:axId val="57433088"/>
      </c:barChart>
      <c:dateAx>
        <c:axId val="57431552"/>
        <c:scaling>
          <c:orientation val="minMax"/>
        </c:scaling>
        <c:delete val="0"/>
        <c:axPos val="b"/>
        <c:numFmt formatCode="yyyy\-mm" sourceLinked="0"/>
        <c:majorTickMark val="out"/>
        <c:minorTickMark val="none"/>
        <c:tickLblPos val="low"/>
        <c:txPr>
          <a:bodyPr/>
          <a:lstStyle/>
          <a:p>
            <a:pPr>
              <a:defRPr sz="600"/>
            </a:pPr>
            <a:endParaRPr lang="en-US"/>
          </a:p>
        </c:txPr>
        <c:crossAx val="57433088"/>
        <c:crossesAt val="100"/>
        <c:auto val="1"/>
        <c:lblOffset val="100"/>
        <c:baseTimeUnit val="months"/>
        <c:majorUnit val="1"/>
        <c:majorTimeUnit val="months"/>
      </c:dateAx>
      <c:valAx>
        <c:axId val="57433088"/>
        <c:scaling>
          <c:orientation val="minMax"/>
          <c:max val="102"/>
          <c:min val="98"/>
        </c:scaling>
        <c:delete val="0"/>
        <c:axPos val="l"/>
        <c:majorGridlines>
          <c:spPr>
            <a:ln>
              <a:prstDash val="sysDot"/>
            </a:ln>
          </c:spPr>
        </c:majorGridlines>
        <c:numFmt formatCode="General" sourceLinked="1"/>
        <c:majorTickMark val="out"/>
        <c:minorTickMark val="none"/>
        <c:tickLblPos val="nextTo"/>
        <c:crossAx val="57431552"/>
        <c:crosses val="autoZero"/>
        <c:crossBetween val="between"/>
        <c:majorUnit val="0.5"/>
      </c:valAx>
    </c:plotArea>
    <c:plotVisOnly val="1"/>
    <c:dispBlanksAs val="gap"/>
    <c:showDLblsOverMax val="0"/>
  </c:chart>
  <c:spPr>
    <a:ln>
      <a:noFill/>
    </a:ln>
  </c:spPr>
  <c:txPr>
    <a:bodyPr/>
    <a:lstStyle/>
    <a:p>
      <a:pPr>
        <a:defRPr sz="7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270600221025199E-2"/>
          <c:y val="0.20104530411959387"/>
          <c:w val="0.93370428692813801"/>
          <c:h val="0.50637518136319959"/>
        </c:manualLayout>
      </c:layout>
      <c:lineChart>
        <c:grouping val="standard"/>
        <c:varyColors val="0"/>
        <c:ser>
          <c:idx val="1"/>
          <c:order val="0"/>
          <c:tx>
            <c:strRef>
              <c:f>'GDP_giá ss'!$E$1</c:f>
              <c:strCache>
                <c:ptCount val="1"/>
                <c:pt idx="0">
                  <c:v>Tăng trưởng hiệu chỉnh mùa vụ - trục trái</c:v>
                </c:pt>
              </c:strCache>
            </c:strRef>
          </c:tx>
          <c:spPr>
            <a:ln w="19050">
              <a:solidFill>
                <a:schemeClr val="tx1"/>
              </a:solidFill>
              <a:prstDash val="dash"/>
            </a:ln>
          </c:spPr>
          <c:marker>
            <c:symbol val="none"/>
          </c:marker>
          <c:cat>
            <c:strRef>
              <c:f>GDP!$A$22:$A$67</c:f>
              <c:strCache>
                <c:ptCount val="46"/>
                <c:pt idx="0">
                  <c:v>2005Q1</c:v>
                </c:pt>
                <c:pt idx="1">
                  <c:v>2005Q2</c:v>
                </c:pt>
                <c:pt idx="2">
                  <c:v>2005Q3</c:v>
                </c:pt>
                <c:pt idx="3">
                  <c:v>2005Q4</c:v>
                </c:pt>
                <c:pt idx="4">
                  <c:v>2006Q1</c:v>
                </c:pt>
                <c:pt idx="5">
                  <c:v>2006Q2</c:v>
                </c:pt>
                <c:pt idx="6">
                  <c:v>2006Q3</c:v>
                </c:pt>
                <c:pt idx="7">
                  <c:v>2006Q4</c:v>
                </c:pt>
                <c:pt idx="8">
                  <c:v>2007Q1</c:v>
                </c:pt>
                <c:pt idx="9">
                  <c:v>2007Q2</c:v>
                </c:pt>
                <c:pt idx="10">
                  <c:v>2007Q3</c:v>
                </c:pt>
                <c:pt idx="11">
                  <c:v>2007Q4</c:v>
                </c:pt>
                <c:pt idx="12">
                  <c:v>2008Q1</c:v>
                </c:pt>
                <c:pt idx="13">
                  <c:v>2008Q2</c:v>
                </c:pt>
                <c:pt idx="14">
                  <c:v>2008Q3</c:v>
                </c:pt>
                <c:pt idx="15">
                  <c:v>2008Q4</c:v>
                </c:pt>
                <c:pt idx="16">
                  <c:v>2009Q1</c:v>
                </c:pt>
                <c:pt idx="17">
                  <c:v>2009Q2</c:v>
                </c:pt>
                <c:pt idx="18">
                  <c:v>2009Q3</c:v>
                </c:pt>
                <c:pt idx="19">
                  <c:v>2009Q4</c:v>
                </c:pt>
                <c:pt idx="20">
                  <c:v>2010Q1</c:v>
                </c:pt>
                <c:pt idx="21">
                  <c:v>2010Q2</c:v>
                </c:pt>
                <c:pt idx="22">
                  <c:v>2010Q3</c:v>
                </c:pt>
                <c:pt idx="23">
                  <c:v>2010Q4</c:v>
                </c:pt>
                <c:pt idx="24">
                  <c:v>2011Q1</c:v>
                </c:pt>
                <c:pt idx="25">
                  <c:v>2011Q2</c:v>
                </c:pt>
                <c:pt idx="26">
                  <c:v>2011Q3</c:v>
                </c:pt>
                <c:pt idx="27">
                  <c:v>2011Q4</c:v>
                </c:pt>
                <c:pt idx="28">
                  <c:v>2012Q1</c:v>
                </c:pt>
                <c:pt idx="29">
                  <c:v>2012Q2</c:v>
                </c:pt>
                <c:pt idx="30">
                  <c:v>2012Q3</c:v>
                </c:pt>
                <c:pt idx="31">
                  <c:v>2012Q4</c:v>
                </c:pt>
                <c:pt idx="32">
                  <c:v>2013Q1</c:v>
                </c:pt>
                <c:pt idx="33">
                  <c:v>2013Q2</c:v>
                </c:pt>
                <c:pt idx="34">
                  <c:v>2013Q3</c:v>
                </c:pt>
                <c:pt idx="35">
                  <c:v>2013Q4</c:v>
                </c:pt>
                <c:pt idx="36">
                  <c:v>2014Q1</c:v>
                </c:pt>
                <c:pt idx="37">
                  <c:v>2014Q2</c:v>
                </c:pt>
                <c:pt idx="38">
                  <c:v>2014Q3</c:v>
                </c:pt>
                <c:pt idx="39">
                  <c:v>2014Q4</c:v>
                </c:pt>
                <c:pt idx="40">
                  <c:v>2015Q1</c:v>
                </c:pt>
                <c:pt idx="41">
                  <c:v>2015Q2</c:v>
                </c:pt>
                <c:pt idx="42">
                  <c:v>2015Q3</c:v>
                </c:pt>
                <c:pt idx="43">
                  <c:v>2015Q4</c:v>
                </c:pt>
                <c:pt idx="44">
                  <c:v>2016Q1</c:v>
                </c:pt>
                <c:pt idx="45">
                  <c:v>2016Q2</c:v>
                </c:pt>
              </c:strCache>
            </c:strRef>
          </c:cat>
          <c:val>
            <c:numRef>
              <c:f>'GDP_giá ss'!$G$22:$G$67</c:f>
              <c:numCache>
                <c:formatCode>0.00</c:formatCode>
                <c:ptCount val="46"/>
                <c:pt idx="0">
                  <c:v>7.9320365547295397</c:v>
                </c:pt>
                <c:pt idx="1">
                  <c:v>8.7055910588114997</c:v>
                </c:pt>
                <c:pt idx="2">
                  <c:v>8.7359317820212183</c:v>
                </c:pt>
                <c:pt idx="3">
                  <c:v>8.0494650458808401</c:v>
                </c:pt>
                <c:pt idx="4">
                  <c:v>7.9536006685100098</c:v>
                </c:pt>
                <c:pt idx="5">
                  <c:v>8.01479047608108</c:v>
                </c:pt>
                <c:pt idx="6">
                  <c:v>8.2836834848498224</c:v>
                </c:pt>
                <c:pt idx="7">
                  <c:v>8.1005162558094526</c:v>
                </c:pt>
                <c:pt idx="8">
                  <c:v>8.3833230243614185</c:v>
                </c:pt>
                <c:pt idx="9">
                  <c:v>8.6153904624104189</c:v>
                </c:pt>
                <c:pt idx="10">
                  <c:v>8.2860216038052403</c:v>
                </c:pt>
                <c:pt idx="11">
                  <c:v>8.3126717657142901</c:v>
                </c:pt>
                <c:pt idx="12">
                  <c:v>8.2924106085547606</c:v>
                </c:pt>
                <c:pt idx="13">
                  <c:v>6.2539275933469698</c:v>
                </c:pt>
                <c:pt idx="14">
                  <c:v>6.21005072045822</c:v>
                </c:pt>
                <c:pt idx="15">
                  <c:v>4.8772425036568636</c:v>
                </c:pt>
                <c:pt idx="16">
                  <c:v>3.4600066417981501</c:v>
                </c:pt>
                <c:pt idx="17">
                  <c:v>4.7347833674021098</c:v>
                </c:pt>
                <c:pt idx="18">
                  <c:v>5.0077595692975763</c:v>
                </c:pt>
                <c:pt idx="19">
                  <c:v>6.7833452118932724</c:v>
                </c:pt>
                <c:pt idx="20">
                  <c:v>6.6500650712224063</c:v>
                </c:pt>
                <c:pt idx="21">
                  <c:v>6.8268220033615803</c:v>
                </c:pt>
                <c:pt idx="22">
                  <c:v>6.4205725322141998</c:v>
                </c:pt>
                <c:pt idx="23">
                  <c:v>6.1054900885774295</c:v>
                </c:pt>
                <c:pt idx="24">
                  <c:v>6.5818053465774957</c:v>
                </c:pt>
                <c:pt idx="25">
                  <c:v>6.2718315381108898</c:v>
                </c:pt>
                <c:pt idx="26">
                  <c:v>6.0516007811695935</c:v>
                </c:pt>
                <c:pt idx="27">
                  <c:v>5.9576686758022914</c:v>
                </c:pt>
                <c:pt idx="28">
                  <c:v>5.2699030108888998</c:v>
                </c:pt>
                <c:pt idx="29">
                  <c:v>5.3507796846403934</c:v>
                </c:pt>
                <c:pt idx="30">
                  <c:v>5.2551540346287062</c:v>
                </c:pt>
                <c:pt idx="31">
                  <c:v>4.9797544904326472</c:v>
                </c:pt>
                <c:pt idx="32">
                  <c:v>5.2499587560271799</c:v>
                </c:pt>
                <c:pt idx="33">
                  <c:v>5.2641509319267836</c:v>
                </c:pt>
                <c:pt idx="34">
                  <c:v>5.3783472067785398</c:v>
                </c:pt>
                <c:pt idx="35">
                  <c:v>5.4497953399428134</c:v>
                </c:pt>
                <c:pt idx="36">
                  <c:v>5.5479474300835498</c:v>
                </c:pt>
                <c:pt idx="37">
                  <c:v>5.61766791391703</c:v>
                </c:pt>
                <c:pt idx="38">
                  <c:v>5.8918688542232402</c:v>
                </c:pt>
                <c:pt idx="39">
                  <c:v>6.2949619093164761</c:v>
                </c:pt>
                <c:pt idx="40">
                  <c:v>6.7006246512379795</c:v>
                </c:pt>
                <c:pt idx="41">
                  <c:v>6.7998924813567641</c:v>
                </c:pt>
                <c:pt idx="42">
                  <c:v>6.6663588164256762</c:v>
                </c:pt>
                <c:pt idx="43">
                  <c:v>6.3559458535151148</c:v>
                </c:pt>
                <c:pt idx="44">
                  <c:v>5.9843431608467501</c:v>
                </c:pt>
                <c:pt idx="45">
                  <c:v>5.8367680326048772</c:v>
                </c:pt>
              </c:numCache>
            </c:numRef>
          </c:val>
          <c:smooth val="1"/>
        </c:ser>
        <c:ser>
          <c:idx val="2"/>
          <c:order val="1"/>
          <c:tx>
            <c:strRef>
              <c:f>'GDP_giá ss'!$H$1</c:f>
              <c:strCache>
                <c:ptCount val="1"/>
                <c:pt idx="0">
                  <c:v>Tăng trưởng xu thế - trục trái</c:v>
                </c:pt>
              </c:strCache>
            </c:strRef>
          </c:tx>
          <c:spPr>
            <a:ln>
              <a:solidFill>
                <a:schemeClr val="tx1"/>
              </a:solidFill>
            </a:ln>
          </c:spPr>
          <c:marker>
            <c:symbol val="none"/>
          </c:marker>
          <c:cat>
            <c:strRef>
              <c:f>GDP!$A$22:$A$67</c:f>
              <c:strCache>
                <c:ptCount val="46"/>
                <c:pt idx="0">
                  <c:v>2005Q1</c:v>
                </c:pt>
                <c:pt idx="1">
                  <c:v>2005Q2</c:v>
                </c:pt>
                <c:pt idx="2">
                  <c:v>2005Q3</c:v>
                </c:pt>
                <c:pt idx="3">
                  <c:v>2005Q4</c:v>
                </c:pt>
                <c:pt idx="4">
                  <c:v>2006Q1</c:v>
                </c:pt>
                <c:pt idx="5">
                  <c:v>2006Q2</c:v>
                </c:pt>
                <c:pt idx="6">
                  <c:v>2006Q3</c:v>
                </c:pt>
                <c:pt idx="7">
                  <c:v>2006Q4</c:v>
                </c:pt>
                <c:pt idx="8">
                  <c:v>2007Q1</c:v>
                </c:pt>
                <c:pt idx="9">
                  <c:v>2007Q2</c:v>
                </c:pt>
                <c:pt idx="10">
                  <c:v>2007Q3</c:v>
                </c:pt>
                <c:pt idx="11">
                  <c:v>2007Q4</c:v>
                </c:pt>
                <c:pt idx="12">
                  <c:v>2008Q1</c:v>
                </c:pt>
                <c:pt idx="13">
                  <c:v>2008Q2</c:v>
                </c:pt>
                <c:pt idx="14">
                  <c:v>2008Q3</c:v>
                </c:pt>
                <c:pt idx="15">
                  <c:v>2008Q4</c:v>
                </c:pt>
                <c:pt idx="16">
                  <c:v>2009Q1</c:v>
                </c:pt>
                <c:pt idx="17">
                  <c:v>2009Q2</c:v>
                </c:pt>
                <c:pt idx="18">
                  <c:v>2009Q3</c:v>
                </c:pt>
                <c:pt idx="19">
                  <c:v>2009Q4</c:v>
                </c:pt>
                <c:pt idx="20">
                  <c:v>2010Q1</c:v>
                </c:pt>
                <c:pt idx="21">
                  <c:v>2010Q2</c:v>
                </c:pt>
                <c:pt idx="22">
                  <c:v>2010Q3</c:v>
                </c:pt>
                <c:pt idx="23">
                  <c:v>2010Q4</c:v>
                </c:pt>
                <c:pt idx="24">
                  <c:v>2011Q1</c:v>
                </c:pt>
                <c:pt idx="25">
                  <c:v>2011Q2</c:v>
                </c:pt>
                <c:pt idx="26">
                  <c:v>2011Q3</c:v>
                </c:pt>
                <c:pt idx="27">
                  <c:v>2011Q4</c:v>
                </c:pt>
                <c:pt idx="28">
                  <c:v>2012Q1</c:v>
                </c:pt>
                <c:pt idx="29">
                  <c:v>2012Q2</c:v>
                </c:pt>
                <c:pt idx="30">
                  <c:v>2012Q3</c:v>
                </c:pt>
                <c:pt idx="31">
                  <c:v>2012Q4</c:v>
                </c:pt>
                <c:pt idx="32">
                  <c:v>2013Q1</c:v>
                </c:pt>
                <c:pt idx="33">
                  <c:v>2013Q2</c:v>
                </c:pt>
                <c:pt idx="34">
                  <c:v>2013Q3</c:v>
                </c:pt>
                <c:pt idx="35">
                  <c:v>2013Q4</c:v>
                </c:pt>
                <c:pt idx="36">
                  <c:v>2014Q1</c:v>
                </c:pt>
                <c:pt idx="37">
                  <c:v>2014Q2</c:v>
                </c:pt>
                <c:pt idx="38">
                  <c:v>2014Q3</c:v>
                </c:pt>
                <c:pt idx="39">
                  <c:v>2014Q4</c:v>
                </c:pt>
                <c:pt idx="40">
                  <c:v>2015Q1</c:v>
                </c:pt>
                <c:pt idx="41">
                  <c:v>2015Q2</c:v>
                </c:pt>
                <c:pt idx="42">
                  <c:v>2015Q3</c:v>
                </c:pt>
                <c:pt idx="43">
                  <c:v>2015Q4</c:v>
                </c:pt>
                <c:pt idx="44">
                  <c:v>2016Q1</c:v>
                </c:pt>
                <c:pt idx="45">
                  <c:v>2016Q2</c:v>
                </c:pt>
              </c:strCache>
            </c:strRef>
          </c:cat>
          <c:val>
            <c:numRef>
              <c:f>GDP!$J$22:$J$67</c:f>
              <c:numCache>
                <c:formatCode>0.00</c:formatCode>
                <c:ptCount val="46"/>
                <c:pt idx="0">
                  <c:v>7.8492894677037501</c:v>
                </c:pt>
                <c:pt idx="1">
                  <c:v>7.8603987292344604</c:v>
                </c:pt>
                <c:pt idx="2">
                  <c:v>7.8577769688718764</c:v>
                </c:pt>
                <c:pt idx="3">
                  <c:v>7.8406833018428514</c:v>
                </c:pt>
                <c:pt idx="4">
                  <c:v>7.80892569013246</c:v>
                </c:pt>
                <c:pt idx="5">
                  <c:v>7.7624425843158003</c:v>
                </c:pt>
                <c:pt idx="6">
                  <c:v>7.7012628568294499</c:v>
                </c:pt>
                <c:pt idx="7">
                  <c:v>7.6255730975423495</c:v>
                </c:pt>
                <c:pt idx="8">
                  <c:v>7.5359239092159465</c:v>
                </c:pt>
                <c:pt idx="9">
                  <c:v>7.4331627340856272</c:v>
                </c:pt>
                <c:pt idx="10">
                  <c:v>7.3186666388337001</c:v>
                </c:pt>
                <c:pt idx="11">
                  <c:v>7.1945515824727062</c:v>
                </c:pt>
                <c:pt idx="12">
                  <c:v>7.0635381208683095</c:v>
                </c:pt>
                <c:pt idx="13">
                  <c:v>6.9290456350006737</c:v>
                </c:pt>
                <c:pt idx="14">
                  <c:v>6.7952615511547636</c:v>
                </c:pt>
                <c:pt idx="15">
                  <c:v>6.6659513468395133</c:v>
                </c:pt>
                <c:pt idx="16">
                  <c:v>6.5445147427946875</c:v>
                </c:pt>
                <c:pt idx="17">
                  <c:v>6.4332335167330434</c:v>
                </c:pt>
                <c:pt idx="18">
                  <c:v>6.3324616288042002</c:v>
                </c:pt>
                <c:pt idx="19">
                  <c:v>6.2414915078144801</c:v>
                </c:pt>
                <c:pt idx="20">
                  <c:v>6.1587876437829863</c:v>
                </c:pt>
                <c:pt idx="21">
                  <c:v>6.0831531852938872</c:v>
                </c:pt>
                <c:pt idx="22">
                  <c:v>6.0136983293234714</c:v>
                </c:pt>
                <c:pt idx="23">
                  <c:v>5.9499980658593641</c:v>
                </c:pt>
                <c:pt idx="24">
                  <c:v>5.8918816812659465</c:v>
                </c:pt>
                <c:pt idx="25">
                  <c:v>5.8392756444218739</c:v>
                </c:pt>
                <c:pt idx="26">
                  <c:v>5.7925376264965358</c:v>
                </c:pt>
                <c:pt idx="27">
                  <c:v>5.7522956460929464</c:v>
                </c:pt>
                <c:pt idx="28">
                  <c:v>5.7193396362857385</c:v>
                </c:pt>
                <c:pt idx="29">
                  <c:v>5.6945878882931362</c:v>
                </c:pt>
                <c:pt idx="30">
                  <c:v>5.6786777954425061</c:v>
                </c:pt>
                <c:pt idx="31">
                  <c:v>5.6720318709338695</c:v>
                </c:pt>
                <c:pt idx="32">
                  <c:v>5.67480792561682</c:v>
                </c:pt>
                <c:pt idx="33">
                  <c:v>5.68673109697807</c:v>
                </c:pt>
                <c:pt idx="34">
                  <c:v>5.7072609917733841</c:v>
                </c:pt>
                <c:pt idx="35">
                  <c:v>5.7355931041553436</c:v>
                </c:pt>
                <c:pt idx="36">
                  <c:v>5.7707173571609065</c:v>
                </c:pt>
                <c:pt idx="37">
                  <c:v>5.8114450502244299</c:v>
                </c:pt>
                <c:pt idx="38">
                  <c:v>5.8564482515758201</c:v>
                </c:pt>
                <c:pt idx="39">
                  <c:v>5.9042779187347998</c:v>
                </c:pt>
                <c:pt idx="40">
                  <c:v>5.9535071470977563</c:v>
                </c:pt>
                <c:pt idx="41">
                  <c:v>6.0029532095551765</c:v>
                </c:pt>
                <c:pt idx="42">
                  <c:v>6.0519003274376395</c:v>
                </c:pt>
                <c:pt idx="43">
                  <c:v>6.1001308091205759</c:v>
                </c:pt>
                <c:pt idx="44">
                  <c:v>6.1478109995350758</c:v>
                </c:pt>
                <c:pt idx="45">
                  <c:v>6.1952671280149501</c:v>
                </c:pt>
              </c:numCache>
            </c:numRef>
          </c:val>
          <c:smooth val="0"/>
        </c:ser>
        <c:dLbls>
          <c:showLegendKey val="0"/>
          <c:showVal val="0"/>
          <c:showCatName val="0"/>
          <c:showSerName val="0"/>
          <c:showPercent val="0"/>
          <c:showBubbleSize val="0"/>
        </c:dLbls>
        <c:marker val="1"/>
        <c:smooth val="0"/>
        <c:axId val="57450496"/>
        <c:axId val="57452032"/>
      </c:lineChart>
      <c:catAx>
        <c:axId val="57450496"/>
        <c:scaling>
          <c:orientation val="minMax"/>
        </c:scaling>
        <c:delete val="0"/>
        <c:axPos val="b"/>
        <c:majorTickMark val="out"/>
        <c:minorTickMark val="none"/>
        <c:tickLblPos val="low"/>
        <c:txPr>
          <a:bodyPr/>
          <a:lstStyle/>
          <a:p>
            <a:pPr>
              <a:defRPr sz="900"/>
            </a:pPr>
            <a:endParaRPr lang="en-US"/>
          </a:p>
        </c:txPr>
        <c:crossAx val="57452032"/>
        <c:crosses val="autoZero"/>
        <c:auto val="1"/>
        <c:lblAlgn val="ctr"/>
        <c:lblOffset val="100"/>
        <c:noMultiLvlLbl val="0"/>
      </c:catAx>
      <c:valAx>
        <c:axId val="57452032"/>
        <c:scaling>
          <c:orientation val="minMax"/>
          <c:max val="9"/>
          <c:min val="3"/>
        </c:scaling>
        <c:delete val="0"/>
        <c:axPos val="l"/>
        <c:majorGridlines/>
        <c:numFmt formatCode="0.00" sourceLinked="1"/>
        <c:majorTickMark val="out"/>
        <c:minorTickMark val="none"/>
        <c:tickLblPos val="nextTo"/>
        <c:crossAx val="57450496"/>
        <c:crosses val="autoZero"/>
        <c:crossBetween val="between"/>
        <c:majorUnit val="2"/>
      </c:valAx>
    </c:plotArea>
    <c:legend>
      <c:legendPos val="t"/>
      <c:layout>
        <c:manualLayout>
          <c:xMode val="edge"/>
          <c:yMode val="edge"/>
          <c:x val="6.1687024698835732E-2"/>
          <c:y val="1.0779595329464467E-2"/>
          <c:w val="0.90442761962447071"/>
          <c:h val="0.15416964183824849"/>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9673689437469"/>
          <c:y val="7.1950285355434865E-2"/>
          <c:w val="0.88128494807714253"/>
          <c:h val="0.57873015873015876"/>
        </c:manualLayout>
      </c:layout>
      <c:lineChart>
        <c:grouping val="standard"/>
        <c:varyColors val="0"/>
        <c:ser>
          <c:idx val="0"/>
          <c:order val="0"/>
          <c:tx>
            <c:strRef>
              <c:f>Sheet1!$A$2</c:f>
              <c:strCache>
                <c:ptCount val="1"/>
                <c:pt idx="0">
                  <c:v>ROA</c:v>
                </c:pt>
              </c:strCache>
            </c:strRef>
          </c:tx>
          <c:spPr>
            <a:ln w="25400"/>
          </c:spPr>
          <c:cat>
            <c:strRef>
              <c:f>Sheet1!$B$1:$J$1</c:f>
              <c:strCache>
                <c:ptCount val="9"/>
                <c:pt idx="0">
                  <c:v>Q1/08</c:v>
                </c:pt>
                <c:pt idx="1">
                  <c:v>Q1/09</c:v>
                </c:pt>
                <c:pt idx="2">
                  <c:v>Q1/10</c:v>
                </c:pt>
                <c:pt idx="3">
                  <c:v>Q1/11</c:v>
                </c:pt>
                <c:pt idx="4">
                  <c:v>Q1/12</c:v>
                </c:pt>
                <c:pt idx="5">
                  <c:v>Q1/13</c:v>
                </c:pt>
                <c:pt idx="6">
                  <c:v>Q1/14</c:v>
                </c:pt>
                <c:pt idx="7">
                  <c:v>Q1/15</c:v>
                </c:pt>
                <c:pt idx="8">
                  <c:v>Q1/16</c:v>
                </c:pt>
              </c:strCache>
            </c:strRef>
          </c:cat>
          <c:val>
            <c:numRef>
              <c:f>Sheet1!$B$2:$J$2</c:f>
              <c:numCache>
                <c:formatCode>0.00%</c:formatCode>
                <c:ptCount val="9"/>
                <c:pt idx="0">
                  <c:v>2.4037317122293685E-2</c:v>
                </c:pt>
                <c:pt idx="1">
                  <c:v>1.6087007533453171E-2</c:v>
                </c:pt>
                <c:pt idx="2">
                  <c:v>1.8823258325083591E-2</c:v>
                </c:pt>
                <c:pt idx="3">
                  <c:v>1.5219424069869683E-2</c:v>
                </c:pt>
                <c:pt idx="4">
                  <c:v>1.1823289713175218E-2</c:v>
                </c:pt>
                <c:pt idx="5">
                  <c:v>1.3511384649715345E-2</c:v>
                </c:pt>
                <c:pt idx="6">
                  <c:v>1.5200125769952878E-2</c:v>
                </c:pt>
                <c:pt idx="7">
                  <c:v>1.3023401968406081E-2</c:v>
                </c:pt>
                <c:pt idx="8">
                  <c:v>1.1571915643953488E-2</c:v>
                </c:pt>
              </c:numCache>
            </c:numRef>
          </c:val>
          <c:smooth val="0"/>
        </c:ser>
        <c:ser>
          <c:idx val="1"/>
          <c:order val="1"/>
          <c:tx>
            <c:strRef>
              <c:f>Sheet1!$A$3</c:f>
              <c:strCache>
                <c:ptCount val="1"/>
                <c:pt idx="0">
                  <c:v>ROE</c:v>
                </c:pt>
              </c:strCache>
            </c:strRef>
          </c:tx>
          <c:spPr>
            <a:ln>
              <a:prstDash val="sysDot"/>
            </a:ln>
          </c:spPr>
          <c:marker>
            <c:symbol val="star"/>
            <c:size val="7"/>
          </c:marker>
          <c:cat>
            <c:strRef>
              <c:f>Sheet1!$B$1:$J$1</c:f>
              <c:strCache>
                <c:ptCount val="9"/>
                <c:pt idx="0">
                  <c:v>Q1/08</c:v>
                </c:pt>
                <c:pt idx="1">
                  <c:v>Q1/09</c:v>
                </c:pt>
                <c:pt idx="2">
                  <c:v>Q1/10</c:v>
                </c:pt>
                <c:pt idx="3">
                  <c:v>Q1/11</c:v>
                </c:pt>
                <c:pt idx="4">
                  <c:v>Q1/12</c:v>
                </c:pt>
                <c:pt idx="5">
                  <c:v>Q1/13</c:v>
                </c:pt>
                <c:pt idx="6">
                  <c:v>Q1/14</c:v>
                </c:pt>
                <c:pt idx="7">
                  <c:v>Q1/15</c:v>
                </c:pt>
                <c:pt idx="8">
                  <c:v>Q1/16</c:v>
                </c:pt>
              </c:strCache>
            </c:strRef>
          </c:cat>
          <c:val>
            <c:numRef>
              <c:f>Sheet1!$B$3:$J$3</c:f>
              <c:numCache>
                <c:formatCode>0.00%</c:formatCode>
                <c:ptCount val="9"/>
                <c:pt idx="0">
                  <c:v>4.8574020203079646E-2</c:v>
                </c:pt>
                <c:pt idx="1">
                  <c:v>3.9286270373428189E-2</c:v>
                </c:pt>
                <c:pt idx="2">
                  <c:v>4.5782822009495135E-2</c:v>
                </c:pt>
                <c:pt idx="3">
                  <c:v>3.8682529481294657E-2</c:v>
                </c:pt>
                <c:pt idx="4">
                  <c:v>3.1105987277952645E-2</c:v>
                </c:pt>
                <c:pt idx="5">
                  <c:v>3.4907660312427702E-2</c:v>
                </c:pt>
                <c:pt idx="6">
                  <c:v>3.5619164433310431E-2</c:v>
                </c:pt>
                <c:pt idx="7">
                  <c:v>3.2161587841962568E-2</c:v>
                </c:pt>
                <c:pt idx="8">
                  <c:v>2.6557721504875061E-2</c:v>
                </c:pt>
              </c:numCache>
            </c:numRef>
          </c:val>
          <c:smooth val="0"/>
        </c:ser>
        <c:dLbls>
          <c:showLegendKey val="0"/>
          <c:showVal val="0"/>
          <c:showCatName val="0"/>
          <c:showSerName val="0"/>
          <c:showPercent val="0"/>
          <c:showBubbleSize val="0"/>
        </c:dLbls>
        <c:marker val="1"/>
        <c:smooth val="0"/>
        <c:axId val="57476992"/>
        <c:axId val="57478528"/>
      </c:lineChart>
      <c:catAx>
        <c:axId val="57476992"/>
        <c:scaling>
          <c:orientation val="minMax"/>
        </c:scaling>
        <c:delete val="0"/>
        <c:axPos val="b"/>
        <c:majorTickMark val="none"/>
        <c:minorTickMark val="none"/>
        <c:tickLblPos val="nextTo"/>
        <c:txPr>
          <a:bodyPr/>
          <a:lstStyle/>
          <a:p>
            <a:pPr>
              <a:defRPr sz="800"/>
            </a:pPr>
            <a:endParaRPr lang="en-US"/>
          </a:p>
        </c:txPr>
        <c:crossAx val="57478528"/>
        <c:crosses val="autoZero"/>
        <c:auto val="1"/>
        <c:lblAlgn val="ctr"/>
        <c:lblOffset val="100"/>
        <c:noMultiLvlLbl val="0"/>
      </c:catAx>
      <c:valAx>
        <c:axId val="57478528"/>
        <c:scaling>
          <c:orientation val="minMax"/>
          <c:max val="5.000000000000001E-2"/>
        </c:scaling>
        <c:delete val="0"/>
        <c:axPos val="l"/>
        <c:majorGridlines>
          <c:spPr>
            <a:ln>
              <a:prstDash val="sysDot"/>
            </a:ln>
          </c:spPr>
        </c:majorGridlines>
        <c:numFmt formatCode="0%" sourceLinked="0"/>
        <c:majorTickMark val="none"/>
        <c:minorTickMark val="none"/>
        <c:tickLblPos val="nextTo"/>
        <c:spPr>
          <a:ln w="9525">
            <a:noFill/>
          </a:ln>
        </c:spPr>
        <c:txPr>
          <a:bodyPr/>
          <a:lstStyle/>
          <a:p>
            <a:pPr>
              <a:defRPr sz="800"/>
            </a:pPr>
            <a:endParaRPr lang="en-US"/>
          </a:p>
        </c:txPr>
        <c:crossAx val="57476992"/>
        <c:crosses val="autoZero"/>
        <c:crossBetween val="between"/>
      </c:valAx>
    </c:plotArea>
    <c:legend>
      <c:legendPos val="b"/>
      <c:overlay val="0"/>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016745667826365E-2"/>
          <c:y val="3.9913734102110854E-2"/>
          <c:w val="0.84269684228374431"/>
          <c:h val="0.60758151009735417"/>
        </c:manualLayout>
      </c:layout>
      <c:barChart>
        <c:barDir val="col"/>
        <c:grouping val="clustered"/>
        <c:varyColors val="0"/>
        <c:ser>
          <c:idx val="0"/>
          <c:order val="0"/>
          <c:tx>
            <c:strRef>
              <c:f>Sheet1!$A$2</c:f>
              <c:strCache>
                <c:ptCount val="1"/>
                <c:pt idx="0">
                  <c:v>Lạm phát tổng thể</c:v>
                </c:pt>
              </c:strCache>
            </c:strRef>
          </c:tx>
          <c:invertIfNegative val="0"/>
          <c:cat>
            <c:strRef>
              <c:f>Sheet1!$B$1:$AA$1</c:f>
              <c:strCache>
                <c:ptCount val="26"/>
                <c:pt idx="0">
                  <c:v>T5/14</c:v>
                </c:pt>
                <c:pt idx="1">
                  <c:v>T6/14</c:v>
                </c:pt>
                <c:pt idx="2">
                  <c:v>T7/14</c:v>
                </c:pt>
                <c:pt idx="3">
                  <c:v>T8/14</c:v>
                </c:pt>
                <c:pt idx="4">
                  <c:v>T9/14</c:v>
                </c:pt>
                <c:pt idx="5">
                  <c:v>T10/14</c:v>
                </c:pt>
                <c:pt idx="6">
                  <c:v>T11/14</c:v>
                </c:pt>
                <c:pt idx="7">
                  <c:v>T12/14</c:v>
                </c:pt>
                <c:pt idx="8">
                  <c:v>T1/15</c:v>
                </c:pt>
                <c:pt idx="9">
                  <c:v>T2/15</c:v>
                </c:pt>
                <c:pt idx="10">
                  <c:v>T3/15</c:v>
                </c:pt>
                <c:pt idx="11">
                  <c:v>T4/15</c:v>
                </c:pt>
                <c:pt idx="12">
                  <c:v>T5/15</c:v>
                </c:pt>
                <c:pt idx="13">
                  <c:v>T6/15</c:v>
                </c:pt>
                <c:pt idx="14">
                  <c:v>T7/15</c:v>
                </c:pt>
                <c:pt idx="15">
                  <c:v>T8/15</c:v>
                </c:pt>
                <c:pt idx="16">
                  <c:v>T9/15</c:v>
                </c:pt>
                <c:pt idx="17">
                  <c:v>T10/15</c:v>
                </c:pt>
                <c:pt idx="18">
                  <c:v>T11/15</c:v>
                </c:pt>
                <c:pt idx="19">
                  <c:v>T12/15</c:v>
                </c:pt>
                <c:pt idx="20">
                  <c:v>T1/16</c:v>
                </c:pt>
                <c:pt idx="21">
                  <c:v>T2/16</c:v>
                </c:pt>
                <c:pt idx="22">
                  <c:v>T3/16</c:v>
                </c:pt>
                <c:pt idx="23">
                  <c:v>T4/16</c:v>
                </c:pt>
                <c:pt idx="24">
                  <c:v>T5/16</c:v>
                </c:pt>
                <c:pt idx="25">
                  <c:v>T6/16</c:v>
                </c:pt>
              </c:strCache>
            </c:strRef>
          </c:cat>
          <c:val>
            <c:numRef>
              <c:f>Sheet1!$B$2:$AA$2</c:f>
              <c:numCache>
                <c:formatCode>0.00</c:formatCode>
                <c:ptCount val="26"/>
                <c:pt idx="0">
                  <c:v>4.7199999999999989</c:v>
                </c:pt>
                <c:pt idx="1">
                  <c:v>4.9800000000000084</c:v>
                </c:pt>
                <c:pt idx="2">
                  <c:v>4.9400000000000004</c:v>
                </c:pt>
                <c:pt idx="3">
                  <c:v>4.3100000000000005</c:v>
                </c:pt>
                <c:pt idx="4">
                  <c:v>3.6200000000000045</c:v>
                </c:pt>
                <c:pt idx="5">
                  <c:v>3.2300000000000035</c:v>
                </c:pt>
                <c:pt idx="6">
                  <c:v>2.5999999999999943</c:v>
                </c:pt>
                <c:pt idx="7">
                  <c:v>1.8400000000000041</c:v>
                </c:pt>
                <c:pt idx="8">
                  <c:v>0.93999999999999773</c:v>
                </c:pt>
                <c:pt idx="9">
                  <c:v>0.34000000000000347</c:v>
                </c:pt>
                <c:pt idx="10">
                  <c:v>0.93000000000000682</c:v>
                </c:pt>
                <c:pt idx="11">
                  <c:v>0.98999999999999488</c:v>
                </c:pt>
                <c:pt idx="12">
                  <c:v>0.95000000000000295</c:v>
                </c:pt>
                <c:pt idx="13">
                  <c:v>1</c:v>
                </c:pt>
                <c:pt idx="14">
                  <c:v>0.85999999999999965</c:v>
                </c:pt>
                <c:pt idx="15">
                  <c:v>0.82999999999999863</c:v>
                </c:pt>
                <c:pt idx="16">
                  <c:v>0</c:v>
                </c:pt>
                <c:pt idx="17">
                  <c:v>0</c:v>
                </c:pt>
                <c:pt idx="18" formatCode="General">
                  <c:v>0.34000000000000008</c:v>
                </c:pt>
                <c:pt idx="19" formatCode="General">
                  <c:v>0.60000000000000064</c:v>
                </c:pt>
                <c:pt idx="20" formatCode="General">
                  <c:v>0.8</c:v>
                </c:pt>
                <c:pt idx="21" formatCode="General">
                  <c:v>1.27</c:v>
                </c:pt>
                <c:pt idx="22" formatCode="General">
                  <c:v>1.6900000000000022</c:v>
                </c:pt>
                <c:pt idx="23" formatCode="General">
                  <c:v>1.8900000000000001</c:v>
                </c:pt>
                <c:pt idx="24" formatCode="General">
                  <c:v>2.2799999999999998</c:v>
                </c:pt>
                <c:pt idx="25" formatCode="General">
                  <c:v>2.4</c:v>
                </c:pt>
              </c:numCache>
            </c:numRef>
          </c:val>
        </c:ser>
        <c:dLbls>
          <c:showLegendKey val="0"/>
          <c:showVal val="0"/>
          <c:showCatName val="0"/>
          <c:showSerName val="0"/>
          <c:showPercent val="0"/>
          <c:showBubbleSize val="0"/>
        </c:dLbls>
        <c:gapWidth val="75"/>
        <c:overlap val="-25"/>
        <c:axId val="57659776"/>
        <c:axId val="57661312"/>
      </c:barChart>
      <c:lineChart>
        <c:grouping val="standard"/>
        <c:varyColors val="0"/>
        <c:ser>
          <c:idx val="1"/>
          <c:order val="1"/>
          <c:tx>
            <c:strRef>
              <c:f>Sheet1!$A$3</c:f>
              <c:strCache>
                <c:ptCount val="1"/>
                <c:pt idx="0">
                  <c:v>Lạm phát cơ bản</c:v>
                </c:pt>
              </c:strCache>
            </c:strRef>
          </c:tx>
          <c:marker>
            <c:symbol val="none"/>
          </c:marker>
          <c:cat>
            <c:strRef>
              <c:f>Sheet1!$B$1:$AA$1</c:f>
              <c:strCache>
                <c:ptCount val="26"/>
                <c:pt idx="0">
                  <c:v>T5/14</c:v>
                </c:pt>
                <c:pt idx="1">
                  <c:v>T6/14</c:v>
                </c:pt>
                <c:pt idx="2">
                  <c:v>T7/14</c:v>
                </c:pt>
                <c:pt idx="3">
                  <c:v>T8/14</c:v>
                </c:pt>
                <c:pt idx="4">
                  <c:v>T9/14</c:v>
                </c:pt>
                <c:pt idx="5">
                  <c:v>T10/14</c:v>
                </c:pt>
                <c:pt idx="6">
                  <c:v>T11/14</c:v>
                </c:pt>
                <c:pt idx="7">
                  <c:v>T12/14</c:v>
                </c:pt>
                <c:pt idx="8">
                  <c:v>T1/15</c:v>
                </c:pt>
                <c:pt idx="9">
                  <c:v>T2/15</c:v>
                </c:pt>
                <c:pt idx="10">
                  <c:v>T3/15</c:v>
                </c:pt>
                <c:pt idx="11">
                  <c:v>T4/15</c:v>
                </c:pt>
                <c:pt idx="12">
                  <c:v>T5/15</c:v>
                </c:pt>
                <c:pt idx="13">
                  <c:v>T6/15</c:v>
                </c:pt>
                <c:pt idx="14">
                  <c:v>T7/15</c:v>
                </c:pt>
                <c:pt idx="15">
                  <c:v>T8/15</c:v>
                </c:pt>
                <c:pt idx="16">
                  <c:v>T9/15</c:v>
                </c:pt>
                <c:pt idx="17">
                  <c:v>T10/15</c:v>
                </c:pt>
                <c:pt idx="18">
                  <c:v>T11/15</c:v>
                </c:pt>
                <c:pt idx="19">
                  <c:v>T12/15</c:v>
                </c:pt>
                <c:pt idx="20">
                  <c:v>T1/16</c:v>
                </c:pt>
                <c:pt idx="21">
                  <c:v>T2/16</c:v>
                </c:pt>
                <c:pt idx="22">
                  <c:v>T3/16</c:v>
                </c:pt>
                <c:pt idx="23">
                  <c:v>T4/16</c:v>
                </c:pt>
                <c:pt idx="24">
                  <c:v>T5/16</c:v>
                </c:pt>
                <c:pt idx="25">
                  <c:v>T6/16</c:v>
                </c:pt>
              </c:strCache>
            </c:strRef>
          </c:cat>
          <c:val>
            <c:numRef>
              <c:f>Sheet1!$B$3:$AA$3</c:f>
              <c:numCache>
                <c:formatCode>0.00</c:formatCode>
                <c:ptCount val="26"/>
                <c:pt idx="0">
                  <c:v>3.7583474128827796</c:v>
                </c:pt>
                <c:pt idx="1">
                  <c:v>3.6933368532207163</c:v>
                </c:pt>
                <c:pt idx="2">
                  <c:v>3.608080781414996</c:v>
                </c:pt>
                <c:pt idx="3">
                  <c:v>3.3440285110876449</c:v>
                </c:pt>
                <c:pt idx="4">
                  <c:v>3.1240100316789916</c:v>
                </c:pt>
                <c:pt idx="5">
                  <c:v>3.0904382259767771</c:v>
                </c:pt>
                <c:pt idx="6">
                  <c:v>2.975258711721203</c:v>
                </c:pt>
                <c:pt idx="7">
                  <c:v>2.9005147835269405</c:v>
                </c:pt>
                <c:pt idx="8">
                  <c:v>2.580129355860608</c:v>
                </c:pt>
                <c:pt idx="9">
                  <c:v>2.3081731784582962</c:v>
                </c:pt>
                <c:pt idx="10">
                  <c:v>2.4822676874340197</c:v>
                </c:pt>
                <c:pt idx="11">
                  <c:v>2.4190469904962839</c:v>
                </c:pt>
                <c:pt idx="12">
                  <c:v>2.4063727560718142</c:v>
                </c:pt>
                <c:pt idx="13">
                  <c:v>2.3668136219640927</c:v>
                </c:pt>
                <c:pt idx="14">
                  <c:v>2.4163727560718073</c:v>
                </c:pt>
                <c:pt idx="15">
                  <c:v>2.4131335797254452</c:v>
                </c:pt>
                <c:pt idx="16">
                  <c:v>2.1839545934530102</c:v>
                </c:pt>
                <c:pt idx="17">
                  <c:v>2.1192291446673752</c:v>
                </c:pt>
                <c:pt idx="18" formatCode="General">
                  <c:v>2.17</c:v>
                </c:pt>
                <c:pt idx="19" formatCode="General">
                  <c:v>2.02</c:v>
                </c:pt>
                <c:pt idx="20" formatCode="General">
                  <c:v>1.81</c:v>
                </c:pt>
                <c:pt idx="21" formatCode="General">
                  <c:v>1.9300000000000019</c:v>
                </c:pt>
                <c:pt idx="22" formatCode="General">
                  <c:v>1.6400000000000001</c:v>
                </c:pt>
                <c:pt idx="23" formatCode="General">
                  <c:v>1.7600000000000002</c:v>
                </c:pt>
                <c:pt idx="24" formatCode="General">
                  <c:v>1.87</c:v>
                </c:pt>
                <c:pt idx="25" formatCode="General">
                  <c:v>1.8800000000000001</c:v>
                </c:pt>
              </c:numCache>
            </c:numRef>
          </c:val>
          <c:smooth val="0"/>
        </c:ser>
        <c:dLbls>
          <c:showLegendKey val="0"/>
          <c:showVal val="0"/>
          <c:showCatName val="0"/>
          <c:showSerName val="0"/>
          <c:showPercent val="0"/>
          <c:showBubbleSize val="0"/>
        </c:dLbls>
        <c:marker val="1"/>
        <c:smooth val="0"/>
        <c:axId val="57659776"/>
        <c:axId val="57661312"/>
      </c:lineChart>
      <c:catAx>
        <c:axId val="57659776"/>
        <c:scaling>
          <c:orientation val="minMax"/>
        </c:scaling>
        <c:delete val="0"/>
        <c:axPos val="b"/>
        <c:majorTickMark val="none"/>
        <c:minorTickMark val="none"/>
        <c:tickLblPos val="nextTo"/>
        <c:txPr>
          <a:bodyPr/>
          <a:lstStyle/>
          <a:p>
            <a:pPr>
              <a:defRPr sz="700"/>
            </a:pPr>
            <a:endParaRPr lang="en-US"/>
          </a:p>
        </c:txPr>
        <c:crossAx val="57661312"/>
        <c:crosses val="autoZero"/>
        <c:auto val="1"/>
        <c:lblAlgn val="ctr"/>
        <c:lblOffset val="100"/>
        <c:noMultiLvlLbl val="0"/>
      </c:catAx>
      <c:valAx>
        <c:axId val="57661312"/>
        <c:scaling>
          <c:orientation val="minMax"/>
          <c:max val="5"/>
        </c:scaling>
        <c:delete val="0"/>
        <c:axPos val="l"/>
        <c:majorGridlines>
          <c:spPr>
            <a:ln>
              <a:prstDash val="sysDot"/>
            </a:ln>
          </c:spPr>
        </c:majorGridlines>
        <c:numFmt formatCode="0" sourceLinked="0"/>
        <c:majorTickMark val="none"/>
        <c:minorTickMark val="none"/>
        <c:tickLblPos val="nextTo"/>
        <c:spPr>
          <a:ln w="9525">
            <a:noFill/>
          </a:ln>
        </c:spPr>
        <c:crossAx val="57659776"/>
        <c:crosses val="autoZero"/>
        <c:crossBetween val="between"/>
        <c:majorUnit val="1"/>
      </c:valAx>
    </c:plotArea>
    <c:legend>
      <c:legendPos val="b"/>
      <c:layout>
        <c:manualLayout>
          <c:xMode val="edge"/>
          <c:yMode val="edge"/>
          <c:x val="2.2477638649311883E-2"/>
          <c:y val="0.81959662936869726"/>
          <c:w val="0.93015873015873063"/>
          <c:h val="0.16094442142100659"/>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58AA-C130-4FDE-86B9-547C5134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0</TotalTime>
  <Pages>11</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Elead</cp:lastModifiedBy>
  <cp:revision>2</cp:revision>
  <cp:lastPrinted>2016-06-30T03:40:00Z</cp:lastPrinted>
  <dcterms:created xsi:type="dcterms:W3CDTF">2016-06-30T04:06:00Z</dcterms:created>
  <dcterms:modified xsi:type="dcterms:W3CDTF">2016-06-30T04:06:00Z</dcterms:modified>
</cp:coreProperties>
</file>