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jc w:val="center"/>
        <w:tblLook w:val="01E0" w:firstRow="1" w:lastRow="1" w:firstColumn="1" w:lastColumn="1" w:noHBand="0" w:noVBand="0"/>
      </w:tblPr>
      <w:tblGrid>
        <w:gridCol w:w="3556"/>
        <w:gridCol w:w="6488"/>
      </w:tblGrid>
      <w:tr w:rsidR="00900767" w:rsidRPr="006278F4" w:rsidTr="00B0278F">
        <w:trPr>
          <w:jc w:val="center"/>
        </w:trPr>
        <w:tc>
          <w:tcPr>
            <w:tcW w:w="3556" w:type="dxa"/>
          </w:tcPr>
          <w:p w:rsidR="00900767" w:rsidRPr="006278F4" w:rsidRDefault="00900767" w:rsidP="00BC5190">
            <w:pPr>
              <w:widowControl w:val="0"/>
              <w:spacing w:after="0"/>
              <w:ind w:firstLine="0"/>
              <w:jc w:val="center"/>
              <w:rPr>
                <w:b/>
                <w:bCs/>
                <w:sz w:val="26"/>
                <w:szCs w:val="26"/>
                <w:lang w:val="vi-VN"/>
              </w:rPr>
            </w:pPr>
            <w:r w:rsidRPr="006278F4">
              <w:rPr>
                <w:b/>
                <w:bCs/>
                <w:sz w:val="26"/>
                <w:szCs w:val="26"/>
                <w:lang w:val="vi-VN"/>
              </w:rPr>
              <w:t xml:space="preserve">ỦY BAN GIÁM SÁT </w:t>
            </w:r>
          </w:p>
          <w:p w:rsidR="00900767" w:rsidRPr="006278F4" w:rsidRDefault="00900767" w:rsidP="00BC5190">
            <w:pPr>
              <w:widowControl w:val="0"/>
              <w:spacing w:after="0"/>
              <w:ind w:firstLine="0"/>
              <w:jc w:val="center"/>
              <w:rPr>
                <w:b/>
                <w:bCs/>
                <w:sz w:val="26"/>
                <w:szCs w:val="26"/>
                <w:lang w:val="vi-VN"/>
              </w:rPr>
            </w:pPr>
            <w:r w:rsidRPr="006278F4">
              <w:rPr>
                <w:b/>
                <w:bCs/>
                <w:sz w:val="26"/>
                <w:szCs w:val="26"/>
                <w:lang w:val="vi-VN"/>
              </w:rPr>
              <w:t>TÀI CHÍNH QUỐC GIA</w:t>
            </w:r>
          </w:p>
          <w:p w:rsidR="00900767" w:rsidRPr="006278F4" w:rsidRDefault="00B6557F" w:rsidP="00BC5190">
            <w:pPr>
              <w:widowControl w:val="0"/>
              <w:spacing w:after="0"/>
              <w:ind w:firstLine="0"/>
              <w:jc w:val="center"/>
              <w:rPr>
                <w:sz w:val="26"/>
                <w:szCs w:val="26"/>
                <w:lang w:val="vi-VN"/>
              </w:rPr>
            </w:pPr>
            <w:r>
              <w:rPr>
                <w:noProof/>
                <w:sz w:val="26"/>
                <w:szCs w:val="26"/>
              </w:rPr>
              <mc:AlternateContent>
                <mc:Choice Requires="wps">
                  <w:drawing>
                    <wp:anchor distT="4294967291" distB="4294967291" distL="114300" distR="114300" simplePos="0" relativeHeight="251656192" behindDoc="0" locked="0" layoutInCell="1" allowOverlap="1">
                      <wp:simplePos x="0" y="0"/>
                      <wp:positionH relativeFrom="column">
                        <wp:posOffset>647700</wp:posOffset>
                      </wp:positionH>
                      <wp:positionV relativeFrom="paragraph">
                        <wp:posOffset>44449</wp:posOffset>
                      </wp:positionV>
                      <wp:extent cx="695325" cy="0"/>
                      <wp:effectExtent l="0" t="0" r="952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bEAIAACg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"/>
                  </w:pict>
                </mc:Fallback>
              </mc:AlternateContent>
            </w:r>
          </w:p>
          <w:p w:rsidR="00900767" w:rsidRPr="006278F4" w:rsidRDefault="00900767" w:rsidP="00BC5190">
            <w:pPr>
              <w:widowControl w:val="0"/>
              <w:spacing w:after="0"/>
              <w:ind w:firstLine="0"/>
              <w:jc w:val="center"/>
              <w:rPr>
                <w:sz w:val="26"/>
                <w:szCs w:val="26"/>
                <w:lang w:val="vi-VN"/>
              </w:rPr>
            </w:pPr>
            <w:r w:rsidRPr="006278F4">
              <w:rPr>
                <w:sz w:val="26"/>
                <w:szCs w:val="26"/>
                <w:lang w:val="vi-VN"/>
              </w:rPr>
              <w:t>Số:        /</w:t>
            </w:r>
            <w:r w:rsidR="000E5F9F" w:rsidRPr="006278F4">
              <w:rPr>
                <w:sz w:val="26"/>
                <w:szCs w:val="26"/>
              </w:rPr>
              <w:t>BC-</w:t>
            </w:r>
            <w:r w:rsidRPr="006278F4">
              <w:rPr>
                <w:sz w:val="26"/>
                <w:szCs w:val="26"/>
                <w:lang w:val="vi-VN"/>
              </w:rPr>
              <w:t>UBGSTCQG</w:t>
            </w:r>
          </w:p>
        </w:tc>
        <w:tc>
          <w:tcPr>
            <w:tcW w:w="6488" w:type="dxa"/>
          </w:tcPr>
          <w:p w:rsidR="00900767" w:rsidRPr="006278F4" w:rsidRDefault="00900767" w:rsidP="00BC5190">
            <w:pPr>
              <w:widowControl w:val="0"/>
              <w:spacing w:after="0"/>
              <w:jc w:val="center"/>
              <w:rPr>
                <w:b/>
                <w:bCs/>
                <w:sz w:val="26"/>
                <w:szCs w:val="26"/>
                <w:lang w:val="vi-VN"/>
              </w:rPr>
            </w:pPr>
            <w:r w:rsidRPr="006278F4">
              <w:rPr>
                <w:b/>
                <w:bCs/>
                <w:sz w:val="26"/>
                <w:szCs w:val="26"/>
                <w:lang w:val="vi-VN"/>
              </w:rPr>
              <w:t>CỘNG HÒA XÃ HỘI CHỦ NGHĨA VIỆT NAM</w:t>
            </w:r>
          </w:p>
          <w:p w:rsidR="00900767" w:rsidRPr="006278F4" w:rsidRDefault="00900767" w:rsidP="00BC5190">
            <w:pPr>
              <w:widowControl w:val="0"/>
              <w:spacing w:after="0"/>
              <w:jc w:val="center"/>
              <w:rPr>
                <w:b/>
                <w:bCs/>
                <w:sz w:val="26"/>
                <w:szCs w:val="26"/>
                <w:lang w:val="vi-VN"/>
              </w:rPr>
            </w:pPr>
            <w:r w:rsidRPr="006278F4">
              <w:rPr>
                <w:b/>
                <w:bCs/>
                <w:sz w:val="26"/>
                <w:szCs w:val="26"/>
                <w:lang w:val="vi-VN"/>
              </w:rPr>
              <w:t>Độc lập - Tự do - Hạnh phúc</w:t>
            </w:r>
          </w:p>
          <w:p w:rsidR="00900767" w:rsidRPr="006278F4" w:rsidRDefault="00B6557F" w:rsidP="00BC5190">
            <w:pPr>
              <w:widowControl w:val="0"/>
              <w:spacing w:after="0"/>
              <w:ind w:left="397"/>
              <w:jc w:val="right"/>
              <w:rPr>
                <w:i/>
                <w:iCs/>
                <w:sz w:val="26"/>
                <w:szCs w:val="26"/>
              </w:rPr>
            </w:pPr>
            <w:r>
              <w:rPr>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1181100</wp:posOffset>
                      </wp:positionH>
                      <wp:positionV relativeFrom="paragraph">
                        <wp:posOffset>44449</wp:posOffset>
                      </wp:positionV>
                      <wp:extent cx="2070100" cy="0"/>
                      <wp:effectExtent l="0" t="0" r="2540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s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"/>
                  </w:pict>
                </mc:Fallback>
              </mc:AlternateContent>
            </w:r>
          </w:p>
          <w:p w:rsidR="00900767" w:rsidRPr="006278F4" w:rsidRDefault="00900767" w:rsidP="006D4EA1">
            <w:pPr>
              <w:widowControl w:val="0"/>
              <w:spacing w:after="0"/>
              <w:ind w:firstLine="0"/>
              <w:jc w:val="right"/>
              <w:rPr>
                <w:i/>
                <w:iCs/>
                <w:sz w:val="26"/>
                <w:szCs w:val="26"/>
              </w:rPr>
            </w:pPr>
            <w:r w:rsidRPr="006278F4">
              <w:rPr>
                <w:i/>
                <w:iCs/>
                <w:sz w:val="26"/>
                <w:szCs w:val="26"/>
                <w:lang w:val="vi-VN"/>
              </w:rPr>
              <w:t>Hà Nội, ngày</w:t>
            </w:r>
            <w:r w:rsidR="00FA5A7E">
              <w:rPr>
                <w:i/>
                <w:iCs/>
                <w:sz w:val="26"/>
                <w:szCs w:val="26"/>
              </w:rPr>
              <w:t xml:space="preserve"> </w:t>
            </w:r>
            <w:r w:rsidR="00462767" w:rsidRPr="006278F4">
              <w:rPr>
                <w:i/>
                <w:iCs/>
                <w:sz w:val="26"/>
                <w:szCs w:val="26"/>
              </w:rPr>
              <w:t>29</w:t>
            </w:r>
            <w:r w:rsidR="00FA5A7E">
              <w:rPr>
                <w:i/>
                <w:iCs/>
                <w:sz w:val="26"/>
                <w:szCs w:val="26"/>
              </w:rPr>
              <w:t xml:space="preserve"> </w:t>
            </w:r>
            <w:r w:rsidRPr="006278F4">
              <w:rPr>
                <w:i/>
                <w:iCs/>
                <w:sz w:val="26"/>
                <w:szCs w:val="26"/>
                <w:lang w:val="vi-VN"/>
              </w:rPr>
              <w:t>tháng</w:t>
            </w:r>
            <w:r w:rsidR="00FA5A7E">
              <w:rPr>
                <w:i/>
                <w:iCs/>
                <w:sz w:val="26"/>
                <w:szCs w:val="26"/>
              </w:rPr>
              <w:t xml:space="preserve"> </w:t>
            </w:r>
            <w:r w:rsidR="006D4EA1">
              <w:rPr>
                <w:i/>
                <w:iCs/>
                <w:sz w:val="26"/>
                <w:szCs w:val="26"/>
              </w:rPr>
              <w:t>8</w:t>
            </w:r>
            <w:r w:rsidR="00FA5A7E">
              <w:rPr>
                <w:i/>
                <w:iCs/>
                <w:sz w:val="26"/>
                <w:szCs w:val="26"/>
              </w:rPr>
              <w:t xml:space="preserve"> </w:t>
            </w:r>
            <w:r w:rsidRPr="006278F4">
              <w:rPr>
                <w:i/>
                <w:iCs/>
                <w:sz w:val="26"/>
                <w:szCs w:val="26"/>
                <w:lang w:val="vi-VN"/>
              </w:rPr>
              <w:t>năm 201</w:t>
            </w:r>
            <w:r w:rsidR="00BA4FFA" w:rsidRPr="006278F4">
              <w:rPr>
                <w:i/>
                <w:iCs/>
                <w:sz w:val="26"/>
                <w:szCs w:val="26"/>
              </w:rPr>
              <w:t>6</w:t>
            </w:r>
          </w:p>
        </w:tc>
      </w:tr>
    </w:tbl>
    <w:p w:rsidR="00900767" w:rsidRPr="006278F4" w:rsidRDefault="00900767" w:rsidP="00BC5190">
      <w:pPr>
        <w:rPr>
          <w:sz w:val="26"/>
          <w:szCs w:val="26"/>
        </w:rPr>
      </w:pPr>
    </w:p>
    <w:p w:rsidR="00900767" w:rsidRPr="006278F4" w:rsidRDefault="00900767" w:rsidP="00BC5190">
      <w:pPr>
        <w:ind w:firstLine="0"/>
        <w:jc w:val="center"/>
        <w:rPr>
          <w:b/>
          <w:sz w:val="26"/>
          <w:szCs w:val="26"/>
        </w:rPr>
      </w:pPr>
    </w:p>
    <w:p w:rsidR="00F22114" w:rsidRPr="00F36FB7" w:rsidRDefault="00F22114" w:rsidP="00F36FB7">
      <w:pPr>
        <w:spacing w:before="120" w:line="288" w:lineRule="auto"/>
        <w:ind w:firstLine="0"/>
        <w:jc w:val="center"/>
        <w:rPr>
          <w:b/>
          <w:sz w:val="26"/>
          <w:szCs w:val="26"/>
        </w:rPr>
      </w:pPr>
      <w:r w:rsidRPr="00F36FB7">
        <w:rPr>
          <w:b/>
          <w:sz w:val="26"/>
          <w:szCs w:val="26"/>
          <w:lang w:val="vi-VN"/>
        </w:rPr>
        <w:t>BÁO CÁO</w:t>
      </w:r>
    </w:p>
    <w:p w:rsidR="00F22114" w:rsidRPr="00F36FB7" w:rsidRDefault="00F22114" w:rsidP="00F36FB7">
      <w:pPr>
        <w:spacing w:before="120" w:line="288" w:lineRule="auto"/>
        <w:ind w:firstLine="0"/>
        <w:jc w:val="center"/>
        <w:rPr>
          <w:b/>
          <w:sz w:val="26"/>
          <w:szCs w:val="26"/>
        </w:rPr>
      </w:pPr>
      <w:r w:rsidRPr="00F36FB7">
        <w:rPr>
          <w:b/>
          <w:sz w:val="26"/>
          <w:szCs w:val="26"/>
        </w:rPr>
        <w:t xml:space="preserve">TÌNH HÌNH KINH TẾ THÁNG </w:t>
      </w:r>
      <w:r w:rsidR="006D4EA1">
        <w:rPr>
          <w:b/>
          <w:sz w:val="26"/>
          <w:szCs w:val="26"/>
        </w:rPr>
        <w:t>8</w:t>
      </w:r>
      <w:r w:rsidR="007F43DB" w:rsidRPr="00F36FB7">
        <w:rPr>
          <w:b/>
          <w:sz w:val="26"/>
          <w:szCs w:val="26"/>
        </w:rPr>
        <w:t xml:space="preserve"> VÀ </w:t>
      </w:r>
      <w:r w:rsidR="006D4EA1">
        <w:rPr>
          <w:b/>
          <w:sz w:val="26"/>
          <w:szCs w:val="26"/>
        </w:rPr>
        <w:t>8</w:t>
      </w:r>
      <w:r w:rsidR="007F43DB" w:rsidRPr="00F36FB7">
        <w:rPr>
          <w:b/>
          <w:sz w:val="26"/>
          <w:szCs w:val="26"/>
        </w:rPr>
        <w:t xml:space="preserve"> THÁNG ĐẦU </w:t>
      </w:r>
      <w:r w:rsidR="00BA4FFA" w:rsidRPr="00F36FB7">
        <w:rPr>
          <w:b/>
          <w:sz w:val="26"/>
          <w:szCs w:val="26"/>
        </w:rPr>
        <w:t xml:space="preserve">NĂM </w:t>
      </w:r>
      <w:r w:rsidRPr="00F36FB7">
        <w:rPr>
          <w:b/>
          <w:sz w:val="26"/>
          <w:szCs w:val="26"/>
        </w:rPr>
        <w:t>201</w:t>
      </w:r>
      <w:r w:rsidR="00BA4FFA" w:rsidRPr="00F36FB7">
        <w:rPr>
          <w:b/>
          <w:sz w:val="26"/>
          <w:szCs w:val="26"/>
        </w:rPr>
        <w:t>6</w:t>
      </w:r>
    </w:p>
    <w:p w:rsidR="00F22114" w:rsidRPr="00F36FB7" w:rsidRDefault="00F22114" w:rsidP="00F36FB7">
      <w:pPr>
        <w:pStyle w:val="Footer"/>
        <w:spacing w:before="120" w:line="288" w:lineRule="auto"/>
        <w:ind w:firstLine="0"/>
        <w:jc w:val="center"/>
        <w:rPr>
          <w:i/>
          <w:sz w:val="26"/>
          <w:szCs w:val="26"/>
        </w:rPr>
      </w:pPr>
      <w:r w:rsidRPr="00F36FB7">
        <w:rPr>
          <w:i/>
          <w:sz w:val="26"/>
          <w:szCs w:val="26"/>
          <w:lang w:val="vi-VN"/>
        </w:rPr>
        <w:t xml:space="preserve">(Tài liệu phục vụ </w:t>
      </w:r>
      <w:r w:rsidRPr="00F36FB7">
        <w:rPr>
          <w:i/>
          <w:sz w:val="26"/>
          <w:szCs w:val="26"/>
        </w:rPr>
        <w:t>phiên họp</w:t>
      </w:r>
      <w:r w:rsidR="00D63CF0" w:rsidRPr="00F36FB7">
        <w:rPr>
          <w:i/>
          <w:sz w:val="26"/>
          <w:szCs w:val="26"/>
        </w:rPr>
        <w:t xml:space="preserve"> Chính phủ tháng</w:t>
      </w:r>
      <w:r w:rsidR="00FA5A7E">
        <w:rPr>
          <w:i/>
          <w:sz w:val="26"/>
          <w:szCs w:val="26"/>
        </w:rPr>
        <w:t xml:space="preserve"> </w:t>
      </w:r>
      <w:r w:rsidR="006D4EA1">
        <w:rPr>
          <w:i/>
          <w:sz w:val="26"/>
          <w:szCs w:val="26"/>
        </w:rPr>
        <w:t>8</w:t>
      </w:r>
      <w:r w:rsidRPr="00F36FB7">
        <w:rPr>
          <w:i/>
          <w:sz w:val="26"/>
          <w:szCs w:val="26"/>
        </w:rPr>
        <w:t>/201</w:t>
      </w:r>
      <w:r w:rsidR="00BA4FFA" w:rsidRPr="00F36FB7">
        <w:rPr>
          <w:i/>
          <w:sz w:val="26"/>
          <w:szCs w:val="26"/>
        </w:rPr>
        <w:t>6</w:t>
      </w:r>
      <w:r w:rsidRPr="00F36FB7">
        <w:rPr>
          <w:i/>
          <w:sz w:val="26"/>
          <w:szCs w:val="26"/>
          <w:lang w:val="vi-VN"/>
        </w:rPr>
        <w:t>)</w:t>
      </w:r>
    </w:p>
    <w:p w:rsidR="00900767" w:rsidRPr="00F36FB7" w:rsidRDefault="00900767" w:rsidP="00F36FB7">
      <w:pPr>
        <w:pStyle w:val="Footer"/>
        <w:spacing w:before="120" w:line="288" w:lineRule="auto"/>
        <w:ind w:firstLine="0"/>
        <w:jc w:val="center"/>
        <w:rPr>
          <w:i/>
          <w:sz w:val="26"/>
          <w:szCs w:val="26"/>
        </w:rPr>
      </w:pPr>
    </w:p>
    <w:p w:rsidR="00CF331D" w:rsidRPr="002F5B56" w:rsidRDefault="00CF331D" w:rsidP="00BA35D3">
      <w:pPr>
        <w:pStyle w:val="Footer"/>
        <w:numPr>
          <w:ilvl w:val="0"/>
          <w:numId w:val="12"/>
        </w:numPr>
        <w:spacing w:before="120" w:line="288" w:lineRule="auto"/>
        <w:ind w:left="851" w:hanging="567"/>
        <w:rPr>
          <w:b/>
          <w:i/>
          <w:spacing w:val="4"/>
          <w:sz w:val="26"/>
          <w:szCs w:val="26"/>
        </w:rPr>
      </w:pPr>
      <w:r w:rsidRPr="002F5B56">
        <w:rPr>
          <w:b/>
          <w:i/>
          <w:spacing w:val="4"/>
          <w:sz w:val="26"/>
          <w:szCs w:val="26"/>
          <w:u w:val="single"/>
        </w:rPr>
        <w:t>Kinh tế thế giới</w:t>
      </w:r>
    </w:p>
    <w:p w:rsidR="00E51184" w:rsidRPr="00BA08D3" w:rsidRDefault="00EE4280" w:rsidP="00B305AA">
      <w:pPr>
        <w:pStyle w:val="Footer"/>
        <w:numPr>
          <w:ilvl w:val="0"/>
          <w:numId w:val="23"/>
        </w:numPr>
        <w:tabs>
          <w:tab w:val="clear" w:pos="4320"/>
          <w:tab w:val="left" w:pos="1276"/>
          <w:tab w:val="center" w:pos="1440"/>
        </w:tabs>
        <w:spacing w:before="120" w:line="276" w:lineRule="auto"/>
        <w:ind w:left="1276" w:hanging="567"/>
        <w:rPr>
          <w:i/>
          <w:spacing w:val="4"/>
          <w:sz w:val="26"/>
          <w:szCs w:val="26"/>
        </w:rPr>
      </w:pPr>
      <w:r w:rsidRPr="00B305AA">
        <w:rPr>
          <w:i/>
          <w:spacing w:val="-2"/>
          <w:sz w:val="26"/>
          <w:szCs w:val="26"/>
          <w:lang w:val="sv-SE"/>
        </w:rPr>
        <w:t xml:space="preserve">Một số NHTW đã </w:t>
      </w:r>
      <w:r w:rsidR="00F10517" w:rsidRPr="00B305AA">
        <w:rPr>
          <w:i/>
          <w:spacing w:val="-2"/>
          <w:sz w:val="26"/>
          <w:szCs w:val="26"/>
          <w:lang w:val="sv-SE"/>
        </w:rPr>
        <w:t xml:space="preserve">đẩy mạnh </w:t>
      </w:r>
      <w:r w:rsidRPr="00B305AA">
        <w:rPr>
          <w:i/>
          <w:spacing w:val="-2"/>
          <w:sz w:val="26"/>
          <w:szCs w:val="26"/>
          <w:lang w:val="sv-SE"/>
        </w:rPr>
        <w:t>bán ròng trái phiếu NHTW Mỹ do nhu cầu tiền mặt để hỗ trợ tỷ giá đồng nội tệ trong trường hợp mất giá;</w:t>
      </w:r>
    </w:p>
    <w:p w:rsidR="00BA08D3" w:rsidRPr="006441E7" w:rsidRDefault="00BA08D3" w:rsidP="00BA08D3">
      <w:pPr>
        <w:pStyle w:val="Footer"/>
        <w:numPr>
          <w:ilvl w:val="0"/>
          <w:numId w:val="23"/>
        </w:numPr>
        <w:tabs>
          <w:tab w:val="clear" w:pos="4320"/>
          <w:tab w:val="left" w:pos="1276"/>
          <w:tab w:val="center" w:pos="1440"/>
        </w:tabs>
        <w:spacing w:before="120" w:line="276" w:lineRule="auto"/>
        <w:ind w:left="720" w:firstLine="0"/>
        <w:rPr>
          <w:i/>
          <w:spacing w:val="-2"/>
          <w:sz w:val="26"/>
          <w:szCs w:val="26"/>
          <w:lang w:val="sv-SE"/>
        </w:rPr>
      </w:pPr>
      <w:r w:rsidRPr="006441E7">
        <w:rPr>
          <w:i/>
          <w:spacing w:val="-2"/>
          <w:sz w:val="26"/>
          <w:szCs w:val="26"/>
          <w:lang w:val="sv-SE"/>
        </w:rPr>
        <w:t>Fed có thể tăng l</w:t>
      </w:r>
      <w:r>
        <w:rPr>
          <w:i/>
          <w:spacing w:val="-2"/>
          <w:sz w:val="26"/>
          <w:szCs w:val="26"/>
          <w:lang w:val="sv-SE"/>
        </w:rPr>
        <w:t>ãi suất trong một vài tháng tới;</w:t>
      </w:r>
    </w:p>
    <w:p w:rsidR="00EE4280" w:rsidRPr="00BA08D3" w:rsidRDefault="00EE4280" w:rsidP="00B305AA">
      <w:pPr>
        <w:pStyle w:val="Footer"/>
        <w:numPr>
          <w:ilvl w:val="0"/>
          <w:numId w:val="23"/>
        </w:numPr>
        <w:tabs>
          <w:tab w:val="clear" w:pos="4320"/>
          <w:tab w:val="left" w:pos="1276"/>
          <w:tab w:val="center" w:pos="1440"/>
        </w:tabs>
        <w:spacing w:before="120" w:line="276" w:lineRule="auto"/>
        <w:ind w:left="1276" w:hanging="567"/>
        <w:rPr>
          <w:i/>
          <w:spacing w:val="4"/>
          <w:sz w:val="26"/>
          <w:szCs w:val="26"/>
          <w:lang w:val="sv-SE"/>
        </w:rPr>
      </w:pPr>
      <w:r w:rsidRPr="00B305AA">
        <w:rPr>
          <w:i/>
          <w:sz w:val="26"/>
          <w:szCs w:val="26"/>
          <w:lang w:val="sv-SE"/>
        </w:rPr>
        <w:t>Thị trường chứng khoán toàn cầu tháng 8 tăng điểm tích cực;</w:t>
      </w:r>
    </w:p>
    <w:p w:rsidR="00EE4280" w:rsidRPr="003C2156" w:rsidRDefault="00EE4280" w:rsidP="00B305AA">
      <w:pPr>
        <w:pStyle w:val="Footer"/>
        <w:numPr>
          <w:ilvl w:val="0"/>
          <w:numId w:val="23"/>
        </w:numPr>
        <w:tabs>
          <w:tab w:val="clear" w:pos="4320"/>
          <w:tab w:val="left" w:pos="1276"/>
          <w:tab w:val="center" w:pos="1440"/>
        </w:tabs>
        <w:spacing w:before="120" w:line="276" w:lineRule="auto"/>
        <w:ind w:left="1276" w:hanging="567"/>
        <w:rPr>
          <w:i/>
          <w:spacing w:val="4"/>
          <w:sz w:val="26"/>
          <w:szCs w:val="26"/>
          <w:lang w:val="sv-SE"/>
        </w:rPr>
      </w:pPr>
      <w:r w:rsidRPr="00B305AA">
        <w:rPr>
          <w:rFonts w:eastAsiaTheme="minorHAnsi"/>
          <w:i/>
          <w:sz w:val="26"/>
          <w:szCs w:val="26"/>
          <w:lang w:val="pt-BR"/>
        </w:rPr>
        <w:t xml:space="preserve">Giá dầu </w:t>
      </w:r>
      <w:r w:rsidRPr="00B305AA">
        <w:rPr>
          <w:i/>
          <w:color w:val="000000" w:themeColor="text1"/>
          <w:sz w:val="26"/>
          <w:szCs w:val="26"/>
          <w:lang w:val="pt-BR"/>
        </w:rPr>
        <w:t xml:space="preserve">tháng 8 liên tục biến động </w:t>
      </w:r>
      <w:r w:rsidR="0060704B" w:rsidRPr="00B305AA">
        <w:rPr>
          <w:i/>
          <w:color w:val="000000" w:themeColor="text1"/>
          <w:sz w:val="26"/>
          <w:szCs w:val="26"/>
          <w:lang w:val="pt-BR"/>
        </w:rPr>
        <w:t xml:space="preserve">trái chiều </w:t>
      </w:r>
      <w:r w:rsidRPr="00B305AA">
        <w:rPr>
          <w:i/>
          <w:color w:val="000000" w:themeColor="text1"/>
          <w:sz w:val="26"/>
          <w:szCs w:val="26"/>
          <w:lang w:val="pt-BR"/>
        </w:rPr>
        <w:t>do lo ngại dư cung</w:t>
      </w:r>
      <w:r w:rsidR="00F10517" w:rsidRPr="00B305AA">
        <w:rPr>
          <w:i/>
          <w:color w:val="000000" w:themeColor="text1"/>
          <w:sz w:val="26"/>
          <w:szCs w:val="26"/>
          <w:lang w:val="pt-BR"/>
        </w:rPr>
        <w:t>.</w:t>
      </w:r>
    </w:p>
    <w:p w:rsidR="00F10517" w:rsidRPr="003C2156" w:rsidRDefault="00F10517" w:rsidP="00F10517">
      <w:pPr>
        <w:pStyle w:val="Footer"/>
        <w:tabs>
          <w:tab w:val="clear" w:pos="4320"/>
          <w:tab w:val="left" w:pos="1276"/>
          <w:tab w:val="center" w:pos="1440"/>
        </w:tabs>
        <w:spacing w:before="120" w:line="276" w:lineRule="auto"/>
        <w:ind w:left="720" w:firstLine="0"/>
        <w:rPr>
          <w:i/>
          <w:spacing w:val="4"/>
          <w:sz w:val="26"/>
          <w:szCs w:val="26"/>
          <w:lang w:val="sv-SE"/>
        </w:rPr>
      </w:pPr>
    </w:p>
    <w:p w:rsidR="004A77B6" w:rsidRPr="002F5B56" w:rsidRDefault="00CF331D" w:rsidP="00BA35D3">
      <w:pPr>
        <w:pStyle w:val="Footer"/>
        <w:numPr>
          <w:ilvl w:val="0"/>
          <w:numId w:val="12"/>
        </w:numPr>
        <w:spacing w:before="120" w:line="288" w:lineRule="auto"/>
        <w:ind w:left="851" w:hanging="567"/>
        <w:rPr>
          <w:b/>
          <w:i/>
          <w:spacing w:val="4"/>
          <w:sz w:val="26"/>
          <w:szCs w:val="26"/>
        </w:rPr>
      </w:pPr>
      <w:r w:rsidRPr="002F5B56">
        <w:rPr>
          <w:b/>
          <w:i/>
          <w:spacing w:val="4"/>
          <w:sz w:val="26"/>
          <w:szCs w:val="26"/>
          <w:u w:val="single"/>
        </w:rPr>
        <w:t>Kinh tế Việt Nam</w:t>
      </w:r>
    </w:p>
    <w:p w:rsidR="00E51184" w:rsidRPr="002F5B56" w:rsidRDefault="00EE4280" w:rsidP="00B305AA">
      <w:pPr>
        <w:pStyle w:val="Footer"/>
        <w:numPr>
          <w:ilvl w:val="0"/>
          <w:numId w:val="23"/>
        </w:numPr>
        <w:tabs>
          <w:tab w:val="clear" w:pos="4320"/>
          <w:tab w:val="left" w:pos="1276"/>
          <w:tab w:val="center" w:pos="1440"/>
        </w:tabs>
        <w:spacing w:before="120" w:line="276" w:lineRule="auto"/>
        <w:ind w:left="1276" w:hanging="567"/>
        <w:rPr>
          <w:i/>
          <w:spacing w:val="-2"/>
          <w:sz w:val="26"/>
          <w:szCs w:val="26"/>
          <w:lang w:val="sv-SE"/>
        </w:rPr>
      </w:pPr>
      <w:r w:rsidRPr="002F5B56">
        <w:rPr>
          <w:i/>
          <w:spacing w:val="-2"/>
          <w:sz w:val="26"/>
          <w:szCs w:val="26"/>
          <w:lang w:val="sv-SE"/>
        </w:rPr>
        <w:t xml:space="preserve">Lạm phát </w:t>
      </w:r>
      <w:r w:rsidR="00F10517" w:rsidRPr="002F5B56">
        <w:rPr>
          <w:i/>
          <w:spacing w:val="-2"/>
          <w:sz w:val="26"/>
          <w:szCs w:val="26"/>
          <w:lang w:val="sv-SE"/>
        </w:rPr>
        <w:t xml:space="preserve">tháng 8 </w:t>
      </w:r>
      <w:r w:rsidR="00B6557F" w:rsidRPr="002F5B56">
        <w:rPr>
          <w:i/>
          <w:spacing w:val="-2"/>
          <w:sz w:val="26"/>
          <w:szCs w:val="26"/>
          <w:lang w:val="sv-SE"/>
        </w:rPr>
        <w:t>tiếp tục xu hướng tăng do điều chỉnh giá dịch vụ. Tuy nhiên mức tăng lạm phát đang giảm dần và lạm phát cơ bản ổn định ở mức dưới 2%</w:t>
      </w:r>
      <w:r w:rsidR="00F10517" w:rsidRPr="002F5B56">
        <w:rPr>
          <w:i/>
          <w:spacing w:val="-2"/>
          <w:sz w:val="26"/>
          <w:szCs w:val="26"/>
          <w:lang w:val="sv-SE"/>
        </w:rPr>
        <w:t>;</w:t>
      </w:r>
    </w:p>
    <w:p w:rsidR="00EE4280" w:rsidRPr="002F5B56" w:rsidRDefault="00B6557F" w:rsidP="00B305AA">
      <w:pPr>
        <w:pStyle w:val="Footer"/>
        <w:numPr>
          <w:ilvl w:val="0"/>
          <w:numId w:val="23"/>
        </w:numPr>
        <w:tabs>
          <w:tab w:val="clear" w:pos="4320"/>
          <w:tab w:val="left" w:pos="1276"/>
          <w:tab w:val="center" w:pos="1440"/>
        </w:tabs>
        <w:spacing w:before="120" w:line="276" w:lineRule="auto"/>
        <w:ind w:left="1276" w:hanging="567"/>
        <w:rPr>
          <w:i/>
          <w:spacing w:val="-2"/>
          <w:sz w:val="26"/>
          <w:szCs w:val="26"/>
          <w:lang w:val="sv-SE"/>
        </w:rPr>
      </w:pPr>
      <w:r w:rsidRPr="002F5B56">
        <w:rPr>
          <w:i/>
          <w:spacing w:val="-2"/>
          <w:sz w:val="26"/>
          <w:szCs w:val="26"/>
          <w:lang w:val="sv-SE"/>
        </w:rPr>
        <w:t>Sản xuất tăng chậm hơn so với cùng kỳ 2015 nhưng vẫn trong xu hướng cải thiện;</w:t>
      </w:r>
    </w:p>
    <w:p w:rsidR="00D2267D" w:rsidRPr="002F5B56" w:rsidRDefault="00D2267D" w:rsidP="00B305AA">
      <w:pPr>
        <w:pStyle w:val="Footer"/>
        <w:numPr>
          <w:ilvl w:val="0"/>
          <w:numId w:val="23"/>
        </w:numPr>
        <w:tabs>
          <w:tab w:val="clear" w:pos="4320"/>
          <w:tab w:val="left" w:pos="1276"/>
          <w:tab w:val="center" w:pos="1440"/>
        </w:tabs>
        <w:spacing w:before="120" w:line="276" w:lineRule="auto"/>
        <w:ind w:left="1276" w:hanging="567"/>
        <w:rPr>
          <w:i/>
          <w:spacing w:val="-2"/>
          <w:sz w:val="26"/>
          <w:szCs w:val="26"/>
          <w:lang w:val="sv-SE"/>
        </w:rPr>
      </w:pPr>
      <w:r w:rsidRPr="002F5B56">
        <w:rPr>
          <w:i/>
          <w:spacing w:val="-2"/>
          <w:sz w:val="26"/>
          <w:szCs w:val="26"/>
          <w:lang w:val="sv-SE"/>
        </w:rPr>
        <w:t>Thặng dư thương mại 8 tháng đầu năm chủ yếu do khu vực FDI</w:t>
      </w:r>
      <w:r w:rsidR="00F10517" w:rsidRPr="002F5B56">
        <w:rPr>
          <w:i/>
          <w:spacing w:val="-2"/>
          <w:sz w:val="26"/>
          <w:szCs w:val="26"/>
          <w:lang w:val="sv-SE"/>
        </w:rPr>
        <w:t>;</w:t>
      </w:r>
    </w:p>
    <w:p w:rsidR="00E51184" w:rsidRPr="002F5B56" w:rsidRDefault="00EE4280" w:rsidP="00B305AA">
      <w:pPr>
        <w:pStyle w:val="Footer"/>
        <w:numPr>
          <w:ilvl w:val="0"/>
          <w:numId w:val="23"/>
        </w:numPr>
        <w:tabs>
          <w:tab w:val="clear" w:pos="4320"/>
          <w:tab w:val="left" w:pos="1276"/>
          <w:tab w:val="center" w:pos="1440"/>
        </w:tabs>
        <w:spacing w:before="120" w:line="276" w:lineRule="auto"/>
        <w:ind w:left="1276" w:hanging="567"/>
        <w:rPr>
          <w:i/>
          <w:spacing w:val="-2"/>
          <w:sz w:val="26"/>
          <w:szCs w:val="26"/>
          <w:lang w:val="sv-SE"/>
        </w:rPr>
      </w:pPr>
      <w:r w:rsidRPr="002F5B56">
        <w:rPr>
          <w:i/>
          <w:spacing w:val="-2"/>
          <w:sz w:val="26"/>
          <w:szCs w:val="26"/>
          <w:lang w:val="sv-SE"/>
        </w:rPr>
        <w:t>Thanh khoản của khu vực ngân hàng tháng 8 dồi dào; Mặt bằng lãi suất trên thị trường 1 được duy trì ổn định</w:t>
      </w:r>
      <w:r w:rsidR="00F10517" w:rsidRPr="002F5B56">
        <w:rPr>
          <w:i/>
          <w:spacing w:val="-2"/>
          <w:sz w:val="26"/>
          <w:szCs w:val="26"/>
          <w:lang w:val="sv-SE"/>
        </w:rPr>
        <w:t>;</w:t>
      </w:r>
    </w:p>
    <w:p w:rsidR="00D2267D" w:rsidRPr="002F5B56" w:rsidRDefault="00D2267D" w:rsidP="00B305AA">
      <w:pPr>
        <w:pStyle w:val="Footer"/>
        <w:numPr>
          <w:ilvl w:val="0"/>
          <w:numId w:val="23"/>
        </w:numPr>
        <w:tabs>
          <w:tab w:val="clear" w:pos="4320"/>
          <w:tab w:val="left" w:pos="1276"/>
          <w:tab w:val="center" w:pos="1440"/>
        </w:tabs>
        <w:spacing w:before="120" w:line="276" w:lineRule="auto"/>
        <w:ind w:left="1276" w:hanging="567"/>
        <w:rPr>
          <w:i/>
          <w:spacing w:val="-2"/>
          <w:sz w:val="26"/>
          <w:szCs w:val="26"/>
          <w:lang w:val="sv-SE"/>
        </w:rPr>
      </w:pPr>
      <w:r w:rsidRPr="002F5B56">
        <w:rPr>
          <w:i/>
          <w:spacing w:val="-2"/>
          <w:sz w:val="26"/>
          <w:szCs w:val="26"/>
          <w:lang w:val="sv-SE"/>
        </w:rPr>
        <w:t>Trên thị trường cổ phiếu - trái phiếu, khối ngoại tăng bán ròng trên thị trường cổ phiếu nhằm chốt lời nhưng tăng mua ròng trên thị trường trái phiếu thứ cấp.</w:t>
      </w:r>
    </w:p>
    <w:p w:rsidR="00462767" w:rsidRPr="007A2902" w:rsidRDefault="00462767" w:rsidP="00F36FB7">
      <w:pPr>
        <w:spacing w:before="120" w:line="288" w:lineRule="auto"/>
        <w:ind w:firstLine="0"/>
        <w:jc w:val="left"/>
        <w:rPr>
          <w:b/>
          <w:sz w:val="26"/>
          <w:szCs w:val="26"/>
          <w:lang w:val="sv-SE"/>
        </w:rPr>
      </w:pPr>
      <w:r w:rsidRPr="007A2902">
        <w:rPr>
          <w:b/>
          <w:sz w:val="26"/>
          <w:szCs w:val="26"/>
          <w:lang w:val="sv-SE"/>
        </w:rPr>
        <w:br w:type="page"/>
      </w:r>
    </w:p>
    <w:p w:rsidR="005F38CE" w:rsidRPr="00D356F4" w:rsidRDefault="005F38CE" w:rsidP="00A047D8">
      <w:pPr>
        <w:numPr>
          <w:ilvl w:val="0"/>
          <w:numId w:val="15"/>
        </w:numPr>
        <w:spacing w:before="120" w:line="264" w:lineRule="auto"/>
        <w:ind w:left="284" w:hanging="284"/>
        <w:jc w:val="left"/>
        <w:rPr>
          <w:rFonts w:eastAsiaTheme="minorEastAsia"/>
          <w:b/>
          <w:szCs w:val="28"/>
          <w:lang w:val="sv-SE"/>
        </w:rPr>
      </w:pPr>
      <w:r w:rsidRPr="00D356F4">
        <w:rPr>
          <w:rFonts w:eastAsiaTheme="minorEastAsia"/>
          <w:b/>
          <w:szCs w:val="28"/>
          <w:lang w:val="sv-SE"/>
        </w:rPr>
        <w:lastRenderedPageBreak/>
        <w:t>KINH TẾ THẾ GIỚI</w:t>
      </w:r>
      <w:r w:rsidR="00D356F4" w:rsidRPr="00D356F4">
        <w:rPr>
          <w:rFonts w:eastAsiaTheme="minorEastAsia"/>
          <w:b/>
          <w:szCs w:val="28"/>
          <w:lang w:val="sv-SE"/>
        </w:rPr>
        <w:t xml:space="preserve"> </w:t>
      </w:r>
    </w:p>
    <w:p w:rsidR="00EC5718" w:rsidRPr="00D356F4" w:rsidRDefault="00D356F4" w:rsidP="00797176">
      <w:pPr>
        <w:pStyle w:val="ListParagraph"/>
        <w:numPr>
          <w:ilvl w:val="0"/>
          <w:numId w:val="13"/>
        </w:numPr>
        <w:tabs>
          <w:tab w:val="left" w:pos="284"/>
        </w:tabs>
        <w:spacing w:before="120" w:line="276" w:lineRule="auto"/>
        <w:ind w:hanging="720"/>
        <w:contextualSpacing w:val="0"/>
        <w:rPr>
          <w:b/>
          <w:sz w:val="26"/>
          <w:szCs w:val="26"/>
          <w:lang w:val="sv-SE"/>
        </w:rPr>
      </w:pPr>
      <w:r>
        <w:rPr>
          <w:b/>
          <w:sz w:val="26"/>
          <w:szCs w:val="26"/>
          <w:lang w:val="sv-SE"/>
        </w:rPr>
        <w:t>Tình hình kinh tế thế giới</w:t>
      </w:r>
      <w:r w:rsidR="00D72129">
        <w:rPr>
          <w:b/>
          <w:sz w:val="26"/>
          <w:szCs w:val="26"/>
          <w:lang w:val="sv-SE"/>
        </w:rPr>
        <w:t xml:space="preserve"> </w:t>
      </w:r>
      <w:bookmarkStart w:id="0" w:name="_GoBack"/>
      <w:bookmarkEnd w:id="0"/>
    </w:p>
    <w:p w:rsidR="00EC5718" w:rsidRPr="00D82084" w:rsidRDefault="00EC5718" w:rsidP="00EC5718">
      <w:pPr>
        <w:rPr>
          <w:sz w:val="26"/>
          <w:szCs w:val="26"/>
          <w:lang w:val="sv-SE"/>
        </w:rPr>
      </w:pPr>
      <w:r w:rsidRPr="00D356F4">
        <w:rPr>
          <w:b/>
          <w:sz w:val="26"/>
          <w:szCs w:val="26"/>
          <w:lang w:val="sv-SE"/>
        </w:rPr>
        <w:t>Mỹ,</w:t>
      </w:r>
      <w:r w:rsidRPr="00D356F4">
        <w:rPr>
          <w:b/>
          <w:i/>
          <w:sz w:val="26"/>
          <w:szCs w:val="26"/>
          <w:lang w:val="sv-SE"/>
        </w:rPr>
        <w:t xml:space="preserve"> kinh tế được kỳ vọng tăng tích cực trong quý 3 khi các chỉ số kinh tế tăng trưởng tốt trong tháng 7.</w:t>
      </w:r>
      <w:r w:rsidRPr="00D356F4">
        <w:rPr>
          <w:b/>
          <w:sz w:val="26"/>
          <w:szCs w:val="26"/>
          <w:lang w:val="sv-SE"/>
        </w:rPr>
        <w:t xml:space="preserve"> </w:t>
      </w:r>
      <w:r w:rsidRPr="00797176">
        <w:rPr>
          <w:sz w:val="26"/>
          <w:szCs w:val="26"/>
          <w:lang w:val="sv-SE"/>
        </w:rPr>
        <w:t>Sản lượng công nghiệp tháng 7 tăng 0,7%, cao hơn dự báo. Số lượng nhà mới xây trong tháng 7 tăng 2,1%, tăng nhanh nhất trong gần một năm. Lạm phát tháng 7 chỉ tăng 0,2%, trong đó, lạm phát lõi tăng 0,1%, mức tăng thấp nhất kể từ tháng 3.</w:t>
      </w:r>
      <w:r w:rsidR="00D82084">
        <w:rPr>
          <w:b/>
          <w:sz w:val="26"/>
          <w:szCs w:val="26"/>
          <w:lang w:val="sv-SE"/>
        </w:rPr>
        <w:t xml:space="preserve"> </w:t>
      </w:r>
    </w:p>
    <w:p w:rsidR="00EC5718" w:rsidRPr="00797176" w:rsidRDefault="00EC5718" w:rsidP="00EC5718">
      <w:pPr>
        <w:rPr>
          <w:b/>
          <w:sz w:val="26"/>
          <w:szCs w:val="26"/>
          <w:lang w:val="sv-SE"/>
        </w:rPr>
      </w:pPr>
      <w:r w:rsidRPr="00797176">
        <w:rPr>
          <w:b/>
          <w:sz w:val="26"/>
          <w:szCs w:val="26"/>
          <w:lang w:val="sv-SE"/>
        </w:rPr>
        <w:t xml:space="preserve">Nhật Bản, </w:t>
      </w:r>
      <w:r w:rsidRPr="00797176">
        <w:rPr>
          <w:b/>
          <w:i/>
          <w:sz w:val="26"/>
          <w:szCs w:val="26"/>
          <w:lang w:val="sv-SE"/>
        </w:rPr>
        <w:t>nền kinh tế đang phải đối mặt với xuất khẩu giảm do nhu cầu toàn cầu yếu và đồng yên tăng giá</w:t>
      </w:r>
      <w:r w:rsidRPr="00797176">
        <w:rPr>
          <w:sz w:val="26"/>
          <w:szCs w:val="26"/>
          <w:lang w:val="sv-SE"/>
        </w:rPr>
        <w:t xml:space="preserve">. </w:t>
      </w:r>
      <w:r w:rsidR="007F0E78">
        <w:rPr>
          <w:sz w:val="26"/>
          <w:szCs w:val="26"/>
          <w:lang w:val="sv-SE"/>
        </w:rPr>
        <w:t>X</w:t>
      </w:r>
      <w:r w:rsidRPr="00797176">
        <w:rPr>
          <w:sz w:val="26"/>
          <w:szCs w:val="26"/>
          <w:lang w:val="sv-SE"/>
        </w:rPr>
        <w:t xml:space="preserve">uất khẩu Nhật bản giảm 14% trong tháng 7, và giảm tháng thứ 10 liên tiếp do đồng yên tăng giá. Tính đến thời điểm hiện tại, đồng yên đã tăng 20% so với đồng đô la Mỹ và nếu đồng Yên tiếp tục tăng sẽ làm giảm thu nhập của các nhà xuất khẩu và tăng áp lực giảm phát bằng cách giảm giá nhập khẩu. </w:t>
      </w:r>
    </w:p>
    <w:p w:rsidR="00EC5718" w:rsidRPr="00797176" w:rsidRDefault="00EC5718" w:rsidP="00EC5718">
      <w:pPr>
        <w:rPr>
          <w:sz w:val="26"/>
          <w:szCs w:val="26"/>
          <w:lang w:val="sv-SE"/>
        </w:rPr>
      </w:pPr>
      <w:r w:rsidRPr="00E25CDC">
        <w:rPr>
          <w:b/>
          <w:sz w:val="26"/>
          <w:szCs w:val="26"/>
          <w:lang w:val="sv-SE"/>
        </w:rPr>
        <w:t>Trung Quốc</w:t>
      </w:r>
      <w:r w:rsidR="00CC7B6C" w:rsidRPr="00E25CDC">
        <w:rPr>
          <w:b/>
          <w:i/>
          <w:sz w:val="26"/>
          <w:szCs w:val="26"/>
          <w:lang w:val="sv-SE"/>
        </w:rPr>
        <w:t>,</w:t>
      </w:r>
      <w:r w:rsidRPr="00E25CDC">
        <w:rPr>
          <w:b/>
          <w:sz w:val="26"/>
          <w:szCs w:val="26"/>
          <w:lang w:val="sv-SE"/>
        </w:rPr>
        <w:t xml:space="preserve"> </w:t>
      </w:r>
      <w:r w:rsidR="00CC7B6C" w:rsidRPr="00E25CDC">
        <w:rPr>
          <w:b/>
          <w:i/>
          <w:sz w:val="26"/>
          <w:szCs w:val="26"/>
          <w:lang w:val="sv-SE"/>
        </w:rPr>
        <w:t>t</w:t>
      </w:r>
      <w:r w:rsidRPr="00E25CDC">
        <w:rPr>
          <w:b/>
          <w:i/>
          <w:sz w:val="26"/>
          <w:szCs w:val="26"/>
          <w:lang w:val="sv-SE"/>
        </w:rPr>
        <w:t xml:space="preserve">hặng dư thương mại </w:t>
      </w:r>
      <w:r w:rsidR="00CC7B6C" w:rsidRPr="00E25CDC">
        <w:rPr>
          <w:b/>
          <w:i/>
          <w:sz w:val="26"/>
          <w:szCs w:val="26"/>
          <w:lang w:val="sv-SE"/>
        </w:rPr>
        <w:t xml:space="preserve">đạt mức cao nhất trong </w:t>
      </w:r>
      <w:r w:rsidR="003F44B6" w:rsidRPr="00E25CDC">
        <w:rPr>
          <w:b/>
          <w:i/>
          <w:sz w:val="26"/>
          <w:szCs w:val="26"/>
          <w:lang w:val="sv-SE"/>
        </w:rPr>
        <w:t>8</w:t>
      </w:r>
      <w:r w:rsidR="00CC7B6C" w:rsidRPr="00E25CDC">
        <w:rPr>
          <w:b/>
          <w:i/>
          <w:sz w:val="26"/>
          <w:szCs w:val="26"/>
          <w:lang w:val="sv-SE"/>
        </w:rPr>
        <w:t xml:space="preserve"> tháng qua song chủ yếu là do nhập khẩu giảm</w:t>
      </w:r>
      <w:r w:rsidR="00CC7B6C" w:rsidRPr="00797176">
        <w:rPr>
          <w:sz w:val="26"/>
          <w:szCs w:val="26"/>
          <w:lang w:val="sv-SE"/>
        </w:rPr>
        <w:t xml:space="preserve">. Cụ thể, thặng dư thương mại </w:t>
      </w:r>
      <w:r w:rsidRPr="00797176">
        <w:rPr>
          <w:sz w:val="26"/>
          <w:szCs w:val="26"/>
          <w:lang w:val="sv-SE"/>
        </w:rPr>
        <w:t>tháng 7 đạt 52,3 tỷ USD, m</w:t>
      </w:r>
      <w:r w:rsidR="00CC7B6C" w:rsidRPr="00797176">
        <w:rPr>
          <w:sz w:val="26"/>
          <w:szCs w:val="26"/>
          <w:lang w:val="sv-SE"/>
        </w:rPr>
        <w:t>ức cao nhất kể từ tháng 12/2016 do kim nghạch nhập khẩu giảm 12,5% so với cùng kỳ, xuống còn 132,4 tỷ USD, xuất khẩu giảm 4,4% xuống còn 184,7 tỷ USD. Nguyên nhân nhập khẩu giảm chủ yếu do nhu cầu nội địa yếu.</w:t>
      </w:r>
      <w:r w:rsidRPr="00797176">
        <w:rPr>
          <w:sz w:val="26"/>
          <w:szCs w:val="26"/>
          <w:lang w:val="sv-SE"/>
        </w:rPr>
        <w:t xml:space="preserve"> </w:t>
      </w:r>
    </w:p>
    <w:p w:rsidR="003F44B6" w:rsidRPr="00797176" w:rsidRDefault="007136AE" w:rsidP="00797176">
      <w:pPr>
        <w:pStyle w:val="ListParagraph"/>
        <w:numPr>
          <w:ilvl w:val="0"/>
          <w:numId w:val="13"/>
        </w:numPr>
        <w:tabs>
          <w:tab w:val="left" w:pos="284"/>
        </w:tabs>
        <w:spacing w:before="120" w:line="276" w:lineRule="auto"/>
        <w:ind w:hanging="720"/>
        <w:contextualSpacing w:val="0"/>
        <w:rPr>
          <w:b/>
          <w:sz w:val="26"/>
          <w:szCs w:val="26"/>
          <w:lang w:val="sv-SE"/>
        </w:rPr>
      </w:pPr>
      <w:r w:rsidRPr="00797176">
        <w:rPr>
          <w:b/>
          <w:sz w:val="26"/>
          <w:szCs w:val="26"/>
          <w:lang w:val="sv-SE"/>
        </w:rPr>
        <w:t>C</w:t>
      </w:r>
      <w:r w:rsidR="003F44B6" w:rsidRPr="00797176">
        <w:rPr>
          <w:b/>
          <w:sz w:val="26"/>
          <w:szCs w:val="26"/>
          <w:lang w:val="sv-SE"/>
        </w:rPr>
        <w:t xml:space="preserve">hính sách </w:t>
      </w:r>
      <w:r w:rsidRPr="00797176">
        <w:rPr>
          <w:b/>
          <w:sz w:val="26"/>
          <w:szCs w:val="26"/>
          <w:lang w:val="sv-SE"/>
        </w:rPr>
        <w:t>tiền tệ của một số NHTW</w:t>
      </w:r>
      <w:r w:rsidR="00D72129">
        <w:rPr>
          <w:b/>
          <w:sz w:val="26"/>
          <w:szCs w:val="26"/>
          <w:lang w:val="sv-SE"/>
        </w:rPr>
        <w:t xml:space="preserve"> </w:t>
      </w:r>
    </w:p>
    <w:p w:rsidR="0024684E" w:rsidRDefault="0024684E" w:rsidP="00BA08D3">
      <w:pPr>
        <w:rPr>
          <w:spacing w:val="-2"/>
          <w:sz w:val="26"/>
          <w:szCs w:val="26"/>
          <w:lang w:val="sv-SE"/>
        </w:rPr>
      </w:pPr>
      <w:r>
        <w:rPr>
          <w:b/>
          <w:i/>
          <w:spacing w:val="-2"/>
          <w:sz w:val="26"/>
          <w:szCs w:val="26"/>
          <w:lang w:val="sv-SE"/>
        </w:rPr>
        <w:t>Chủ tịch</w:t>
      </w:r>
      <w:r w:rsidR="00BA08D3" w:rsidRPr="006441E7">
        <w:rPr>
          <w:b/>
          <w:i/>
          <w:spacing w:val="-2"/>
          <w:sz w:val="26"/>
          <w:szCs w:val="26"/>
          <w:lang w:val="sv-SE"/>
        </w:rPr>
        <w:t xml:space="preserve"> Fed</w:t>
      </w:r>
      <w:r>
        <w:rPr>
          <w:b/>
          <w:i/>
          <w:spacing w:val="-2"/>
          <w:sz w:val="26"/>
          <w:szCs w:val="26"/>
          <w:lang w:val="sv-SE"/>
        </w:rPr>
        <w:t xml:space="preserve"> (</w:t>
      </w:r>
      <w:r w:rsidRPr="006441E7">
        <w:rPr>
          <w:spacing w:val="-2"/>
          <w:sz w:val="26"/>
          <w:szCs w:val="26"/>
          <w:lang w:val="sv-SE"/>
        </w:rPr>
        <w:t>Janet Yellen</w:t>
      </w:r>
      <w:r>
        <w:rPr>
          <w:spacing w:val="-2"/>
          <w:sz w:val="26"/>
          <w:szCs w:val="26"/>
          <w:lang w:val="sv-SE"/>
        </w:rPr>
        <w:t>) cho rằng Mỹ có thể tăng lãi suất trong vài tháng tới do kinh tế Mỹ đang tiến gần đến các mục tiêu đề ra.</w:t>
      </w:r>
    </w:p>
    <w:p w:rsidR="003F44B6" w:rsidRPr="00797176" w:rsidRDefault="007F0E78" w:rsidP="003F44B6">
      <w:pPr>
        <w:rPr>
          <w:spacing w:val="-2"/>
          <w:sz w:val="26"/>
          <w:szCs w:val="26"/>
          <w:lang w:val="sv-SE"/>
        </w:rPr>
      </w:pPr>
      <w:r w:rsidRPr="00E25CDC">
        <w:rPr>
          <w:b/>
          <w:i/>
          <w:spacing w:val="-2"/>
          <w:sz w:val="26"/>
          <w:szCs w:val="26"/>
          <w:lang w:val="sv-SE"/>
        </w:rPr>
        <w:t>NHTW Anh (Bo</w:t>
      </w:r>
      <w:r w:rsidR="003F44B6" w:rsidRPr="00E25CDC">
        <w:rPr>
          <w:b/>
          <w:i/>
          <w:spacing w:val="-2"/>
          <w:sz w:val="26"/>
          <w:szCs w:val="26"/>
          <w:lang w:val="sv-SE"/>
        </w:rPr>
        <w:t>E) đã quyết định giảm lãi suất cơ bản 25 điểm cơ b</w:t>
      </w:r>
      <w:r w:rsidR="00F92525" w:rsidRPr="00E25CDC">
        <w:rPr>
          <w:b/>
          <w:i/>
          <w:spacing w:val="-2"/>
          <w:sz w:val="26"/>
          <w:szCs w:val="26"/>
          <w:lang w:val="sv-SE"/>
        </w:rPr>
        <w:t>ản, xuống mức thấp kỷ lục</w:t>
      </w:r>
      <w:r w:rsidR="00F92525" w:rsidRPr="00797176">
        <w:rPr>
          <w:spacing w:val="-2"/>
          <w:sz w:val="26"/>
          <w:szCs w:val="26"/>
          <w:lang w:val="sv-SE"/>
        </w:rPr>
        <w:t xml:space="preserve"> 0,25% </w:t>
      </w:r>
      <w:r w:rsidR="003F44B6" w:rsidRPr="00797176">
        <w:rPr>
          <w:spacing w:val="-2"/>
          <w:sz w:val="26"/>
          <w:szCs w:val="26"/>
          <w:lang w:val="sv-SE"/>
        </w:rPr>
        <w:t>nhằm hỗ trợ thị trường trước những tác động tiêu cực có thể xảy ra hậu Brexit.</w:t>
      </w:r>
      <w:r w:rsidR="00F92525" w:rsidRPr="00797176">
        <w:rPr>
          <w:spacing w:val="-2"/>
          <w:sz w:val="26"/>
          <w:szCs w:val="26"/>
          <w:lang w:val="sv-SE"/>
        </w:rPr>
        <w:t xml:space="preserve"> </w:t>
      </w:r>
      <w:r w:rsidR="003F44B6" w:rsidRPr="00797176">
        <w:rPr>
          <w:spacing w:val="-2"/>
          <w:sz w:val="26"/>
          <w:szCs w:val="26"/>
          <w:lang w:val="sv-SE"/>
        </w:rPr>
        <w:t>Ngoài ra, BoE còn triển khai thêm một số biện pháp trong khuôn khổ gói kích thích kinh tế như tăng quy mô chương trình mua tài sản thêm 170 tỷ bảng.</w:t>
      </w:r>
    </w:p>
    <w:p w:rsidR="007136AE" w:rsidRPr="00797176" w:rsidRDefault="007136AE" w:rsidP="003F44B6">
      <w:pPr>
        <w:rPr>
          <w:sz w:val="26"/>
          <w:szCs w:val="26"/>
          <w:lang w:val="sv-SE"/>
        </w:rPr>
      </w:pPr>
      <w:r w:rsidRPr="00580579">
        <w:rPr>
          <w:b/>
          <w:i/>
          <w:sz w:val="26"/>
          <w:szCs w:val="26"/>
          <w:lang w:val="sv-SE"/>
        </w:rPr>
        <w:t>NHTW</w:t>
      </w:r>
      <w:r w:rsidRPr="00797176">
        <w:rPr>
          <w:sz w:val="26"/>
          <w:szCs w:val="26"/>
          <w:lang w:val="sv-SE"/>
        </w:rPr>
        <w:t xml:space="preserve"> </w:t>
      </w:r>
      <w:r w:rsidR="003F44B6" w:rsidRPr="00E25CDC">
        <w:rPr>
          <w:b/>
          <w:i/>
          <w:sz w:val="26"/>
          <w:szCs w:val="26"/>
          <w:lang w:val="sv-SE"/>
        </w:rPr>
        <w:t>Nhật</w:t>
      </w:r>
      <w:r w:rsidRPr="00E25CDC">
        <w:rPr>
          <w:b/>
          <w:i/>
          <w:sz w:val="26"/>
          <w:szCs w:val="26"/>
          <w:lang w:val="sv-SE"/>
        </w:rPr>
        <w:t xml:space="preserve"> Bản (BOJ) công bố </w:t>
      </w:r>
      <w:r w:rsidR="00D356F4" w:rsidRPr="00E25CDC">
        <w:rPr>
          <w:b/>
          <w:i/>
          <w:sz w:val="26"/>
          <w:szCs w:val="26"/>
          <w:lang w:val="sv-SE"/>
        </w:rPr>
        <w:t>gói kích thích tài khóa trị giá 28.000 tỷ JPY (265 tỷ USD) nhằm kích thích tăng trưởng</w:t>
      </w:r>
      <w:r w:rsidR="00D356F4" w:rsidRPr="00797176">
        <w:rPr>
          <w:sz w:val="26"/>
          <w:szCs w:val="26"/>
          <w:lang w:val="sv-SE"/>
        </w:rPr>
        <w:t xml:space="preserve"> </w:t>
      </w:r>
      <w:r w:rsidR="00D356F4" w:rsidRPr="00B64F7A">
        <w:rPr>
          <w:b/>
          <w:i/>
          <w:sz w:val="26"/>
          <w:szCs w:val="26"/>
          <w:lang w:val="sv-SE"/>
        </w:rPr>
        <w:t>và lạm phát</w:t>
      </w:r>
      <w:r w:rsidR="00D356F4" w:rsidRPr="00797176">
        <w:rPr>
          <w:sz w:val="26"/>
          <w:szCs w:val="26"/>
          <w:lang w:val="sv-SE"/>
        </w:rPr>
        <w:t xml:space="preserve"> sau khi GDP của Nhật Bản trong quý II 2016 chỉ tăng 0,2 % so với cùng kỳ năm ngoái, thấp hơn mức 0,4-0,7% được các chuyên gia đưa ra trước đó. Bên cạnh đó, BOJ thông báo sẽ tăng gần gấp đôi mức độ mua hàng năm của quỹ hoán đổi (ETF) lên khoảng 6000 tỷ JPY, tương đương khoảng 58 tỷ USD từ mức 3,3 nghìn tỷ JPY. BOJ cũng sẽ duy trì mức tăng cơ sở tiền tệ hàng năm ở mức 80 nghìn tỷ JPY và tiếp tục áp dụng mức lãi suất âm 0,1% đối với việc tiền gửi các ngân hàng tại BOJ</w:t>
      </w:r>
      <w:r w:rsidR="007F0E78">
        <w:rPr>
          <w:sz w:val="26"/>
          <w:szCs w:val="26"/>
          <w:lang w:val="sv-SE"/>
        </w:rPr>
        <w:t xml:space="preserve">. </w:t>
      </w:r>
    </w:p>
    <w:p w:rsidR="007136AE" w:rsidRPr="00797176" w:rsidRDefault="007136AE" w:rsidP="00797176">
      <w:pPr>
        <w:pStyle w:val="ListParagraph"/>
        <w:numPr>
          <w:ilvl w:val="0"/>
          <w:numId w:val="13"/>
        </w:numPr>
        <w:tabs>
          <w:tab w:val="left" w:pos="284"/>
        </w:tabs>
        <w:spacing w:before="120" w:line="276" w:lineRule="auto"/>
        <w:ind w:hanging="720"/>
        <w:contextualSpacing w:val="0"/>
        <w:rPr>
          <w:b/>
          <w:sz w:val="26"/>
          <w:szCs w:val="26"/>
          <w:lang w:val="sv-SE"/>
        </w:rPr>
      </w:pPr>
      <w:r w:rsidRPr="00797176">
        <w:rPr>
          <w:b/>
          <w:sz w:val="26"/>
          <w:szCs w:val="26"/>
          <w:lang w:val="sv-SE"/>
        </w:rPr>
        <w:t>Thị trường tài chính thế giới</w:t>
      </w:r>
    </w:p>
    <w:p w:rsidR="007136AE" w:rsidRPr="00797176" w:rsidRDefault="007136AE" w:rsidP="007136AE">
      <w:pPr>
        <w:rPr>
          <w:sz w:val="26"/>
          <w:szCs w:val="26"/>
          <w:lang w:val="sv-SE"/>
        </w:rPr>
      </w:pPr>
      <w:r w:rsidRPr="00E25CDC">
        <w:rPr>
          <w:b/>
          <w:i/>
          <w:sz w:val="26"/>
          <w:szCs w:val="26"/>
          <w:lang w:val="sv-SE"/>
        </w:rPr>
        <w:t xml:space="preserve">Thị trường chứng khoán toàn cầu </w:t>
      </w:r>
      <w:r w:rsidR="00E25CDC" w:rsidRPr="00E25CDC">
        <w:rPr>
          <w:b/>
          <w:i/>
          <w:sz w:val="26"/>
          <w:szCs w:val="26"/>
          <w:lang w:val="sv-SE"/>
        </w:rPr>
        <w:t xml:space="preserve">tháng 8 </w:t>
      </w:r>
      <w:r w:rsidRPr="00E25CDC">
        <w:rPr>
          <w:b/>
          <w:i/>
          <w:sz w:val="26"/>
          <w:szCs w:val="26"/>
          <w:lang w:val="sv-SE"/>
        </w:rPr>
        <w:t>có những diễn biến tích cực so với tháng 7</w:t>
      </w:r>
      <w:r w:rsidRPr="00797176">
        <w:rPr>
          <w:sz w:val="26"/>
          <w:szCs w:val="26"/>
          <w:lang w:val="sv-SE"/>
        </w:rPr>
        <w:t xml:space="preserve">. Việc FED tiếp tục trì hoãn tăng lãi suất và khả năng các gói kích thích kinh tế và nới lỏng định lượng được thi hành tạo động lực giúp </w:t>
      </w:r>
      <w:r w:rsidR="003856CF">
        <w:rPr>
          <w:sz w:val="26"/>
          <w:szCs w:val="26"/>
          <w:lang w:val="sv-SE"/>
        </w:rPr>
        <w:t xml:space="preserve">các </w:t>
      </w:r>
      <w:r w:rsidRPr="00797176">
        <w:rPr>
          <w:sz w:val="26"/>
          <w:szCs w:val="26"/>
          <w:lang w:val="sv-SE"/>
        </w:rPr>
        <w:t>thị trường tăng điểm. Chứng khoán Mỹ tiếp tục tăng điểm khá so với đầu năm. Tính đến ngày 22/08/2016, hầu như tất cả các chỉ số chứng khoán lớn như đều tăng điểm so với đầu tháng trước.</w:t>
      </w:r>
    </w:p>
    <w:p w:rsidR="00797176" w:rsidRDefault="00797176" w:rsidP="00797176">
      <w:pPr>
        <w:pStyle w:val="ListParagraph"/>
        <w:spacing w:line="340" w:lineRule="atLeast"/>
        <w:ind w:left="0" w:firstLine="0"/>
        <w:contextualSpacing w:val="0"/>
        <w:jc w:val="center"/>
        <w:rPr>
          <w:rStyle w:val="apple-converted-space"/>
          <w:b/>
          <w:sz w:val="26"/>
          <w:szCs w:val="26"/>
          <w:lang w:val="pt-BR"/>
        </w:rPr>
      </w:pPr>
    </w:p>
    <w:p w:rsidR="00797176" w:rsidRDefault="00797176" w:rsidP="00797176">
      <w:pPr>
        <w:pStyle w:val="ListParagraph"/>
        <w:spacing w:line="340" w:lineRule="atLeast"/>
        <w:ind w:left="0" w:firstLine="0"/>
        <w:contextualSpacing w:val="0"/>
        <w:jc w:val="center"/>
        <w:rPr>
          <w:rStyle w:val="apple-converted-space"/>
          <w:b/>
          <w:sz w:val="26"/>
          <w:szCs w:val="26"/>
          <w:lang w:val="pt-BR"/>
        </w:rPr>
      </w:pPr>
    </w:p>
    <w:p w:rsidR="00B9079D" w:rsidRDefault="00B9079D" w:rsidP="00797176">
      <w:pPr>
        <w:pStyle w:val="ListParagraph"/>
        <w:spacing w:line="340" w:lineRule="atLeast"/>
        <w:ind w:left="0" w:firstLine="0"/>
        <w:contextualSpacing w:val="0"/>
        <w:jc w:val="center"/>
        <w:rPr>
          <w:rStyle w:val="apple-converted-space"/>
          <w:b/>
          <w:sz w:val="26"/>
          <w:szCs w:val="26"/>
          <w:lang w:val="pt-BR"/>
        </w:rPr>
      </w:pPr>
    </w:p>
    <w:p w:rsidR="00B9079D" w:rsidRDefault="00B9079D" w:rsidP="00797176">
      <w:pPr>
        <w:pStyle w:val="ListParagraph"/>
        <w:spacing w:line="340" w:lineRule="atLeast"/>
        <w:ind w:left="0" w:firstLine="0"/>
        <w:contextualSpacing w:val="0"/>
        <w:jc w:val="center"/>
        <w:rPr>
          <w:rStyle w:val="apple-converted-space"/>
          <w:b/>
          <w:sz w:val="26"/>
          <w:szCs w:val="26"/>
          <w:lang w:val="pt-BR"/>
        </w:rPr>
      </w:pPr>
    </w:p>
    <w:p w:rsidR="007136AE" w:rsidRPr="00797176" w:rsidRDefault="007136AE" w:rsidP="00797176">
      <w:pPr>
        <w:pStyle w:val="ListParagraph"/>
        <w:spacing w:line="340" w:lineRule="atLeast"/>
        <w:ind w:left="0" w:firstLine="0"/>
        <w:contextualSpacing w:val="0"/>
        <w:jc w:val="center"/>
        <w:rPr>
          <w:rStyle w:val="apple-converted-space"/>
          <w:b/>
          <w:sz w:val="24"/>
          <w:szCs w:val="26"/>
          <w:lang w:val="pt-BR"/>
        </w:rPr>
      </w:pPr>
      <w:r w:rsidRPr="00797176">
        <w:rPr>
          <w:rStyle w:val="apple-converted-space"/>
          <w:b/>
          <w:sz w:val="24"/>
          <w:szCs w:val="26"/>
          <w:lang w:val="pt-BR"/>
        </w:rPr>
        <w:lastRenderedPageBreak/>
        <w:t xml:space="preserve">Chỉ số chứng khoán thế giới </w:t>
      </w:r>
    </w:p>
    <w:p w:rsidR="007136AE" w:rsidRPr="007136AE" w:rsidRDefault="007136AE" w:rsidP="007136AE">
      <w:pPr>
        <w:rPr>
          <w:sz w:val="26"/>
          <w:szCs w:val="26"/>
          <w:lang w:val="pt-BR"/>
        </w:rPr>
      </w:pPr>
      <w:r w:rsidRPr="007136AE">
        <w:rPr>
          <w:noProof/>
          <w:sz w:val="26"/>
          <w:szCs w:val="26"/>
          <w:highlight w:val="yellow"/>
        </w:rPr>
        <w:drawing>
          <wp:inline distT="0" distB="0" distL="0" distR="0">
            <wp:extent cx="5200650" cy="14382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176" w:rsidRPr="00F8262D" w:rsidRDefault="00797176" w:rsidP="00E25CDC">
      <w:pPr>
        <w:spacing w:after="0" w:line="400" w:lineRule="exact"/>
        <w:ind w:left="1987" w:firstLine="706"/>
        <w:jc w:val="right"/>
        <w:rPr>
          <w:spacing w:val="-2"/>
          <w:sz w:val="24"/>
          <w:szCs w:val="26"/>
        </w:rPr>
      </w:pPr>
      <w:r w:rsidRPr="00F8262D">
        <w:rPr>
          <w:i/>
          <w:sz w:val="22"/>
          <w:szCs w:val="26"/>
          <w:lang w:val="pt-BR"/>
        </w:rPr>
        <w:t xml:space="preserve">Nguồn: </w:t>
      </w:r>
      <w:r w:rsidR="00F8262D" w:rsidRPr="00F8262D">
        <w:rPr>
          <w:rStyle w:val="apple-converted-space"/>
          <w:i/>
          <w:sz w:val="24"/>
          <w:szCs w:val="26"/>
          <w:lang w:val="pt-BR"/>
        </w:rPr>
        <w:t>Bloomberg</w:t>
      </w:r>
    </w:p>
    <w:p w:rsidR="00EC5718" w:rsidRPr="007136AE" w:rsidRDefault="00EC5718" w:rsidP="00797176">
      <w:pPr>
        <w:pStyle w:val="ListParagraph"/>
        <w:numPr>
          <w:ilvl w:val="0"/>
          <w:numId w:val="13"/>
        </w:numPr>
        <w:tabs>
          <w:tab w:val="left" w:pos="284"/>
        </w:tabs>
        <w:spacing w:before="120" w:line="276" w:lineRule="auto"/>
        <w:ind w:hanging="720"/>
        <w:rPr>
          <w:b/>
          <w:sz w:val="26"/>
          <w:szCs w:val="26"/>
          <w:lang w:val="pt-BR"/>
        </w:rPr>
      </w:pPr>
      <w:r w:rsidRPr="007136AE">
        <w:rPr>
          <w:b/>
          <w:sz w:val="26"/>
          <w:szCs w:val="26"/>
          <w:lang w:val="pt-BR"/>
        </w:rPr>
        <w:t>Giá hàng hóa</w:t>
      </w:r>
      <w:r w:rsidR="003F44B6" w:rsidRPr="007136AE">
        <w:rPr>
          <w:b/>
          <w:sz w:val="26"/>
          <w:szCs w:val="26"/>
          <w:lang w:val="pt-BR"/>
        </w:rPr>
        <w:t xml:space="preserve"> thế giới</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8"/>
      </w:tblGrid>
      <w:tr w:rsidR="00797176" w:rsidTr="00797176">
        <w:tc>
          <w:tcPr>
            <w:tcW w:w="5495" w:type="dxa"/>
          </w:tcPr>
          <w:p w:rsidR="00797176" w:rsidRPr="00797176" w:rsidRDefault="00797176" w:rsidP="003856CF">
            <w:pPr>
              <w:rPr>
                <w:rFonts w:eastAsiaTheme="minorHAnsi"/>
                <w:sz w:val="26"/>
                <w:szCs w:val="26"/>
                <w:lang w:val="pt-BR"/>
              </w:rPr>
            </w:pPr>
            <w:r w:rsidRPr="00797176">
              <w:rPr>
                <w:rFonts w:eastAsiaTheme="minorHAnsi"/>
                <w:b/>
                <w:sz w:val="26"/>
                <w:szCs w:val="26"/>
                <w:lang w:val="pt-BR"/>
              </w:rPr>
              <w:t>Giá dầu</w:t>
            </w:r>
            <w:r w:rsidRPr="00797176">
              <w:rPr>
                <w:rFonts w:eastAsiaTheme="minorHAnsi"/>
                <w:sz w:val="26"/>
                <w:szCs w:val="26"/>
                <w:lang w:val="pt-BR"/>
              </w:rPr>
              <w:t xml:space="preserve"> </w:t>
            </w:r>
            <w:r w:rsidR="005A191E" w:rsidRPr="005A191E">
              <w:rPr>
                <w:color w:val="000000" w:themeColor="text1"/>
                <w:sz w:val="26"/>
                <w:szCs w:val="26"/>
                <w:lang w:val="pt-BR"/>
              </w:rPr>
              <w:t xml:space="preserve">biến động mạnh trong tháng 8 do những lo ngại về tình trạng dư cung. </w:t>
            </w:r>
            <w:r w:rsidR="005A191E">
              <w:rPr>
                <w:color w:val="000000" w:themeColor="text1"/>
                <w:sz w:val="26"/>
                <w:szCs w:val="26"/>
                <w:lang w:val="pt-BR"/>
              </w:rPr>
              <w:t>Theo đó, g</w:t>
            </w:r>
            <w:r w:rsidR="005A191E" w:rsidRPr="005A191E">
              <w:rPr>
                <w:color w:val="000000" w:themeColor="text1"/>
                <w:sz w:val="26"/>
                <w:szCs w:val="26"/>
                <w:lang w:val="pt-BR"/>
              </w:rPr>
              <w:t xml:space="preserve">iá dầu thế giới những ngày đầu tháng 8 đã rơi xuống mức 40,7USD/thùng (giảm 20% so với tháng 6) do các nước xuất khẩu dầu lửa OPEC tiếp tục chạy đua sản lượng. Tuy nhiên, giá dầu sau đó đã tăng trở lại trong 3 tuần liên tiếp </w:t>
            </w:r>
            <w:r w:rsidR="005A191E">
              <w:rPr>
                <w:color w:val="000000" w:themeColor="text1"/>
                <w:sz w:val="26"/>
                <w:szCs w:val="26"/>
                <w:lang w:val="pt-BR"/>
              </w:rPr>
              <w:t>để</w:t>
            </w:r>
            <w:r w:rsidR="005A191E" w:rsidRPr="005A191E">
              <w:rPr>
                <w:color w:val="000000" w:themeColor="text1"/>
                <w:sz w:val="26"/>
                <w:szCs w:val="26"/>
                <w:lang w:val="pt-BR"/>
              </w:rPr>
              <w:t xml:space="preserve"> đạt mức 49,16 USD/thùng khi thông tin lượng dầu lưu kho của Mỹ giảm và kỳ vọng OPEC đóng băng sản lượng (tăng 21% so với 2/8 và tăng hơn 80% so với 6 tháng trước). Song, trước khả năng Iraq và Nigeria tăng nguồn cung và lo ngại Trung Quốc giảm nhu cầu dầu thô, giá dầu đã giảm nhẹ trong tuần cuối tháng 8. Cụ thể, chốt phiên 25/8, giá dầu WTI </w:t>
            </w:r>
            <w:r w:rsidR="003856CF">
              <w:rPr>
                <w:color w:val="000000" w:themeColor="text1"/>
                <w:sz w:val="26"/>
                <w:szCs w:val="26"/>
                <w:lang w:val="pt-BR"/>
              </w:rPr>
              <w:t>đạt mức 46,77</w:t>
            </w:r>
            <w:r w:rsidR="005A191E" w:rsidRPr="005A191E">
              <w:rPr>
                <w:color w:val="000000" w:themeColor="text1"/>
                <w:sz w:val="26"/>
                <w:szCs w:val="26"/>
                <w:lang w:val="pt-BR"/>
              </w:rPr>
              <w:t xml:space="preserve">USD/thùng, giá dầu Brent </w:t>
            </w:r>
            <w:r w:rsidR="003856CF">
              <w:rPr>
                <w:color w:val="000000" w:themeColor="text1"/>
                <w:sz w:val="26"/>
                <w:szCs w:val="26"/>
                <w:lang w:val="pt-BR"/>
              </w:rPr>
              <w:t xml:space="preserve">đạt mức </w:t>
            </w:r>
            <w:r w:rsidR="005A191E" w:rsidRPr="005A191E">
              <w:rPr>
                <w:color w:val="000000" w:themeColor="text1"/>
                <w:sz w:val="26"/>
                <w:szCs w:val="26"/>
                <w:lang w:val="pt-BR"/>
              </w:rPr>
              <w:t>49,05 USD/thùng.</w:t>
            </w:r>
          </w:p>
        </w:tc>
        <w:tc>
          <w:tcPr>
            <w:tcW w:w="3828" w:type="dxa"/>
          </w:tcPr>
          <w:p w:rsidR="00797176" w:rsidRPr="00797176" w:rsidRDefault="00797176" w:rsidP="00797176">
            <w:pPr>
              <w:pStyle w:val="HTMLPreformatted"/>
              <w:shd w:val="clear" w:color="auto" w:fill="FFFFFF"/>
              <w:spacing w:before="120"/>
              <w:jc w:val="center"/>
              <w:rPr>
                <w:rFonts w:ascii="Times New Roman" w:eastAsiaTheme="minorHAnsi" w:hAnsi="Times New Roman" w:cs="Times New Roman"/>
                <w:sz w:val="24"/>
                <w:szCs w:val="26"/>
                <w:lang w:val="pt-BR"/>
              </w:rPr>
            </w:pPr>
            <w:r w:rsidRPr="00797176">
              <w:rPr>
                <w:rFonts w:ascii="Times New Roman" w:eastAsiaTheme="minorHAnsi" w:hAnsi="Times New Roman" w:cs="Times New Roman"/>
                <w:b/>
                <w:sz w:val="24"/>
                <w:szCs w:val="26"/>
                <w:lang w:val="pt-BR"/>
              </w:rPr>
              <w:t>Giá dầu thô tháng 8</w:t>
            </w:r>
          </w:p>
          <w:p w:rsidR="00797176" w:rsidRDefault="00B305AA" w:rsidP="00EC5718">
            <w:pPr>
              <w:pStyle w:val="HTMLPreformatted"/>
              <w:spacing w:before="120"/>
              <w:jc w:val="both"/>
              <w:rPr>
                <w:rFonts w:ascii="Times New Roman" w:eastAsiaTheme="minorHAnsi" w:hAnsi="Times New Roman" w:cs="Times New Roman"/>
                <w:b/>
                <w:sz w:val="24"/>
                <w:szCs w:val="26"/>
                <w:lang w:val="pt-BR"/>
              </w:rPr>
            </w:pPr>
            <w:r w:rsidRPr="00815925">
              <w:rPr>
                <w:rFonts w:ascii="Times New Roman" w:eastAsiaTheme="minorHAnsi" w:hAnsi="Times New Roman" w:cs="Times New Roman"/>
                <w:noProof/>
                <w:sz w:val="26"/>
                <w:szCs w:val="26"/>
              </w:rPr>
              <w:drawing>
                <wp:inline distT="0" distB="0" distL="0" distR="0" wp14:anchorId="0EEF8937" wp14:editId="166FBCAE">
                  <wp:extent cx="2228850" cy="2324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176" w:rsidRPr="00797176" w:rsidRDefault="00797176" w:rsidP="00797176">
            <w:pPr>
              <w:pStyle w:val="HTMLPreformatted"/>
              <w:spacing w:before="120"/>
              <w:jc w:val="right"/>
              <w:rPr>
                <w:rFonts w:ascii="Times New Roman" w:eastAsiaTheme="minorHAnsi" w:hAnsi="Times New Roman" w:cs="Times New Roman"/>
                <w:i/>
                <w:sz w:val="24"/>
                <w:szCs w:val="26"/>
                <w:lang w:val="pt-BR"/>
              </w:rPr>
            </w:pPr>
            <w:r w:rsidRPr="00797176">
              <w:rPr>
                <w:rFonts w:ascii="Times New Roman" w:eastAsiaTheme="minorHAnsi" w:hAnsi="Times New Roman" w:cs="Times New Roman"/>
                <w:i/>
                <w:sz w:val="24"/>
                <w:szCs w:val="26"/>
                <w:lang w:val="pt-BR"/>
              </w:rPr>
              <w:t>Nguồn:</w:t>
            </w:r>
            <w:r w:rsidR="00F8262D">
              <w:rPr>
                <w:rFonts w:ascii="Times New Roman" w:eastAsiaTheme="minorHAnsi" w:hAnsi="Times New Roman" w:cs="Times New Roman"/>
                <w:i/>
                <w:sz w:val="24"/>
                <w:szCs w:val="26"/>
                <w:lang w:val="pt-BR"/>
              </w:rPr>
              <w:t>Tradingeconomic</w:t>
            </w:r>
            <w:r w:rsidRPr="00797176">
              <w:rPr>
                <w:rFonts w:ascii="Times New Roman" w:eastAsiaTheme="minorHAnsi" w:hAnsi="Times New Roman" w:cs="Times New Roman"/>
                <w:i/>
                <w:sz w:val="24"/>
                <w:szCs w:val="26"/>
                <w:lang w:val="pt-BR"/>
              </w:rPr>
              <w:t xml:space="preserve"> </w:t>
            </w:r>
          </w:p>
        </w:tc>
      </w:tr>
    </w:tbl>
    <w:p w:rsidR="00EC5718" w:rsidRPr="007F0E78" w:rsidRDefault="00EC5718" w:rsidP="00EC5718">
      <w:pPr>
        <w:spacing w:before="120" w:after="0"/>
        <w:rPr>
          <w:color w:val="000000" w:themeColor="text1"/>
          <w:sz w:val="26"/>
          <w:szCs w:val="26"/>
          <w:lang w:val="pt-BR"/>
        </w:rPr>
      </w:pPr>
      <w:r w:rsidRPr="00797176">
        <w:rPr>
          <w:b/>
          <w:i/>
          <w:color w:val="000000" w:themeColor="text1"/>
          <w:sz w:val="26"/>
          <w:szCs w:val="26"/>
          <w:lang w:val="pt-BR"/>
        </w:rPr>
        <w:t xml:space="preserve">Giá hàng hóa, </w:t>
      </w:r>
      <w:r w:rsidRPr="00797176">
        <w:rPr>
          <w:color w:val="000000" w:themeColor="text1"/>
          <w:sz w:val="26"/>
          <w:szCs w:val="26"/>
          <w:lang w:val="pt-BR"/>
        </w:rPr>
        <w:t xml:space="preserve">giá lương thực vẫn duy trì đà tăng ổn định </w:t>
      </w:r>
      <w:r w:rsidR="0082604E">
        <w:rPr>
          <w:color w:val="000000" w:themeColor="text1"/>
          <w:sz w:val="26"/>
          <w:szCs w:val="26"/>
          <w:lang w:val="pt-BR"/>
        </w:rPr>
        <w:t xml:space="preserve">như </w:t>
      </w:r>
      <w:r w:rsidRPr="00797176">
        <w:rPr>
          <w:color w:val="000000" w:themeColor="text1"/>
          <w:sz w:val="26"/>
          <w:szCs w:val="26"/>
          <w:lang w:val="pt-BR"/>
        </w:rPr>
        <w:t xml:space="preserve">trong </w:t>
      </w:r>
      <w:r w:rsidR="0082604E">
        <w:rPr>
          <w:color w:val="000000" w:themeColor="text1"/>
          <w:sz w:val="26"/>
          <w:szCs w:val="26"/>
          <w:lang w:val="pt-BR"/>
        </w:rPr>
        <w:t xml:space="preserve">6 tháng qua và </w:t>
      </w:r>
      <w:r w:rsidRPr="00797176">
        <w:rPr>
          <w:color w:val="000000" w:themeColor="text1"/>
          <w:sz w:val="26"/>
          <w:szCs w:val="26"/>
          <w:lang w:val="pt-BR"/>
        </w:rPr>
        <w:t xml:space="preserve">tăng 2,02% so với tháng trước. </w:t>
      </w:r>
      <w:r w:rsidR="0082604E">
        <w:rPr>
          <w:color w:val="000000" w:themeColor="text1"/>
          <w:sz w:val="26"/>
          <w:szCs w:val="26"/>
          <w:lang w:val="pt-BR"/>
        </w:rPr>
        <w:t>T</w:t>
      </w:r>
      <w:r w:rsidRPr="007F0E78">
        <w:rPr>
          <w:color w:val="000000" w:themeColor="text1"/>
          <w:sz w:val="26"/>
          <w:szCs w:val="26"/>
          <w:lang w:val="pt-BR"/>
        </w:rPr>
        <w:t>ăng mạnh nhất là giá kim loại với mức tăng 5,48% so với tháng trước. Các mặt hàng còn lại đồng loạt giảm giá so với tháng trước như: năng lượng (-4.87%); nông sản (-2.13%) và nguyên liệu thô (-2,06%).</w:t>
      </w:r>
    </w:p>
    <w:p w:rsidR="00EC5718" w:rsidRPr="00797176" w:rsidRDefault="00EC5718" w:rsidP="00EC5718">
      <w:pPr>
        <w:jc w:val="center"/>
        <w:rPr>
          <w:b/>
          <w:sz w:val="24"/>
          <w:szCs w:val="26"/>
        </w:rPr>
      </w:pPr>
      <w:r w:rsidRPr="00797176">
        <w:rPr>
          <w:b/>
          <w:sz w:val="24"/>
          <w:szCs w:val="26"/>
        </w:rPr>
        <w:t>Bảng giá hàng hóa</w:t>
      </w:r>
    </w:p>
    <w:p w:rsidR="00EC5718" w:rsidRDefault="00EC5718" w:rsidP="008F217E">
      <w:pPr>
        <w:ind w:firstLine="0"/>
        <w:jc w:val="center"/>
        <w:rPr>
          <w:b/>
          <w:sz w:val="26"/>
          <w:szCs w:val="26"/>
        </w:rPr>
      </w:pPr>
      <w:r>
        <w:rPr>
          <w:b/>
          <w:noProof/>
          <w:sz w:val="26"/>
          <w:szCs w:val="26"/>
        </w:rPr>
        <w:drawing>
          <wp:inline distT="0" distB="0" distL="0" distR="0">
            <wp:extent cx="5943600" cy="2352675"/>
            <wp:effectExtent l="19050" t="0" r="0" b="0"/>
            <wp:docPr id="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5943600" cy="2352675"/>
                    </a:xfrm>
                    <a:prstGeom prst="rect">
                      <a:avLst/>
                    </a:prstGeom>
                    <a:noFill/>
                    <a:ln w="9525">
                      <a:noFill/>
                      <a:miter lim="800000"/>
                      <a:headEnd/>
                      <a:tailEnd/>
                    </a:ln>
                  </pic:spPr>
                </pic:pic>
              </a:graphicData>
            </a:graphic>
          </wp:inline>
        </w:drawing>
      </w:r>
    </w:p>
    <w:p w:rsidR="00EC5718" w:rsidRDefault="00797176" w:rsidP="00797176">
      <w:pPr>
        <w:jc w:val="right"/>
        <w:rPr>
          <w:i/>
          <w:sz w:val="24"/>
          <w:szCs w:val="26"/>
        </w:rPr>
      </w:pPr>
      <w:r w:rsidRPr="00797176">
        <w:rPr>
          <w:i/>
          <w:sz w:val="24"/>
          <w:szCs w:val="26"/>
        </w:rPr>
        <w:t>Nguồn: WB</w:t>
      </w:r>
    </w:p>
    <w:p w:rsidR="0082604E" w:rsidRDefault="0082604E" w:rsidP="00797176">
      <w:pPr>
        <w:jc w:val="right"/>
        <w:rPr>
          <w:i/>
          <w:sz w:val="24"/>
          <w:szCs w:val="26"/>
        </w:rPr>
      </w:pPr>
    </w:p>
    <w:p w:rsidR="005F38CE" w:rsidRDefault="005F38CE" w:rsidP="00E51184">
      <w:pPr>
        <w:numPr>
          <w:ilvl w:val="0"/>
          <w:numId w:val="15"/>
        </w:numPr>
        <w:spacing w:before="120" w:line="264" w:lineRule="auto"/>
        <w:ind w:left="284" w:hanging="284"/>
        <w:jc w:val="left"/>
        <w:rPr>
          <w:rFonts w:eastAsiaTheme="minorEastAsia"/>
          <w:b/>
          <w:sz w:val="26"/>
          <w:szCs w:val="26"/>
        </w:rPr>
      </w:pPr>
      <w:r w:rsidRPr="00B131E5">
        <w:rPr>
          <w:rFonts w:eastAsiaTheme="minorEastAsia"/>
          <w:b/>
          <w:sz w:val="26"/>
          <w:szCs w:val="26"/>
        </w:rPr>
        <w:lastRenderedPageBreak/>
        <w:t>KINH TẾ VIỆT NAM</w:t>
      </w:r>
    </w:p>
    <w:p w:rsidR="00E51184" w:rsidRDefault="00E51184" w:rsidP="00E51184">
      <w:pPr>
        <w:spacing w:before="120" w:line="264" w:lineRule="auto"/>
        <w:ind w:firstLine="0"/>
        <w:jc w:val="left"/>
        <w:rPr>
          <w:rFonts w:eastAsiaTheme="minorEastAsia"/>
          <w:b/>
          <w:sz w:val="26"/>
          <w:szCs w:val="26"/>
        </w:rPr>
      </w:pPr>
      <w:r w:rsidRPr="00E51184">
        <w:rPr>
          <w:rFonts w:eastAsiaTheme="minorEastAsia"/>
          <w:b/>
          <w:sz w:val="26"/>
          <w:szCs w:val="26"/>
        </w:rPr>
        <w:t>1.</w:t>
      </w:r>
      <w:r>
        <w:rPr>
          <w:rFonts w:eastAsiaTheme="minorEastAsia"/>
          <w:b/>
          <w:sz w:val="26"/>
          <w:szCs w:val="26"/>
        </w:rPr>
        <w:t xml:space="preserve"> </w:t>
      </w:r>
      <w:r w:rsidRPr="00E51184">
        <w:rPr>
          <w:rFonts w:eastAsiaTheme="minorEastAsia"/>
          <w:b/>
          <w:sz w:val="26"/>
          <w:szCs w:val="26"/>
        </w:rPr>
        <w:t>Lạm phát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56"/>
      </w:tblGrid>
      <w:tr w:rsidR="00245E80" w:rsidRPr="00187E1B" w:rsidTr="005335F4">
        <w:tc>
          <w:tcPr>
            <w:tcW w:w="4644" w:type="dxa"/>
          </w:tcPr>
          <w:p w:rsidR="00777131" w:rsidRPr="00777131" w:rsidRDefault="00B6557F" w:rsidP="003C2156">
            <w:pPr>
              <w:pStyle w:val="ListParagraph"/>
              <w:numPr>
                <w:ilvl w:val="0"/>
                <w:numId w:val="27"/>
              </w:numPr>
              <w:tabs>
                <w:tab w:val="left" w:pos="426"/>
              </w:tabs>
              <w:spacing w:before="120" w:line="264" w:lineRule="auto"/>
              <w:ind w:left="0" w:firstLine="0"/>
              <w:rPr>
                <w:rFonts w:eastAsiaTheme="minorEastAsia"/>
                <w:sz w:val="26"/>
                <w:szCs w:val="26"/>
                <w:lang w:val="pl-PL"/>
              </w:rPr>
            </w:pPr>
            <w:r>
              <w:rPr>
                <w:rFonts w:eastAsiaTheme="minorEastAsia"/>
                <w:sz w:val="26"/>
                <w:szCs w:val="26"/>
                <w:lang w:val="pl-PL"/>
              </w:rPr>
              <w:t>CPI tháng 8/2016 tăng</w:t>
            </w:r>
            <w:r w:rsidR="00245E80" w:rsidRPr="005335F4">
              <w:rPr>
                <w:rFonts w:eastAsiaTheme="minorEastAsia"/>
                <w:sz w:val="26"/>
                <w:szCs w:val="26"/>
                <w:lang w:val="pl-PL"/>
              </w:rPr>
              <w:t xml:space="preserve"> 0,1% so vớ</w:t>
            </w:r>
            <w:r>
              <w:rPr>
                <w:rFonts w:eastAsiaTheme="minorEastAsia"/>
                <w:sz w:val="26"/>
                <w:szCs w:val="26"/>
                <w:lang w:val="pl-PL"/>
              </w:rPr>
              <w:t>i tháng 7/2016 và 2,57% so với cùng kỳ năm trướ</w:t>
            </w:r>
            <w:r w:rsidR="001D7F9D">
              <w:rPr>
                <w:rFonts w:eastAsiaTheme="minorEastAsia"/>
                <w:sz w:val="26"/>
                <w:szCs w:val="26"/>
                <w:lang w:val="pl-PL"/>
              </w:rPr>
              <w:t>c.</w:t>
            </w:r>
            <w:r w:rsidR="00245E80" w:rsidRPr="005335F4">
              <w:rPr>
                <w:rFonts w:eastAsiaTheme="minorEastAsia"/>
                <w:sz w:val="26"/>
                <w:szCs w:val="26"/>
                <w:lang w:val="pl-PL"/>
              </w:rPr>
              <w:t xml:space="preserve"> </w:t>
            </w:r>
            <w:r>
              <w:rPr>
                <w:rFonts w:eastAsiaTheme="minorEastAsia"/>
                <w:sz w:val="26"/>
                <w:szCs w:val="26"/>
                <w:lang w:val="pl-PL"/>
              </w:rPr>
              <w:t xml:space="preserve"> Như vậy, mặc dù lạm phát (so với cùng kỳ</w:t>
            </w:r>
            <w:r w:rsidR="00FF2140">
              <w:rPr>
                <w:rFonts w:eastAsiaTheme="minorEastAsia"/>
                <w:sz w:val="26"/>
                <w:szCs w:val="26"/>
                <w:lang w:val="pl-PL"/>
              </w:rPr>
              <w:t xml:space="preserve">) </w:t>
            </w:r>
            <w:r>
              <w:rPr>
                <w:rFonts w:eastAsiaTheme="minorEastAsia"/>
                <w:sz w:val="26"/>
                <w:szCs w:val="26"/>
                <w:lang w:val="pl-PL"/>
              </w:rPr>
              <w:t>tiếp tục xu hướng tăng nhưng mức độ tăng đã giảm dần. Đóng góp vào mức tăng CPI của tháng 8 so với tháng 7 chủ yếu</w:t>
            </w:r>
            <w:r w:rsidR="001D7F9D">
              <w:rPr>
                <w:rFonts w:eastAsiaTheme="minorEastAsia"/>
                <w:sz w:val="26"/>
                <w:szCs w:val="26"/>
                <w:lang w:val="pl-PL"/>
              </w:rPr>
              <w:t xml:space="preserve"> là</w:t>
            </w:r>
            <w:r>
              <w:rPr>
                <w:rFonts w:eastAsiaTheme="minorEastAsia"/>
                <w:sz w:val="26"/>
                <w:szCs w:val="26"/>
                <w:lang w:val="pl-PL"/>
              </w:rPr>
              <w:t xml:space="preserve"> </w:t>
            </w:r>
            <w:r w:rsidR="00245E80" w:rsidRPr="005335F4">
              <w:rPr>
                <w:rFonts w:eastAsiaTheme="minorEastAsia"/>
                <w:sz w:val="26"/>
                <w:szCs w:val="26"/>
                <w:lang w:val="pl-PL"/>
              </w:rPr>
              <w:t>nhóm dịch vụ y tế</w:t>
            </w:r>
            <w:r w:rsidR="00777131">
              <w:rPr>
                <w:rFonts w:eastAsiaTheme="minorEastAsia"/>
                <w:sz w:val="26"/>
                <w:szCs w:val="26"/>
                <w:lang w:val="pl-PL"/>
              </w:rPr>
              <w:t xml:space="preserve"> </w:t>
            </w:r>
            <w:r w:rsidR="00245E80" w:rsidRPr="005335F4">
              <w:rPr>
                <w:rFonts w:eastAsiaTheme="minorEastAsia"/>
                <w:sz w:val="26"/>
                <w:szCs w:val="26"/>
                <w:lang w:val="pl-PL"/>
              </w:rPr>
              <w:t>(tháng 8 tăng 8,12% so với tháng 7), tiếp theo là nhóm dịch vụ giáo dục (tháng 8 tăng 0,5% so với tháng 7)</w:t>
            </w:r>
            <w:r w:rsidR="0082604E">
              <w:rPr>
                <w:rFonts w:eastAsiaTheme="minorEastAsia"/>
                <w:sz w:val="26"/>
                <w:szCs w:val="26"/>
                <w:lang w:val="pl-PL"/>
              </w:rPr>
              <w:t>.</w:t>
            </w:r>
            <w:r w:rsidR="00245E80" w:rsidRPr="005335F4">
              <w:rPr>
                <w:rFonts w:eastAsiaTheme="minorEastAsia"/>
                <w:sz w:val="26"/>
                <w:szCs w:val="26"/>
                <w:lang w:val="pl-PL"/>
              </w:rPr>
              <w:t xml:space="preserve"> </w:t>
            </w:r>
            <w:r w:rsidR="0082604E">
              <w:rPr>
                <w:rFonts w:eastAsiaTheme="minorEastAsia"/>
                <w:sz w:val="26"/>
                <w:szCs w:val="26"/>
                <w:lang w:val="pl-PL"/>
              </w:rPr>
              <w:t>T</w:t>
            </w:r>
            <w:r w:rsidR="00245E80" w:rsidRPr="005335F4">
              <w:rPr>
                <w:rFonts w:eastAsiaTheme="minorEastAsia"/>
                <w:sz w:val="26"/>
                <w:szCs w:val="26"/>
                <w:lang w:val="pl-PL"/>
              </w:rPr>
              <w:t xml:space="preserve">rong khi </w:t>
            </w:r>
            <w:r w:rsidR="0082604E">
              <w:rPr>
                <w:rFonts w:eastAsiaTheme="minorEastAsia"/>
                <w:sz w:val="26"/>
                <w:szCs w:val="26"/>
                <w:lang w:val="pl-PL"/>
              </w:rPr>
              <w:t>đó</w:t>
            </w:r>
            <w:r w:rsidR="00F00A3F">
              <w:rPr>
                <w:rFonts w:eastAsiaTheme="minorEastAsia"/>
                <w:sz w:val="26"/>
                <w:szCs w:val="26"/>
                <w:lang w:val="pl-PL"/>
              </w:rPr>
              <w:t>,</w:t>
            </w:r>
            <w:r w:rsidR="0082604E">
              <w:rPr>
                <w:rFonts w:eastAsiaTheme="minorEastAsia"/>
                <w:sz w:val="26"/>
                <w:szCs w:val="26"/>
                <w:lang w:val="pl-PL"/>
              </w:rPr>
              <w:t xml:space="preserve"> </w:t>
            </w:r>
            <w:r w:rsidR="00245E80" w:rsidRPr="005335F4">
              <w:rPr>
                <w:rFonts w:eastAsiaTheme="minorEastAsia"/>
                <w:sz w:val="26"/>
                <w:szCs w:val="26"/>
                <w:lang w:val="pl-PL"/>
              </w:rPr>
              <w:t>các nhóm chiếm tỷ trọng lớn trong rổ hàng hóa tính CPI là lương thực</w:t>
            </w:r>
            <w:r w:rsidR="00747B83">
              <w:rPr>
                <w:rFonts w:eastAsiaTheme="minorEastAsia"/>
                <w:sz w:val="26"/>
                <w:szCs w:val="26"/>
                <w:lang w:val="pl-PL"/>
              </w:rPr>
              <w:t>,</w:t>
            </w:r>
            <w:r w:rsidR="00245E80" w:rsidRPr="005335F4">
              <w:rPr>
                <w:rFonts w:eastAsiaTheme="minorEastAsia"/>
                <w:sz w:val="26"/>
                <w:szCs w:val="26"/>
                <w:lang w:val="pl-PL"/>
              </w:rPr>
              <w:t xml:space="preserve"> thực phẩm đều giảm </w:t>
            </w:r>
            <w:r w:rsidR="00187E1B">
              <w:rPr>
                <w:rFonts w:eastAsiaTheme="minorEastAsia"/>
                <w:sz w:val="26"/>
                <w:szCs w:val="26"/>
                <w:lang w:val="pl-PL"/>
              </w:rPr>
              <w:t>so với tháng 7 (</w:t>
            </w:r>
            <w:r w:rsidR="00187E1B" w:rsidRPr="005335F4">
              <w:rPr>
                <w:rFonts w:eastAsiaTheme="minorEastAsia"/>
                <w:sz w:val="26"/>
                <w:szCs w:val="26"/>
                <w:lang w:val="pl-PL"/>
              </w:rPr>
              <w:t>lương thự</w:t>
            </w:r>
            <w:r w:rsidR="00187E1B">
              <w:rPr>
                <w:rFonts w:eastAsiaTheme="minorEastAsia"/>
                <w:sz w:val="26"/>
                <w:szCs w:val="26"/>
                <w:lang w:val="pl-PL"/>
              </w:rPr>
              <w:t xml:space="preserve">c </w:t>
            </w:r>
            <w:r w:rsidR="00187E1B" w:rsidRPr="005335F4">
              <w:rPr>
                <w:rFonts w:eastAsiaTheme="minorEastAsia"/>
                <w:sz w:val="26"/>
                <w:szCs w:val="26"/>
                <w:lang w:val="pl-PL"/>
              </w:rPr>
              <w:t>giả</w:t>
            </w:r>
            <w:r w:rsidR="00187E1B">
              <w:rPr>
                <w:rFonts w:eastAsiaTheme="minorEastAsia"/>
                <w:sz w:val="26"/>
                <w:szCs w:val="26"/>
                <w:lang w:val="pl-PL"/>
              </w:rPr>
              <w:t>m 0,35%</w:t>
            </w:r>
            <w:r w:rsidR="00187E1B" w:rsidRPr="005335F4">
              <w:rPr>
                <w:rFonts w:eastAsiaTheme="minorEastAsia"/>
                <w:sz w:val="26"/>
                <w:szCs w:val="26"/>
                <w:lang w:val="pl-PL"/>
              </w:rPr>
              <w:t>, thực phẩ</w:t>
            </w:r>
            <w:r w:rsidR="00187E1B">
              <w:rPr>
                <w:rFonts w:eastAsiaTheme="minorEastAsia"/>
                <w:sz w:val="26"/>
                <w:szCs w:val="26"/>
                <w:lang w:val="pl-PL"/>
              </w:rPr>
              <w:t xml:space="preserve">m </w:t>
            </w:r>
            <w:r w:rsidR="00187E1B" w:rsidRPr="005335F4">
              <w:rPr>
                <w:rFonts w:eastAsiaTheme="minorEastAsia"/>
                <w:sz w:val="26"/>
                <w:szCs w:val="26"/>
                <w:lang w:val="pl-PL"/>
              </w:rPr>
              <w:t>giảm 0,19%)</w:t>
            </w:r>
            <w:r w:rsidR="00245E80" w:rsidRPr="005335F4">
              <w:rPr>
                <w:rFonts w:eastAsiaTheme="minorEastAsia"/>
                <w:sz w:val="26"/>
                <w:szCs w:val="26"/>
                <w:lang w:val="pl-PL"/>
              </w:rPr>
              <w:t>, nhóm giao thông giảm 1,97% so với tháng trước do ảnh hưởng của việc điều chỉnh giả</w:t>
            </w:r>
            <w:r w:rsidR="00187E1B">
              <w:rPr>
                <w:rFonts w:eastAsiaTheme="minorEastAsia"/>
                <w:sz w:val="26"/>
                <w:szCs w:val="26"/>
                <w:lang w:val="pl-PL"/>
              </w:rPr>
              <w:t>m giá xăng trong tháng 7</w:t>
            </w:r>
            <w:r w:rsidR="00245E80" w:rsidRPr="005335F4">
              <w:rPr>
                <w:rFonts w:eastAsiaTheme="minorEastAsia"/>
                <w:sz w:val="26"/>
                <w:szCs w:val="26"/>
                <w:lang w:val="pl-PL"/>
              </w:rPr>
              <w:t>.</w:t>
            </w:r>
          </w:p>
        </w:tc>
        <w:tc>
          <w:tcPr>
            <w:tcW w:w="4644" w:type="dxa"/>
          </w:tcPr>
          <w:p w:rsidR="005335F4" w:rsidRPr="005335F4" w:rsidRDefault="00350798" w:rsidP="005335F4">
            <w:pPr>
              <w:spacing w:before="120"/>
              <w:ind w:firstLine="0"/>
              <w:jc w:val="center"/>
              <w:rPr>
                <w:b/>
                <w:sz w:val="24"/>
                <w:lang w:val="pl-PL"/>
              </w:rPr>
            </w:pPr>
            <w:r>
              <w:rPr>
                <w:b/>
                <w:sz w:val="24"/>
                <w:lang w:val="pl-PL"/>
              </w:rPr>
              <w:t>Tốc độ tăng CPI, T1/2013-T8/2016</w:t>
            </w:r>
            <w:r w:rsidR="00B305AA">
              <w:rPr>
                <w:b/>
                <w:sz w:val="24"/>
                <w:lang w:val="pl-PL"/>
              </w:rPr>
              <w:t xml:space="preserve">, </w:t>
            </w:r>
            <w:r>
              <w:rPr>
                <w:b/>
                <w:sz w:val="24"/>
                <w:lang w:val="pl-PL"/>
              </w:rPr>
              <w:t>%</w:t>
            </w:r>
          </w:p>
          <w:p w:rsidR="00245E80" w:rsidRPr="005335F4" w:rsidRDefault="005335F4" w:rsidP="005335F4">
            <w:pPr>
              <w:jc w:val="right"/>
              <w:rPr>
                <w:rFonts w:eastAsiaTheme="minorEastAsia"/>
                <w:i/>
                <w:sz w:val="26"/>
                <w:szCs w:val="26"/>
                <w:lang w:val="pl-PL"/>
              </w:rPr>
            </w:pPr>
            <w:r w:rsidRPr="00AD644F">
              <w:rPr>
                <w:b/>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27940</wp:posOffset>
                  </wp:positionV>
                  <wp:extent cx="2819400" cy="2962275"/>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335F4">
              <w:rPr>
                <w:i/>
                <w:sz w:val="24"/>
                <w:lang w:val="pl-PL"/>
              </w:rPr>
              <w:t>Nguồn : TCTK</w:t>
            </w:r>
          </w:p>
        </w:tc>
      </w:tr>
    </w:tbl>
    <w:p w:rsidR="001D7F9D" w:rsidRDefault="00245E80" w:rsidP="002F5B56">
      <w:pPr>
        <w:pStyle w:val="ListParagraph"/>
        <w:tabs>
          <w:tab w:val="left" w:pos="426"/>
        </w:tabs>
        <w:spacing w:before="120" w:line="288" w:lineRule="auto"/>
        <w:ind w:left="0" w:firstLine="0"/>
        <w:contextualSpacing w:val="0"/>
        <w:rPr>
          <w:spacing w:val="-2"/>
          <w:sz w:val="26"/>
          <w:szCs w:val="26"/>
          <w:lang w:val="pl-PL"/>
        </w:rPr>
      </w:pPr>
      <w:r>
        <w:rPr>
          <w:spacing w:val="-2"/>
          <w:sz w:val="26"/>
          <w:szCs w:val="26"/>
          <w:lang w:val="pl-PL"/>
        </w:rPr>
        <w:tab/>
      </w:r>
      <w:r w:rsidR="00777131">
        <w:rPr>
          <w:spacing w:val="-2"/>
          <w:sz w:val="26"/>
          <w:szCs w:val="26"/>
          <w:lang w:val="pl-PL"/>
        </w:rPr>
        <w:t>L</w:t>
      </w:r>
      <w:r w:rsidRPr="00B71D33">
        <w:rPr>
          <w:spacing w:val="-2"/>
          <w:sz w:val="26"/>
          <w:szCs w:val="26"/>
          <w:lang w:val="pl-PL"/>
        </w:rPr>
        <w:t xml:space="preserve">ạm phát cơ bản (lạm phát loại trừ lương thực - thực phẩm; năng lượng và mặt hàng do Nhà nước quản lý bao gồm dịch vụ y tế và dịch vụ giáo dục) vẫn duy trì ở mức dưới 2%. </w:t>
      </w:r>
      <w:r w:rsidR="001D7F9D">
        <w:rPr>
          <w:spacing w:val="-2"/>
          <w:sz w:val="26"/>
          <w:szCs w:val="26"/>
          <w:lang w:val="pl-PL"/>
        </w:rPr>
        <w:t xml:space="preserve">Như vậy, xu hướng tăng lạm phát trong năm 2016 chủ yếu do tác động của điều chỉnh giá dịch vụ y tế, giáo dục; chứ không phải do sức ép từ tổng cầu. </w:t>
      </w:r>
    </w:p>
    <w:p w:rsidR="00245E80" w:rsidRPr="005335F4" w:rsidRDefault="00245E80" w:rsidP="005335F4">
      <w:pPr>
        <w:pStyle w:val="ListParagraph"/>
        <w:spacing w:before="120" w:after="0" w:line="264" w:lineRule="auto"/>
        <w:ind w:left="0" w:firstLine="0"/>
        <w:contextualSpacing w:val="0"/>
        <w:jc w:val="center"/>
        <w:rPr>
          <w:b/>
          <w:sz w:val="24"/>
          <w:lang w:val="pl-PL"/>
        </w:rPr>
      </w:pPr>
      <w:r w:rsidRPr="00261956">
        <w:rPr>
          <w:b/>
          <w:sz w:val="24"/>
          <w:lang w:val="pl-PL"/>
        </w:rPr>
        <w:t>Lạm phát cơ bản kể từ đầu năm</w:t>
      </w:r>
      <w:r>
        <w:rPr>
          <w:b/>
          <w:sz w:val="24"/>
          <w:lang w:val="pl-PL"/>
        </w:rPr>
        <w:t>,</w:t>
      </w:r>
      <w:r w:rsidRPr="00261956">
        <w:rPr>
          <w:b/>
          <w:sz w:val="24"/>
          <w:lang w:val="pl-PL"/>
        </w:rPr>
        <w:t xml:space="preserve"> T1/2016</w:t>
      </w:r>
      <w:r>
        <w:rPr>
          <w:b/>
          <w:sz w:val="24"/>
          <w:lang w:val="pl-PL"/>
        </w:rPr>
        <w:t xml:space="preserve"> </w:t>
      </w:r>
      <w:r w:rsidRPr="00261956">
        <w:rPr>
          <w:b/>
          <w:sz w:val="24"/>
          <w:lang w:val="pl-PL"/>
        </w:rPr>
        <w:t>-</w:t>
      </w:r>
      <w:r>
        <w:rPr>
          <w:b/>
          <w:sz w:val="24"/>
          <w:lang w:val="pl-PL"/>
        </w:rPr>
        <w:t xml:space="preserve"> </w:t>
      </w:r>
      <w:r w:rsidRPr="00261956">
        <w:rPr>
          <w:b/>
          <w:sz w:val="24"/>
          <w:lang w:val="pl-PL"/>
        </w:rPr>
        <w:t>T8/2016 (% tăng so với cùng kỳ)</w:t>
      </w:r>
    </w:p>
    <w:tbl>
      <w:tblPr>
        <w:tblpPr w:leftFromText="180" w:rightFromText="180" w:vertAnchor="text" w:horzAnchor="page" w:tblpX="2110" w:tblpY="371"/>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826"/>
        <w:gridCol w:w="826"/>
        <w:gridCol w:w="826"/>
        <w:gridCol w:w="826"/>
        <w:gridCol w:w="826"/>
        <w:gridCol w:w="826"/>
        <w:gridCol w:w="826"/>
        <w:gridCol w:w="826"/>
      </w:tblGrid>
      <w:tr w:rsidR="005335F4" w:rsidRPr="00245E80" w:rsidTr="00EC5718">
        <w:trPr>
          <w:trHeight w:val="411"/>
        </w:trPr>
        <w:tc>
          <w:tcPr>
            <w:tcW w:w="1970" w:type="dxa"/>
          </w:tcPr>
          <w:p w:rsidR="005335F4" w:rsidRPr="00245E80" w:rsidRDefault="005335F4" w:rsidP="00730DAE">
            <w:pPr>
              <w:spacing w:before="120" w:line="360" w:lineRule="auto"/>
              <w:ind w:firstLine="0"/>
              <w:jc w:val="center"/>
              <w:rPr>
                <w:b/>
                <w:bCs/>
                <w:color w:val="000000"/>
                <w:sz w:val="24"/>
                <w:lang w:val="pl-PL" w:eastAsia="vi-VN"/>
              </w:rPr>
            </w:pP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T1</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T2</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T3</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T4</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T5</w:t>
            </w:r>
          </w:p>
        </w:tc>
        <w:tc>
          <w:tcPr>
            <w:tcW w:w="0" w:type="auto"/>
            <w:shd w:val="clear" w:color="auto" w:fill="auto"/>
            <w:noWrap/>
            <w:vAlign w:val="bottom"/>
            <w:hideMark/>
          </w:tcPr>
          <w:p w:rsidR="005335F4" w:rsidRPr="00245E80" w:rsidRDefault="005335F4" w:rsidP="00730DAE">
            <w:pPr>
              <w:spacing w:line="360" w:lineRule="auto"/>
              <w:ind w:firstLine="0"/>
              <w:jc w:val="center"/>
              <w:rPr>
                <w:bCs/>
                <w:color w:val="000000"/>
                <w:sz w:val="24"/>
                <w:lang w:eastAsia="vi-VN"/>
              </w:rPr>
            </w:pPr>
            <w:r w:rsidRPr="00245E80">
              <w:rPr>
                <w:bCs/>
                <w:color w:val="000000"/>
                <w:sz w:val="24"/>
                <w:lang w:eastAsia="vi-VN"/>
              </w:rPr>
              <w:t>T6</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T7</w:t>
            </w:r>
          </w:p>
        </w:tc>
        <w:tc>
          <w:tcPr>
            <w:tcW w:w="0" w:type="auto"/>
            <w:shd w:val="clear" w:color="auto" w:fill="auto"/>
            <w:noWrap/>
            <w:vAlign w:val="bottom"/>
            <w:hideMark/>
          </w:tcPr>
          <w:p w:rsidR="005335F4" w:rsidRPr="00245E80" w:rsidRDefault="005335F4" w:rsidP="00730DAE">
            <w:pPr>
              <w:spacing w:before="120" w:line="360" w:lineRule="auto"/>
              <w:ind w:firstLine="0"/>
              <w:jc w:val="center"/>
              <w:rPr>
                <w:bCs/>
                <w:color w:val="000000"/>
                <w:sz w:val="24"/>
                <w:lang w:eastAsia="vi-VN"/>
              </w:rPr>
            </w:pPr>
            <w:r w:rsidRPr="00245E80">
              <w:rPr>
                <w:bCs/>
                <w:color w:val="000000"/>
                <w:sz w:val="24"/>
                <w:lang w:eastAsia="vi-VN"/>
              </w:rPr>
              <w:t>T8</w:t>
            </w:r>
          </w:p>
        </w:tc>
      </w:tr>
      <w:tr w:rsidR="005335F4" w:rsidRPr="00245E80" w:rsidTr="00EC5718">
        <w:trPr>
          <w:trHeight w:val="370"/>
        </w:trPr>
        <w:tc>
          <w:tcPr>
            <w:tcW w:w="1970" w:type="dxa"/>
          </w:tcPr>
          <w:p w:rsidR="005335F4" w:rsidRPr="00245E80" w:rsidRDefault="005335F4" w:rsidP="00730DAE">
            <w:pPr>
              <w:spacing w:before="120" w:line="360" w:lineRule="auto"/>
              <w:ind w:firstLine="0"/>
              <w:rPr>
                <w:b/>
                <w:i/>
                <w:color w:val="000000"/>
                <w:sz w:val="24"/>
                <w:lang w:eastAsia="vi-VN"/>
              </w:rPr>
            </w:pPr>
            <w:r w:rsidRPr="00245E80">
              <w:rPr>
                <w:b/>
                <w:i/>
                <w:color w:val="000000"/>
                <w:sz w:val="24"/>
                <w:lang w:eastAsia="vi-VN"/>
              </w:rPr>
              <w:t>Lạm phát cơ bản</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1,72</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1,93</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1,64</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1,76</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1,87</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1,88</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1,85</w:t>
            </w:r>
          </w:p>
        </w:tc>
        <w:tc>
          <w:tcPr>
            <w:tcW w:w="0" w:type="auto"/>
            <w:shd w:val="clear" w:color="auto" w:fill="auto"/>
            <w:noWrap/>
            <w:vAlign w:val="bottom"/>
            <w:hideMark/>
          </w:tcPr>
          <w:p w:rsidR="005335F4" w:rsidRPr="00245E80" w:rsidRDefault="005335F4" w:rsidP="00730DAE">
            <w:pPr>
              <w:spacing w:before="120" w:line="360" w:lineRule="auto"/>
              <w:ind w:firstLine="0"/>
              <w:jc w:val="right"/>
              <w:rPr>
                <w:b/>
                <w:color w:val="000000"/>
                <w:sz w:val="24"/>
                <w:lang w:eastAsia="vi-VN"/>
              </w:rPr>
            </w:pPr>
            <w:r w:rsidRPr="00245E80">
              <w:rPr>
                <w:b/>
                <w:color w:val="000000"/>
                <w:sz w:val="24"/>
                <w:lang w:eastAsia="vi-VN"/>
              </w:rPr>
              <w:t>1,88</w:t>
            </w:r>
          </w:p>
        </w:tc>
      </w:tr>
    </w:tbl>
    <w:p w:rsidR="00245E80" w:rsidRPr="005335F4" w:rsidRDefault="00245E80" w:rsidP="005335F4">
      <w:pPr>
        <w:spacing w:before="120" w:line="264" w:lineRule="auto"/>
        <w:jc w:val="right"/>
        <w:rPr>
          <w:i/>
          <w:sz w:val="24"/>
          <w:lang w:val="pl-PL"/>
        </w:rPr>
      </w:pPr>
      <w:r>
        <w:rPr>
          <w:spacing w:val="-2"/>
          <w:sz w:val="26"/>
          <w:szCs w:val="26"/>
          <w:lang w:val="pl-PL"/>
        </w:rPr>
        <w:tab/>
      </w:r>
      <w:r>
        <w:rPr>
          <w:spacing w:val="-2"/>
          <w:sz w:val="26"/>
          <w:szCs w:val="26"/>
          <w:lang w:val="pl-PL"/>
        </w:rPr>
        <w:tab/>
      </w:r>
      <w:r w:rsidRPr="005335F4">
        <w:rPr>
          <w:i/>
          <w:sz w:val="24"/>
          <w:lang w:val="pl-PL"/>
        </w:rPr>
        <w:t>Nguồn: TCTK</w:t>
      </w:r>
    </w:p>
    <w:p w:rsidR="00245E80" w:rsidRDefault="00245E80" w:rsidP="00B305AA">
      <w:pPr>
        <w:pStyle w:val="ListParagraph"/>
        <w:numPr>
          <w:ilvl w:val="0"/>
          <w:numId w:val="27"/>
        </w:numPr>
        <w:tabs>
          <w:tab w:val="left" w:pos="426"/>
        </w:tabs>
        <w:spacing w:before="120" w:line="288" w:lineRule="auto"/>
        <w:ind w:left="0" w:firstLine="0"/>
        <w:contextualSpacing w:val="0"/>
        <w:rPr>
          <w:sz w:val="26"/>
          <w:szCs w:val="26"/>
          <w:lang w:val="pl-PL"/>
        </w:rPr>
      </w:pPr>
      <w:r>
        <w:rPr>
          <w:spacing w:val="-2"/>
          <w:sz w:val="26"/>
          <w:szCs w:val="26"/>
          <w:lang w:val="pl-PL"/>
        </w:rPr>
        <w:t xml:space="preserve">Phân rã lạm phát cũng cho thấy: </w:t>
      </w:r>
      <w:r w:rsidRPr="00174945">
        <w:rPr>
          <w:sz w:val="26"/>
          <w:szCs w:val="26"/>
          <w:lang w:val="pl-PL"/>
        </w:rPr>
        <w:t xml:space="preserve">thành phần lạm phát </w:t>
      </w:r>
      <w:r>
        <w:rPr>
          <w:sz w:val="26"/>
          <w:szCs w:val="26"/>
          <w:lang w:val="pl-PL"/>
        </w:rPr>
        <w:t xml:space="preserve">dài hạn vẫn duy trì ở mức thấp nhờ </w:t>
      </w:r>
      <w:r w:rsidRPr="00174945">
        <w:rPr>
          <w:sz w:val="26"/>
          <w:szCs w:val="26"/>
          <w:lang w:val="pl-PL"/>
        </w:rPr>
        <w:t>các yếu tố cơ bản</w:t>
      </w:r>
      <w:r w:rsidRPr="00174945">
        <w:rPr>
          <w:spacing w:val="-2"/>
          <w:sz w:val="26"/>
          <w:szCs w:val="26"/>
          <w:lang w:val="pl-PL"/>
        </w:rPr>
        <w:t xml:space="preserve"> </w:t>
      </w:r>
      <w:r>
        <w:rPr>
          <w:spacing w:val="-2"/>
          <w:sz w:val="26"/>
          <w:szCs w:val="26"/>
          <w:lang w:val="pl-PL"/>
        </w:rPr>
        <w:t xml:space="preserve">như </w:t>
      </w:r>
      <w:r w:rsidRPr="00174945">
        <w:rPr>
          <w:spacing w:val="-2"/>
          <w:sz w:val="26"/>
          <w:szCs w:val="26"/>
          <w:lang w:val="pl-PL"/>
        </w:rPr>
        <w:t>tổng cầu (lạm phát cầu kéo) và chi phí sản xuất (lạm phát chi phí đẩy) ổn định</w:t>
      </w:r>
      <w:r>
        <w:rPr>
          <w:spacing w:val="-2"/>
          <w:sz w:val="26"/>
          <w:szCs w:val="26"/>
          <w:lang w:val="pl-PL"/>
        </w:rPr>
        <w:t xml:space="preserve">, song </w:t>
      </w:r>
      <w:r w:rsidRPr="00174945">
        <w:rPr>
          <w:sz w:val="26"/>
          <w:szCs w:val="26"/>
          <w:lang w:val="pl-PL"/>
        </w:rPr>
        <w:t xml:space="preserve">thành phần lạm phát có tính chu kỳ </w:t>
      </w:r>
      <w:r w:rsidR="00F00A3F">
        <w:rPr>
          <w:sz w:val="26"/>
          <w:szCs w:val="26"/>
          <w:lang w:val="pl-PL"/>
        </w:rPr>
        <w:t xml:space="preserve">sau khi ngừng tăng trong </w:t>
      </w:r>
      <w:r>
        <w:rPr>
          <w:sz w:val="26"/>
          <w:szCs w:val="26"/>
          <w:lang w:val="pl-PL"/>
        </w:rPr>
        <w:t>tháng 6 và 7 đã tăng nhẹ trở lại trong tháng 8 do chịu tác động của chu k</w:t>
      </w:r>
      <w:r w:rsidR="00747B83">
        <w:rPr>
          <w:sz w:val="26"/>
          <w:szCs w:val="26"/>
          <w:lang w:val="pl-PL"/>
        </w:rPr>
        <w:t>ỳ</w:t>
      </w:r>
      <w:r>
        <w:rPr>
          <w:sz w:val="26"/>
          <w:szCs w:val="26"/>
          <w:lang w:val="pl-PL"/>
        </w:rPr>
        <w:t xml:space="preserve"> tăng giá mới (điều chỉnh giá dịch vụ y tế).</w:t>
      </w:r>
    </w:p>
    <w:p w:rsidR="005335F4" w:rsidRDefault="005335F4" w:rsidP="005335F4">
      <w:pPr>
        <w:pStyle w:val="ListParagraph"/>
        <w:tabs>
          <w:tab w:val="left" w:pos="426"/>
          <w:tab w:val="left" w:pos="720"/>
        </w:tabs>
        <w:spacing w:before="120" w:line="264" w:lineRule="auto"/>
        <w:ind w:left="0" w:firstLine="0"/>
        <w:contextualSpacing w:val="0"/>
        <w:rPr>
          <w:sz w:val="26"/>
          <w:szCs w:val="26"/>
          <w:lang w:val="pl-PL"/>
        </w:rPr>
      </w:pPr>
    </w:p>
    <w:p w:rsidR="005335F4" w:rsidRDefault="005335F4" w:rsidP="005335F4">
      <w:pPr>
        <w:pStyle w:val="ListParagraph"/>
        <w:tabs>
          <w:tab w:val="left" w:pos="426"/>
          <w:tab w:val="left" w:pos="720"/>
        </w:tabs>
        <w:spacing w:before="120" w:line="264" w:lineRule="auto"/>
        <w:ind w:left="0" w:firstLine="0"/>
        <w:contextualSpacing w:val="0"/>
        <w:rPr>
          <w:sz w:val="26"/>
          <w:szCs w:val="26"/>
          <w:lang w:val="pl-PL"/>
        </w:rPr>
      </w:pPr>
    </w:p>
    <w:p w:rsidR="009A1F8B" w:rsidRDefault="009A1F8B" w:rsidP="005335F4">
      <w:pPr>
        <w:pStyle w:val="ListParagraph"/>
        <w:tabs>
          <w:tab w:val="left" w:pos="426"/>
          <w:tab w:val="left" w:pos="720"/>
        </w:tabs>
        <w:spacing w:before="120" w:line="264" w:lineRule="auto"/>
        <w:ind w:left="0" w:firstLine="0"/>
        <w:contextualSpacing w:val="0"/>
        <w:rPr>
          <w:sz w:val="26"/>
          <w:szCs w:val="26"/>
          <w:lang w:val="pl-PL"/>
        </w:rPr>
      </w:pPr>
    </w:p>
    <w:p w:rsidR="003C2156" w:rsidRDefault="003C2156" w:rsidP="005335F4">
      <w:pPr>
        <w:pStyle w:val="ListParagraph"/>
        <w:tabs>
          <w:tab w:val="left" w:pos="426"/>
          <w:tab w:val="left" w:pos="720"/>
        </w:tabs>
        <w:spacing w:before="120" w:line="264" w:lineRule="auto"/>
        <w:ind w:left="0" w:firstLine="0"/>
        <w:contextualSpacing w:val="0"/>
        <w:rPr>
          <w:sz w:val="26"/>
          <w:szCs w:val="26"/>
          <w:lang w:val="pl-PL"/>
        </w:rPr>
      </w:pPr>
    </w:p>
    <w:p w:rsidR="003C2156" w:rsidRDefault="003C2156">
      <w:pPr>
        <w:spacing w:after="200" w:line="276" w:lineRule="auto"/>
        <w:ind w:firstLine="0"/>
        <w:jc w:val="left"/>
        <w:rPr>
          <w:b/>
          <w:sz w:val="24"/>
          <w:szCs w:val="26"/>
          <w:lang w:val="pl-PL"/>
        </w:rPr>
      </w:pPr>
      <w:r>
        <w:rPr>
          <w:b/>
          <w:sz w:val="24"/>
          <w:szCs w:val="26"/>
          <w:lang w:val="pl-PL"/>
        </w:rPr>
        <w:br w:type="page"/>
      </w:r>
    </w:p>
    <w:p w:rsidR="00245E80" w:rsidRDefault="00245E80" w:rsidP="00730DAE">
      <w:pPr>
        <w:pStyle w:val="ListParagraph"/>
        <w:tabs>
          <w:tab w:val="left" w:pos="426"/>
        </w:tabs>
        <w:spacing w:before="120" w:line="288" w:lineRule="auto"/>
        <w:ind w:left="0" w:firstLine="0"/>
        <w:contextualSpacing w:val="0"/>
        <w:jc w:val="center"/>
        <w:rPr>
          <w:b/>
          <w:sz w:val="24"/>
          <w:szCs w:val="26"/>
          <w:lang w:val="pl-PL"/>
        </w:rPr>
      </w:pPr>
      <w:r w:rsidRPr="00176A32">
        <w:rPr>
          <w:b/>
          <w:sz w:val="24"/>
          <w:szCs w:val="26"/>
          <w:lang w:val="pl-PL"/>
        </w:rPr>
        <w:lastRenderedPageBreak/>
        <w:t>Phân rã lạm phát</w:t>
      </w:r>
      <w:r>
        <w:rPr>
          <w:b/>
          <w:sz w:val="24"/>
          <w:szCs w:val="26"/>
          <w:lang w:val="pl-PL"/>
        </w:rPr>
        <w:t>, tháng 01/2005 – tháng 8/2016</w:t>
      </w:r>
    </w:p>
    <w:p w:rsidR="00245E80" w:rsidRDefault="00245E80" w:rsidP="00245E80">
      <w:pPr>
        <w:pStyle w:val="ListParagraph"/>
        <w:tabs>
          <w:tab w:val="left" w:pos="426"/>
        </w:tabs>
        <w:spacing w:after="0" w:line="288" w:lineRule="auto"/>
        <w:ind w:left="0" w:firstLine="0"/>
        <w:contextualSpacing w:val="0"/>
        <w:jc w:val="center"/>
        <w:rPr>
          <w:b/>
          <w:sz w:val="24"/>
          <w:szCs w:val="26"/>
          <w:lang w:val="pl-PL"/>
        </w:rPr>
      </w:pPr>
      <w:r w:rsidRPr="008A4873">
        <w:rPr>
          <w:b/>
          <w:noProof/>
          <w:sz w:val="24"/>
          <w:szCs w:val="26"/>
        </w:rPr>
        <w:drawing>
          <wp:inline distT="0" distB="0" distL="0" distR="0" wp14:anchorId="45D73C7A" wp14:editId="6D37E218">
            <wp:extent cx="5572125" cy="26193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5E80" w:rsidRPr="00730DAE" w:rsidRDefault="0032484B" w:rsidP="00245E80">
      <w:pPr>
        <w:spacing w:before="120" w:line="288" w:lineRule="auto"/>
        <w:jc w:val="right"/>
        <w:rPr>
          <w:i/>
          <w:sz w:val="24"/>
          <w:lang w:val="pl-PL"/>
        </w:rPr>
      </w:pPr>
      <w:r>
        <w:rPr>
          <w:i/>
          <w:sz w:val="24"/>
          <w:lang w:val="pl-PL"/>
        </w:rPr>
        <w:t>Nguồn: TCTK và t</w:t>
      </w:r>
      <w:r w:rsidR="00245E80" w:rsidRPr="00730DAE">
        <w:rPr>
          <w:i/>
          <w:sz w:val="24"/>
          <w:lang w:val="pl-PL"/>
        </w:rPr>
        <w:t>ính toán của UBGSTCQG</w:t>
      </w:r>
    </w:p>
    <w:p w:rsidR="00E51184" w:rsidRPr="00245E80" w:rsidRDefault="00E51184" w:rsidP="00E51184">
      <w:pPr>
        <w:spacing w:before="120" w:line="264" w:lineRule="auto"/>
        <w:ind w:firstLine="0"/>
        <w:jc w:val="left"/>
        <w:rPr>
          <w:rFonts w:eastAsiaTheme="minorEastAsia"/>
          <w:b/>
          <w:sz w:val="26"/>
          <w:szCs w:val="26"/>
          <w:lang w:val="pl-PL"/>
        </w:rPr>
      </w:pPr>
      <w:r w:rsidRPr="00245E80">
        <w:rPr>
          <w:rFonts w:eastAsiaTheme="minorEastAsia"/>
          <w:b/>
          <w:sz w:val="26"/>
          <w:szCs w:val="26"/>
          <w:lang w:val="pl-PL"/>
        </w:rPr>
        <w:t>2. Các chỉ số kinh tế khác</w:t>
      </w:r>
      <w:r w:rsidR="00AB3DD4">
        <w:rPr>
          <w:rFonts w:eastAsiaTheme="minorEastAsia"/>
          <w:b/>
          <w:sz w:val="26"/>
          <w:szCs w:val="26"/>
          <w:lang w:val="pl-PL"/>
        </w:rPr>
        <w:t xml:space="preserve"> </w:t>
      </w:r>
    </w:p>
    <w:p w:rsidR="00E51184" w:rsidRPr="00187E1B" w:rsidRDefault="00E51184" w:rsidP="009A1F8B">
      <w:pPr>
        <w:pStyle w:val="ListParagraph"/>
        <w:numPr>
          <w:ilvl w:val="0"/>
          <w:numId w:val="24"/>
        </w:numPr>
        <w:spacing w:before="120" w:line="276" w:lineRule="auto"/>
        <w:ind w:left="720" w:hanging="720"/>
        <w:contextualSpacing w:val="0"/>
        <w:jc w:val="left"/>
        <w:rPr>
          <w:rFonts w:eastAsiaTheme="minorEastAsia"/>
          <w:b/>
          <w:i/>
          <w:sz w:val="26"/>
          <w:szCs w:val="26"/>
          <w:lang w:val="pl-PL"/>
        </w:rPr>
      </w:pPr>
      <w:r w:rsidRPr="00187E1B">
        <w:rPr>
          <w:rFonts w:eastAsiaTheme="minorEastAsia"/>
          <w:b/>
          <w:i/>
          <w:sz w:val="26"/>
          <w:szCs w:val="26"/>
          <w:lang w:val="pl-PL"/>
        </w:rPr>
        <w:t xml:space="preserve">Về </w:t>
      </w:r>
      <w:r w:rsidR="00777131">
        <w:rPr>
          <w:rFonts w:eastAsiaTheme="minorEastAsia"/>
          <w:b/>
          <w:i/>
          <w:sz w:val="26"/>
          <w:szCs w:val="26"/>
          <w:lang w:val="pl-PL"/>
        </w:rPr>
        <w:t xml:space="preserve">hoạt động sản xuất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2D7CE8" w:rsidRPr="00CF350D" w:rsidTr="002D7CE8">
        <w:tc>
          <w:tcPr>
            <w:tcW w:w="4786" w:type="dxa"/>
          </w:tcPr>
          <w:p w:rsidR="002D7CE8" w:rsidRPr="00187E1B" w:rsidRDefault="00777131" w:rsidP="00217077">
            <w:pPr>
              <w:spacing w:line="264" w:lineRule="auto"/>
              <w:rPr>
                <w:b/>
                <w:i/>
                <w:sz w:val="26"/>
                <w:szCs w:val="26"/>
                <w:lang w:val="pl-PL"/>
              </w:rPr>
            </w:pPr>
            <w:r>
              <w:rPr>
                <w:b/>
                <w:i/>
                <w:sz w:val="26"/>
                <w:szCs w:val="26"/>
                <w:lang w:val="pl-PL"/>
              </w:rPr>
              <w:t>Mặc dù sản xuất</w:t>
            </w:r>
            <w:r w:rsidR="001133C7">
              <w:rPr>
                <w:b/>
                <w:i/>
                <w:sz w:val="26"/>
                <w:szCs w:val="26"/>
                <w:lang w:val="pl-PL"/>
              </w:rPr>
              <w:t xml:space="preserve"> </w:t>
            </w:r>
            <w:r>
              <w:rPr>
                <w:b/>
                <w:i/>
                <w:sz w:val="26"/>
                <w:szCs w:val="26"/>
                <w:lang w:val="pl-PL"/>
              </w:rPr>
              <w:t>tăng chậm hơn</w:t>
            </w:r>
            <w:r w:rsidR="002D7CE8" w:rsidRPr="00187E1B">
              <w:rPr>
                <w:b/>
                <w:i/>
                <w:sz w:val="26"/>
                <w:szCs w:val="26"/>
                <w:lang w:val="pl-PL"/>
              </w:rPr>
              <w:t xml:space="preserve"> so với</w:t>
            </w:r>
            <w:r w:rsidR="00747B83">
              <w:rPr>
                <w:b/>
                <w:i/>
                <w:sz w:val="26"/>
                <w:szCs w:val="26"/>
                <w:lang w:val="pl-PL"/>
              </w:rPr>
              <w:t xml:space="preserve"> cùng kỳ</w:t>
            </w:r>
            <w:r w:rsidR="002D7CE8" w:rsidRPr="00187E1B">
              <w:rPr>
                <w:b/>
                <w:i/>
                <w:sz w:val="26"/>
                <w:szCs w:val="26"/>
                <w:lang w:val="pl-PL"/>
              </w:rPr>
              <w:t xml:space="preserve"> năm 2015 nhưng </w:t>
            </w:r>
            <w:r>
              <w:rPr>
                <w:b/>
                <w:i/>
                <w:sz w:val="26"/>
                <w:szCs w:val="26"/>
                <w:lang w:val="pl-PL"/>
              </w:rPr>
              <w:t>vẫn trong xu hướng cải thiện</w:t>
            </w:r>
            <w:r w:rsidR="002D7CE8" w:rsidRPr="00187E1B">
              <w:rPr>
                <w:b/>
                <w:i/>
                <w:sz w:val="26"/>
                <w:szCs w:val="26"/>
                <w:lang w:val="pl-PL"/>
              </w:rPr>
              <w:t xml:space="preserve">. </w:t>
            </w:r>
          </w:p>
          <w:p w:rsidR="002D7CE8" w:rsidRPr="00187E1B" w:rsidRDefault="002D7CE8" w:rsidP="002D7CE8">
            <w:pPr>
              <w:spacing w:before="240" w:line="264" w:lineRule="auto"/>
              <w:rPr>
                <w:sz w:val="26"/>
                <w:szCs w:val="26"/>
                <w:lang w:val="pl-PL"/>
              </w:rPr>
            </w:pPr>
            <w:r w:rsidRPr="00187E1B">
              <w:rPr>
                <w:sz w:val="26"/>
                <w:szCs w:val="26"/>
                <w:lang w:val="pl-PL"/>
              </w:rPr>
              <w:t>Chỉ số PMI  tháng 7/2016 đạt 51,9 điểm, thấp hơn so với thán</w:t>
            </w:r>
            <w:r w:rsidR="00747B83">
              <w:rPr>
                <w:sz w:val="26"/>
                <w:szCs w:val="26"/>
                <w:lang w:val="pl-PL"/>
              </w:rPr>
              <w:t>g trước (T6/2016 đạt 52,6 điểm),</w:t>
            </w:r>
            <w:r w:rsidRPr="00187E1B">
              <w:rPr>
                <w:sz w:val="26"/>
                <w:szCs w:val="26"/>
                <w:lang w:val="pl-PL"/>
              </w:rPr>
              <w:t xml:space="preserve"> nhưng vẫn trên ngưỡng 50 điểm</w:t>
            </w:r>
            <w:r w:rsidR="00747B83">
              <w:rPr>
                <w:sz w:val="26"/>
                <w:szCs w:val="26"/>
                <w:lang w:val="pl-PL"/>
              </w:rPr>
              <w:t xml:space="preserve"> </w:t>
            </w:r>
            <w:r w:rsidR="00747B83" w:rsidRPr="00747B83">
              <w:rPr>
                <w:sz w:val="26"/>
                <w:szCs w:val="26"/>
                <w:lang w:val="pl-PL"/>
              </w:rPr>
              <w:t xml:space="preserve">phản ánh các điều kiện </w:t>
            </w:r>
            <w:r w:rsidR="00E226BC">
              <w:rPr>
                <w:sz w:val="26"/>
                <w:szCs w:val="26"/>
                <w:lang w:val="pl-PL"/>
              </w:rPr>
              <w:t xml:space="preserve">kinh doanh của lĩnh vực </w:t>
            </w:r>
            <w:r w:rsidR="00747B83" w:rsidRPr="00747B83">
              <w:rPr>
                <w:sz w:val="26"/>
                <w:szCs w:val="26"/>
                <w:lang w:val="pl-PL"/>
              </w:rPr>
              <w:t>sản xuất vẫn duy trì đà tăng khá tốt</w:t>
            </w:r>
            <w:r w:rsidRPr="00187E1B">
              <w:rPr>
                <w:sz w:val="26"/>
                <w:szCs w:val="26"/>
                <w:lang w:val="pl-PL"/>
              </w:rPr>
              <w:t xml:space="preserve">. </w:t>
            </w:r>
            <w:r w:rsidR="00E226BC">
              <w:rPr>
                <w:sz w:val="26"/>
                <w:szCs w:val="26"/>
                <w:lang w:val="pl-PL"/>
              </w:rPr>
              <w:t xml:space="preserve">Dù vậy, </w:t>
            </w:r>
            <w:r w:rsidRPr="00187E1B">
              <w:rPr>
                <w:sz w:val="26"/>
                <w:szCs w:val="26"/>
                <w:lang w:val="pl-PL"/>
              </w:rPr>
              <w:t xml:space="preserve">chỉ số sản xuất công nghiệp IIP 7 tháng đầu năm </w:t>
            </w:r>
            <w:r w:rsidR="00E226BC">
              <w:rPr>
                <w:sz w:val="26"/>
                <w:szCs w:val="26"/>
                <w:lang w:val="pl-PL"/>
              </w:rPr>
              <w:t>vẫn có mức tăng thấp hơn so với cùng kỳ năm trước (</w:t>
            </w:r>
            <w:r w:rsidR="00E226BC" w:rsidRPr="00187E1B">
              <w:rPr>
                <w:sz w:val="26"/>
                <w:szCs w:val="26"/>
                <w:lang w:val="pl-PL"/>
              </w:rPr>
              <w:t>7 tháng</w:t>
            </w:r>
            <w:r w:rsidR="00E226BC">
              <w:rPr>
                <w:sz w:val="26"/>
                <w:szCs w:val="26"/>
                <w:lang w:val="pl-PL"/>
              </w:rPr>
              <w:t>/2016</w:t>
            </w:r>
            <w:r w:rsidR="00E226BC" w:rsidRPr="00187E1B">
              <w:rPr>
                <w:sz w:val="26"/>
                <w:szCs w:val="26"/>
                <w:lang w:val="pl-PL"/>
              </w:rPr>
              <w:t xml:space="preserve"> </w:t>
            </w:r>
            <w:r w:rsidRPr="00187E1B">
              <w:rPr>
                <w:sz w:val="26"/>
                <w:szCs w:val="26"/>
                <w:lang w:val="pl-PL"/>
              </w:rPr>
              <w:t xml:space="preserve">tăng 7,2%, </w:t>
            </w:r>
            <w:r w:rsidR="00E226BC" w:rsidRPr="00187E1B">
              <w:rPr>
                <w:sz w:val="26"/>
                <w:szCs w:val="26"/>
                <w:lang w:val="pl-PL"/>
              </w:rPr>
              <w:t>7 tháng</w:t>
            </w:r>
            <w:r w:rsidR="00E226BC">
              <w:rPr>
                <w:sz w:val="26"/>
                <w:szCs w:val="26"/>
                <w:lang w:val="pl-PL"/>
              </w:rPr>
              <w:t xml:space="preserve">/2015 </w:t>
            </w:r>
            <w:r w:rsidRPr="00187E1B">
              <w:rPr>
                <w:sz w:val="26"/>
                <w:szCs w:val="26"/>
                <w:lang w:val="pl-PL"/>
              </w:rPr>
              <w:t>tăng 10%</w:t>
            </w:r>
            <w:r w:rsidR="00E226BC">
              <w:rPr>
                <w:sz w:val="26"/>
                <w:szCs w:val="26"/>
                <w:lang w:val="pl-PL"/>
              </w:rPr>
              <w:t>)</w:t>
            </w:r>
            <w:r w:rsidRPr="00187E1B">
              <w:rPr>
                <w:sz w:val="26"/>
                <w:szCs w:val="26"/>
                <w:lang w:val="pl-PL"/>
              </w:rPr>
              <w:t xml:space="preserve">. Nguyên nhân chủ yếu do suy giảm từ ngành khai khoáng, giảm 2,7% so với cùng kỳ 2015. Tuy nhiên, lĩnh vực công nghiệp chế biến chế tạo vẫn </w:t>
            </w:r>
            <w:r w:rsidR="00E226BC">
              <w:rPr>
                <w:sz w:val="26"/>
                <w:szCs w:val="26"/>
                <w:lang w:val="pl-PL"/>
              </w:rPr>
              <w:t xml:space="preserve">đang </w:t>
            </w:r>
            <w:r w:rsidRPr="00187E1B">
              <w:rPr>
                <w:sz w:val="26"/>
                <w:szCs w:val="26"/>
                <w:lang w:val="pl-PL"/>
              </w:rPr>
              <w:t xml:space="preserve">duy trì </w:t>
            </w:r>
            <w:r w:rsidR="00E226BC">
              <w:rPr>
                <w:sz w:val="26"/>
                <w:szCs w:val="26"/>
                <w:lang w:val="pl-PL"/>
              </w:rPr>
              <w:t xml:space="preserve">được </w:t>
            </w:r>
            <w:r w:rsidRPr="00187E1B">
              <w:rPr>
                <w:sz w:val="26"/>
                <w:szCs w:val="26"/>
                <w:lang w:val="pl-PL"/>
              </w:rPr>
              <w:t xml:space="preserve">mức tăng </w:t>
            </w:r>
            <w:r w:rsidR="00E226BC">
              <w:rPr>
                <w:sz w:val="26"/>
                <w:szCs w:val="26"/>
                <w:lang w:val="pl-PL"/>
              </w:rPr>
              <w:t>khá (</w:t>
            </w:r>
            <w:r w:rsidRPr="00187E1B">
              <w:rPr>
                <w:sz w:val="26"/>
                <w:szCs w:val="26"/>
                <w:lang w:val="pl-PL"/>
              </w:rPr>
              <w:t>9,9% trong 7 tháng đầu năm 2016 tương đương với cùng kỳ năm 2015</w:t>
            </w:r>
            <w:r w:rsidR="00E226BC">
              <w:rPr>
                <w:sz w:val="26"/>
                <w:szCs w:val="26"/>
                <w:lang w:val="pl-PL"/>
              </w:rPr>
              <w:t>)</w:t>
            </w:r>
            <w:r w:rsidRPr="00187E1B">
              <w:rPr>
                <w:sz w:val="26"/>
                <w:szCs w:val="26"/>
                <w:lang w:val="pl-PL"/>
              </w:rPr>
              <w:t xml:space="preserve"> và đóng góp tới 6,9 điểm % vào mức tăng chung toàn ngành công nghiệp.</w:t>
            </w:r>
          </w:p>
          <w:p w:rsidR="002D7CE8" w:rsidRDefault="002D7CE8" w:rsidP="002D7CE8">
            <w:pPr>
              <w:spacing w:before="120" w:line="264" w:lineRule="auto"/>
              <w:ind w:firstLine="567"/>
              <w:rPr>
                <w:rFonts w:eastAsiaTheme="minorEastAsia"/>
                <w:spacing w:val="-2"/>
                <w:sz w:val="26"/>
                <w:szCs w:val="26"/>
                <w:lang w:val="pl-PL"/>
              </w:rPr>
            </w:pPr>
          </w:p>
          <w:p w:rsidR="00B305AA" w:rsidRPr="00187E1B" w:rsidRDefault="00B305AA" w:rsidP="002D7CE8">
            <w:pPr>
              <w:spacing w:before="120" w:line="264" w:lineRule="auto"/>
              <w:ind w:firstLine="567"/>
              <w:rPr>
                <w:rFonts w:eastAsiaTheme="minorEastAsia"/>
                <w:spacing w:val="-2"/>
                <w:sz w:val="26"/>
                <w:szCs w:val="26"/>
                <w:lang w:val="pl-PL"/>
              </w:rPr>
            </w:pPr>
          </w:p>
        </w:tc>
        <w:tc>
          <w:tcPr>
            <w:tcW w:w="4253" w:type="dxa"/>
          </w:tcPr>
          <w:p w:rsidR="002D7CE8" w:rsidRPr="00187E1B" w:rsidRDefault="002D7CE8" w:rsidP="002D7CE8">
            <w:pPr>
              <w:spacing w:before="120" w:line="264" w:lineRule="auto"/>
              <w:ind w:firstLine="0"/>
              <w:jc w:val="center"/>
              <w:rPr>
                <w:b/>
                <w:sz w:val="24"/>
                <w:lang w:val="pl-PL"/>
              </w:rPr>
            </w:pPr>
            <w:r w:rsidRPr="00187E1B">
              <w:rPr>
                <w:b/>
                <w:sz w:val="24"/>
                <w:lang w:val="pl-PL"/>
              </w:rPr>
              <w:t>Chỉ số sản xuất công nghiệp, %</w:t>
            </w:r>
          </w:p>
          <w:p w:rsidR="002D7CE8" w:rsidRPr="00CF350D" w:rsidRDefault="002D7CE8" w:rsidP="002D7CE8">
            <w:pPr>
              <w:spacing w:before="120" w:line="264" w:lineRule="auto"/>
              <w:ind w:firstLine="0"/>
              <w:jc w:val="center"/>
              <w:rPr>
                <w:sz w:val="24"/>
              </w:rPr>
            </w:pPr>
            <w:r>
              <w:rPr>
                <w:noProof/>
              </w:rPr>
              <w:drawing>
                <wp:inline distT="0" distB="0" distL="0" distR="0">
                  <wp:extent cx="2519916" cy="177563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7CE8" w:rsidRDefault="002D7CE8" w:rsidP="002D7CE8">
            <w:pPr>
              <w:spacing w:before="120" w:line="264" w:lineRule="auto"/>
              <w:ind w:firstLine="0"/>
              <w:jc w:val="right"/>
              <w:rPr>
                <w:i/>
                <w:sz w:val="24"/>
              </w:rPr>
            </w:pPr>
            <w:r w:rsidRPr="00CF350D">
              <w:rPr>
                <w:i/>
                <w:sz w:val="24"/>
              </w:rPr>
              <w:t>Nguồn: TCTK</w:t>
            </w:r>
          </w:p>
          <w:p w:rsidR="002D7CE8" w:rsidRPr="00713B14" w:rsidRDefault="002D7CE8" w:rsidP="002D7CE8">
            <w:pPr>
              <w:spacing w:before="120" w:line="264" w:lineRule="auto"/>
              <w:ind w:firstLine="0"/>
              <w:jc w:val="center"/>
              <w:rPr>
                <w:b/>
              </w:rPr>
            </w:pPr>
            <w:r w:rsidRPr="002D7CE8">
              <w:rPr>
                <w:b/>
                <w:sz w:val="24"/>
              </w:rPr>
              <w:t>Chỉ số PMI</w:t>
            </w:r>
          </w:p>
          <w:p w:rsidR="002D7CE8" w:rsidRPr="002D7CE8" w:rsidRDefault="002D7CE8" w:rsidP="002D7CE8">
            <w:pPr>
              <w:spacing w:before="120" w:line="264" w:lineRule="auto"/>
              <w:ind w:firstLine="0"/>
              <w:jc w:val="center"/>
              <w:rPr>
                <w:sz w:val="16"/>
                <w:szCs w:val="16"/>
              </w:rPr>
            </w:pPr>
            <w:r w:rsidRPr="002D7CE8">
              <w:rPr>
                <w:noProof/>
                <w:sz w:val="16"/>
                <w:szCs w:val="16"/>
              </w:rPr>
              <w:drawing>
                <wp:inline distT="0" distB="0" distL="0" distR="0">
                  <wp:extent cx="2456121" cy="18288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7CE8" w:rsidRPr="002D7CE8" w:rsidRDefault="002D7CE8" w:rsidP="002D7CE8">
            <w:pPr>
              <w:spacing w:before="120" w:line="264" w:lineRule="auto"/>
              <w:jc w:val="right"/>
              <w:rPr>
                <w:i/>
              </w:rPr>
            </w:pPr>
            <w:r w:rsidRPr="002D7CE8">
              <w:rPr>
                <w:i/>
                <w:sz w:val="24"/>
              </w:rPr>
              <w:t>Nguồ</w:t>
            </w:r>
            <w:r w:rsidRPr="002D7CE8">
              <w:rPr>
                <w:i/>
              </w:rPr>
              <w:t>n: HSC</w:t>
            </w:r>
          </w:p>
        </w:tc>
      </w:tr>
    </w:tbl>
    <w:p w:rsidR="00730DAE" w:rsidRDefault="00730DAE" w:rsidP="00730DAE">
      <w:pPr>
        <w:spacing w:before="120" w:line="264" w:lineRule="auto"/>
        <w:ind w:left="360" w:firstLine="0"/>
        <w:jc w:val="left"/>
        <w:rPr>
          <w:rFonts w:ascii="Wingdings" w:eastAsiaTheme="minorEastAsia" w:hAnsi="Wingdings"/>
          <w:sz w:val="26"/>
          <w:szCs w:val="26"/>
          <w:highlight w:val="lightGray"/>
        </w:rPr>
      </w:pPr>
    </w:p>
    <w:p w:rsidR="00B305AA" w:rsidRDefault="00B305AA" w:rsidP="00730DAE">
      <w:pPr>
        <w:spacing w:before="120" w:line="264" w:lineRule="auto"/>
        <w:ind w:left="360" w:firstLine="0"/>
        <w:jc w:val="left"/>
        <w:rPr>
          <w:rFonts w:ascii="Wingdings" w:eastAsiaTheme="minorEastAsia" w:hAnsi="Wingdings"/>
          <w:sz w:val="26"/>
          <w:szCs w:val="26"/>
          <w:highlight w:val="lightGray"/>
        </w:rPr>
      </w:pPr>
    </w:p>
    <w:p w:rsidR="00E51184" w:rsidRPr="0067270C" w:rsidRDefault="00E51184" w:rsidP="00B305AA">
      <w:pPr>
        <w:pStyle w:val="ListParagraph"/>
        <w:numPr>
          <w:ilvl w:val="0"/>
          <w:numId w:val="24"/>
        </w:numPr>
        <w:tabs>
          <w:tab w:val="left" w:pos="567"/>
        </w:tabs>
        <w:spacing w:before="120" w:line="264" w:lineRule="auto"/>
        <w:ind w:left="720" w:hanging="720"/>
        <w:jc w:val="left"/>
        <w:rPr>
          <w:rFonts w:eastAsiaTheme="minorEastAsia"/>
          <w:b/>
          <w:i/>
          <w:sz w:val="26"/>
          <w:szCs w:val="26"/>
          <w:lang w:val="vi-VN"/>
        </w:rPr>
      </w:pPr>
      <w:r w:rsidRPr="0067270C">
        <w:rPr>
          <w:rFonts w:eastAsiaTheme="minorEastAsia"/>
          <w:b/>
          <w:i/>
          <w:sz w:val="26"/>
          <w:szCs w:val="26"/>
          <w:lang w:val="vi-VN"/>
        </w:rPr>
        <w:lastRenderedPageBreak/>
        <w:t>Về thặng dư thương mại</w:t>
      </w:r>
      <w:r w:rsidR="00AB3DD4" w:rsidRPr="00AB3DD4">
        <w:rPr>
          <w:rFonts w:eastAsiaTheme="minorEastAsia"/>
          <w:b/>
          <w:i/>
          <w:sz w:val="26"/>
          <w:szCs w:val="26"/>
          <w:lang w:val="vi-VN"/>
        </w:rPr>
        <w:t xml:space="preserve"> </w:t>
      </w:r>
    </w:p>
    <w:tbl>
      <w:tblPr>
        <w:tblStyle w:val="TableGrid"/>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31"/>
      </w:tblGrid>
      <w:tr w:rsidR="006702D1" w:rsidTr="006702D1">
        <w:trPr>
          <w:trHeight w:val="4667"/>
        </w:trPr>
        <w:tc>
          <w:tcPr>
            <w:tcW w:w="5070" w:type="dxa"/>
          </w:tcPr>
          <w:p w:rsidR="006702D1" w:rsidRPr="00187E1B" w:rsidRDefault="006702D1" w:rsidP="00EC5718">
            <w:pPr>
              <w:spacing w:before="120" w:line="264" w:lineRule="auto"/>
              <w:ind w:firstLine="567"/>
              <w:rPr>
                <w:sz w:val="26"/>
                <w:lang w:val="vi-VN"/>
              </w:rPr>
            </w:pPr>
            <w:r w:rsidRPr="00187E1B">
              <w:rPr>
                <w:sz w:val="26"/>
                <w:lang w:val="vi-VN"/>
              </w:rPr>
              <w:t>Cán cân thương mại của Việt Nam trong 7 tháng đầu năm thặng dư 2,26 tỷ USD (</w:t>
            </w:r>
            <w:r w:rsidR="00D652D0" w:rsidRPr="00D652D0">
              <w:rPr>
                <w:sz w:val="26"/>
                <w:lang w:val="vi-VN"/>
              </w:rPr>
              <w:t xml:space="preserve">cùng kỳ năm 2015 </w:t>
            </w:r>
            <w:r w:rsidRPr="00187E1B">
              <w:rPr>
                <w:sz w:val="26"/>
                <w:lang w:val="vi-VN"/>
              </w:rPr>
              <w:t>thâm hụt 3,85 tỷ USD)</w:t>
            </w:r>
            <w:r>
              <w:rPr>
                <w:rStyle w:val="FootnoteReference"/>
                <w:sz w:val="26"/>
              </w:rPr>
              <w:footnoteReference w:id="1"/>
            </w:r>
            <w:r w:rsidRPr="00187E1B">
              <w:rPr>
                <w:sz w:val="26"/>
                <w:lang w:val="vi-VN"/>
              </w:rPr>
              <w:t xml:space="preserve"> do xuất khẩu</w:t>
            </w:r>
            <w:r w:rsidR="00D652D0">
              <w:rPr>
                <w:sz w:val="26"/>
                <w:lang w:val="vi-VN"/>
              </w:rPr>
              <w:t xml:space="preserve"> tăng 5,4% trong khi nhập khẩu </w:t>
            </w:r>
            <w:r w:rsidRPr="00187E1B">
              <w:rPr>
                <w:sz w:val="26"/>
                <w:lang w:val="vi-VN"/>
              </w:rPr>
              <w:t xml:space="preserve">giảm 1,2% (cùng kỳ năm 2015 mức tăng tương ứng lần lượt là 9,02% và 15,5%). </w:t>
            </w:r>
          </w:p>
          <w:p w:rsidR="006702D1" w:rsidRPr="00777131" w:rsidRDefault="00777131" w:rsidP="00777131">
            <w:pPr>
              <w:spacing w:before="120" w:line="264" w:lineRule="auto"/>
              <w:ind w:firstLine="567"/>
              <w:rPr>
                <w:sz w:val="26"/>
                <w:lang w:val="vi-VN"/>
              </w:rPr>
            </w:pPr>
            <w:r w:rsidRPr="00777131">
              <w:rPr>
                <w:sz w:val="26"/>
                <w:lang w:val="vi-VN"/>
              </w:rPr>
              <w:t>X</w:t>
            </w:r>
            <w:r w:rsidR="006702D1" w:rsidRPr="00187E1B">
              <w:rPr>
                <w:sz w:val="26"/>
                <w:lang w:val="vi-VN"/>
              </w:rPr>
              <w:t xml:space="preserve">uất  khẩu </w:t>
            </w:r>
            <w:r w:rsidRPr="00777131">
              <w:rPr>
                <w:sz w:val="26"/>
                <w:lang w:val="vi-VN"/>
              </w:rPr>
              <w:t xml:space="preserve">tăng chậm hơn kế hoạch do kinh tế thế giới còn khó khăn, giá hàng hóa thế vẫn ở mức thấp. </w:t>
            </w:r>
            <w:r w:rsidR="006702D1" w:rsidRPr="00187E1B">
              <w:rPr>
                <w:sz w:val="26"/>
                <w:lang w:val="vi-VN"/>
              </w:rPr>
              <w:t xml:space="preserve">Tuy nhiên, </w:t>
            </w:r>
            <w:r>
              <w:rPr>
                <w:sz w:val="26"/>
                <w:lang w:val="vi-VN"/>
              </w:rPr>
              <w:t xml:space="preserve">xuất </w:t>
            </w:r>
            <w:r w:rsidR="006702D1" w:rsidRPr="00187E1B">
              <w:rPr>
                <w:sz w:val="26"/>
                <w:lang w:val="vi-VN"/>
              </w:rPr>
              <w:t xml:space="preserve"> khẩu được dự báo sẽ </w:t>
            </w:r>
            <w:r w:rsidRPr="00777131">
              <w:rPr>
                <w:sz w:val="26"/>
                <w:lang w:val="vi-VN"/>
              </w:rPr>
              <w:t xml:space="preserve">cải thiện trong </w:t>
            </w:r>
            <w:r>
              <w:rPr>
                <w:sz w:val="26"/>
                <w:lang w:val="vi-VN"/>
              </w:rPr>
              <w:t>những tháng cuối năm</w:t>
            </w:r>
            <w:r w:rsidRPr="00777131">
              <w:rPr>
                <w:sz w:val="26"/>
                <w:lang w:val="vi-VN"/>
              </w:rPr>
              <w:t xml:space="preserve"> do xu hướng phục hồi giá hàng hóa thế giới.</w:t>
            </w:r>
          </w:p>
        </w:tc>
        <w:tc>
          <w:tcPr>
            <w:tcW w:w="4131" w:type="dxa"/>
          </w:tcPr>
          <w:p w:rsidR="006702D1" w:rsidRPr="00187E1B" w:rsidRDefault="006702D1" w:rsidP="006702D1">
            <w:pPr>
              <w:spacing w:before="120" w:line="264" w:lineRule="auto"/>
              <w:ind w:firstLine="34"/>
              <w:jc w:val="center"/>
              <w:rPr>
                <w:b/>
                <w:sz w:val="24"/>
                <w:lang w:val="vi-VN"/>
              </w:rPr>
            </w:pPr>
            <w:r w:rsidRPr="00187E1B">
              <w:rPr>
                <w:b/>
                <w:sz w:val="24"/>
                <w:lang w:val="vi-VN"/>
              </w:rPr>
              <w:t>Cán cân thương mại Việt Nam 7 tháng giai đoạn 2013 – 2015, tỷ USD</w:t>
            </w:r>
          </w:p>
          <w:p w:rsidR="006702D1" w:rsidRPr="00EE0C40" w:rsidRDefault="006702D1" w:rsidP="006702D1">
            <w:pPr>
              <w:spacing w:before="120" w:line="264" w:lineRule="auto"/>
              <w:ind w:firstLine="34"/>
              <w:jc w:val="center"/>
              <w:rPr>
                <w:b/>
                <w:sz w:val="22"/>
              </w:rPr>
            </w:pPr>
            <w:r w:rsidRPr="00EE0C40">
              <w:rPr>
                <w:b/>
                <w:noProof/>
                <w:sz w:val="22"/>
              </w:rPr>
              <w:drawing>
                <wp:inline distT="0" distB="0" distL="0" distR="0">
                  <wp:extent cx="2438400" cy="1905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02D1" w:rsidRPr="00EE0C40" w:rsidRDefault="006702D1" w:rsidP="006702D1">
            <w:pPr>
              <w:spacing w:before="120" w:line="264" w:lineRule="auto"/>
              <w:ind w:firstLine="34"/>
              <w:jc w:val="right"/>
              <w:rPr>
                <w:i/>
                <w:sz w:val="22"/>
              </w:rPr>
            </w:pPr>
            <w:r w:rsidRPr="009C4C76">
              <w:rPr>
                <w:i/>
                <w:sz w:val="24"/>
              </w:rPr>
              <w:t>Nguồn: TCTK</w:t>
            </w:r>
          </w:p>
        </w:tc>
      </w:tr>
    </w:tbl>
    <w:p w:rsidR="00E51184" w:rsidRPr="006702D1" w:rsidRDefault="006702D1" w:rsidP="00AA4AC9">
      <w:pPr>
        <w:spacing w:before="120" w:line="264" w:lineRule="auto"/>
        <w:rPr>
          <w:sz w:val="26"/>
        </w:rPr>
      </w:pPr>
      <w:r>
        <w:rPr>
          <w:sz w:val="26"/>
        </w:rPr>
        <w:t xml:space="preserve">Khu vực FDI tiếp </w:t>
      </w:r>
      <w:r w:rsidR="00F0294B">
        <w:rPr>
          <w:sz w:val="26"/>
        </w:rPr>
        <w:t xml:space="preserve">tục là nhân tố chủ lực trong cả hai lĩnh vực </w:t>
      </w:r>
      <w:r>
        <w:rPr>
          <w:sz w:val="26"/>
        </w:rPr>
        <w:t xml:space="preserve">xuất khẩu và nhập khẩu khi chiếm tới 65% tổng kim ngạch xuất nhập khẩu cả nước và là khu vực mang lại thặng dư cho cán cân thương mại. Tốc độ tăng trưởng của khu vực này tiếp tục được kỳ vọng tích cực hơn nữa trong thời gian tới khi nguồn vốn FDI chảy vào Việt Nam tiếp tục tăng mạnh. </w:t>
      </w:r>
      <w:r w:rsidRPr="00593F54">
        <w:rPr>
          <w:sz w:val="26"/>
        </w:rPr>
        <w:t xml:space="preserve">Tính chung trong </w:t>
      </w:r>
      <w:r w:rsidR="00B64148">
        <w:rPr>
          <w:sz w:val="26"/>
        </w:rPr>
        <w:t>8</w:t>
      </w:r>
      <w:r w:rsidRPr="00593F54">
        <w:rPr>
          <w:sz w:val="26"/>
        </w:rPr>
        <w:t xml:space="preserve"> tháng đầu năm 2016, tổng vốn đăng ký cấp mới và tăng thêm là </w:t>
      </w:r>
      <w:r w:rsidR="00B64148">
        <w:rPr>
          <w:sz w:val="26"/>
        </w:rPr>
        <w:t>14,37</w:t>
      </w:r>
      <w:r w:rsidRPr="00593F54">
        <w:rPr>
          <w:sz w:val="26"/>
        </w:rPr>
        <w:t xml:space="preserve"> tỷ USD, tăng </w:t>
      </w:r>
      <w:r w:rsidR="00B64148">
        <w:rPr>
          <w:sz w:val="26"/>
        </w:rPr>
        <w:t>7,7</w:t>
      </w:r>
      <w:r w:rsidRPr="00593F54">
        <w:rPr>
          <w:sz w:val="26"/>
        </w:rPr>
        <w:t xml:space="preserve">% so với cùng </w:t>
      </w:r>
      <w:r w:rsidR="00B64148">
        <w:rPr>
          <w:sz w:val="26"/>
        </w:rPr>
        <w:t>kỳ năm 2015. Tính đến ngày 20/8</w:t>
      </w:r>
      <w:r w:rsidRPr="00593F54">
        <w:rPr>
          <w:sz w:val="26"/>
        </w:rPr>
        <w:t xml:space="preserve">/2016, ước tính các dự án đầu tư trực tiếp nước ngoài đã giải ngân được </w:t>
      </w:r>
      <w:r w:rsidR="00B64148">
        <w:rPr>
          <w:sz w:val="26"/>
        </w:rPr>
        <w:t>9,8</w:t>
      </w:r>
      <w:r w:rsidRPr="00593F54">
        <w:rPr>
          <w:sz w:val="26"/>
        </w:rPr>
        <w:t xml:space="preserve"> tỷ USD, tăng </w:t>
      </w:r>
      <w:r w:rsidR="00B64148">
        <w:rPr>
          <w:sz w:val="26"/>
        </w:rPr>
        <w:t>8,9</w:t>
      </w:r>
      <w:r w:rsidRPr="00593F54">
        <w:rPr>
          <w:sz w:val="26"/>
        </w:rPr>
        <w:t>% so với cùng kỳ năm 2015.</w:t>
      </w:r>
    </w:p>
    <w:p w:rsidR="00E51184" w:rsidRPr="0067270C" w:rsidRDefault="00E51184" w:rsidP="00AA4AC9">
      <w:pPr>
        <w:pStyle w:val="ListParagraph"/>
        <w:numPr>
          <w:ilvl w:val="0"/>
          <w:numId w:val="24"/>
        </w:numPr>
        <w:spacing w:before="120" w:after="0" w:line="276" w:lineRule="auto"/>
        <w:ind w:left="634" w:hanging="634"/>
        <w:contextualSpacing w:val="0"/>
        <w:jc w:val="left"/>
        <w:rPr>
          <w:rFonts w:eastAsiaTheme="minorEastAsia"/>
          <w:b/>
          <w:i/>
          <w:sz w:val="26"/>
          <w:szCs w:val="26"/>
        </w:rPr>
      </w:pPr>
      <w:r w:rsidRPr="0067270C">
        <w:rPr>
          <w:rFonts w:eastAsiaTheme="minorEastAsia"/>
          <w:b/>
          <w:i/>
          <w:sz w:val="26"/>
          <w:szCs w:val="26"/>
        </w:rPr>
        <w:t>Về cân đối Ngân sách Nhà nước</w:t>
      </w:r>
      <w:r w:rsidR="00B0520C">
        <w:rPr>
          <w:rFonts w:eastAsiaTheme="minorEastAsia"/>
          <w:b/>
          <w:i/>
          <w:sz w:val="26"/>
          <w:szCs w:val="26"/>
        </w:rPr>
        <w:t xml:space="preserve"> </w:t>
      </w: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252"/>
      </w:tblGrid>
      <w:tr w:rsidR="000703CB" w:rsidRPr="006D4EA1" w:rsidTr="00E51184">
        <w:tc>
          <w:tcPr>
            <w:tcW w:w="4962" w:type="dxa"/>
          </w:tcPr>
          <w:p w:rsidR="00B305AA" w:rsidRPr="00B305AA" w:rsidRDefault="00D740A4" w:rsidP="00B305AA">
            <w:pPr>
              <w:tabs>
                <w:tab w:val="left" w:pos="754"/>
              </w:tabs>
              <w:spacing w:before="120" w:line="264" w:lineRule="auto"/>
              <w:ind w:firstLine="460"/>
              <w:rPr>
                <w:sz w:val="26"/>
                <w:szCs w:val="26"/>
                <w:lang w:val="vi-VN"/>
              </w:rPr>
            </w:pPr>
            <w:r w:rsidRPr="00D740A4">
              <w:rPr>
                <w:sz w:val="26"/>
                <w:szCs w:val="26"/>
                <w:lang w:val="pl-PL"/>
              </w:rPr>
              <w:t xml:space="preserve">- </w:t>
            </w:r>
            <w:r w:rsidR="00142C7F" w:rsidRPr="00142C7F">
              <w:rPr>
                <w:sz w:val="26"/>
              </w:rPr>
              <w:t>Tính đến 15/8, thu NSNN lũy kế mới chỉ đạt 59,5% dự toán, thấp hơn so với mức 63,5% của cùng kỳ 2015</w:t>
            </w:r>
            <w:r w:rsidR="00142C7F">
              <w:rPr>
                <w:sz w:val="26"/>
              </w:rPr>
              <w:t>.</w:t>
            </w:r>
            <w:r w:rsidR="00142C7F" w:rsidRPr="00142C7F">
              <w:rPr>
                <w:sz w:val="26"/>
              </w:rPr>
              <w:t xml:space="preserve"> </w:t>
            </w:r>
            <w:r w:rsidR="00142C7F">
              <w:rPr>
                <w:sz w:val="26"/>
              </w:rPr>
              <w:t>T</w:t>
            </w:r>
            <w:r w:rsidR="00142C7F" w:rsidRPr="00142C7F">
              <w:rPr>
                <w:sz w:val="26"/>
              </w:rPr>
              <w:t>rong đó thu nội địa đạt 61,9% dự toán (cùng kỳ 2015: 67,2%), thu từ dầu thô đạt 45,2% (cùng kỳ 2015: 48,2%), thu cân đối ngân sách từ XNK đạt 52,4% dự toán (cùng kỳ 2015: 58%).</w:t>
            </w:r>
            <w:r w:rsidR="00142C7F">
              <w:rPr>
                <w:rStyle w:val="FootnoteReference"/>
                <w:sz w:val="26"/>
                <w:szCs w:val="26"/>
                <w:lang w:val="vi-VN"/>
              </w:rPr>
              <w:footnoteReference w:id="2"/>
            </w:r>
            <w:r w:rsidR="00142C7F">
              <w:rPr>
                <w:sz w:val="26"/>
                <w:szCs w:val="26"/>
              </w:rPr>
              <w:t xml:space="preserve"> T</w:t>
            </w:r>
            <w:r w:rsidRPr="008A014A">
              <w:rPr>
                <w:sz w:val="26"/>
                <w:szCs w:val="26"/>
                <w:lang w:val="vi-VN"/>
              </w:rPr>
              <w:t xml:space="preserve">hu từ dầu thô và thu từ khu vực </w:t>
            </w:r>
            <w:r w:rsidR="00217077">
              <w:rPr>
                <w:sz w:val="26"/>
                <w:szCs w:val="26"/>
              </w:rPr>
              <w:t xml:space="preserve">DNNN </w:t>
            </w:r>
            <w:r w:rsidR="00C834B1">
              <w:rPr>
                <w:sz w:val="26"/>
                <w:szCs w:val="26"/>
              </w:rPr>
              <w:t xml:space="preserve">là những khoản thu </w:t>
            </w:r>
            <w:r w:rsidRPr="008F4468">
              <w:rPr>
                <w:sz w:val="26"/>
                <w:szCs w:val="26"/>
                <w:lang w:val="vi-VN"/>
              </w:rPr>
              <w:t>đạt thấp nhất</w:t>
            </w:r>
            <w:r w:rsidR="00142C7F">
              <w:rPr>
                <w:sz w:val="26"/>
                <w:szCs w:val="26"/>
              </w:rPr>
              <w:t xml:space="preserve"> trong các khoản thu chính (</w:t>
            </w:r>
            <w:r w:rsidR="00142C7F" w:rsidRPr="008A014A">
              <w:rPr>
                <w:sz w:val="26"/>
                <w:szCs w:val="26"/>
                <w:lang w:val="vi-VN"/>
              </w:rPr>
              <w:t>tính đến 15/8</w:t>
            </w:r>
            <w:r w:rsidR="00142C7F">
              <w:rPr>
                <w:sz w:val="26"/>
                <w:szCs w:val="26"/>
              </w:rPr>
              <w:t xml:space="preserve">, </w:t>
            </w:r>
            <w:r w:rsidRPr="008F4468">
              <w:rPr>
                <w:sz w:val="26"/>
                <w:szCs w:val="26"/>
                <w:lang w:val="vi-VN"/>
              </w:rPr>
              <w:t xml:space="preserve">lần lượt bằng </w:t>
            </w:r>
            <w:r w:rsidR="00142C7F">
              <w:rPr>
                <w:sz w:val="26"/>
                <w:szCs w:val="26"/>
                <w:lang w:val="vi-VN"/>
              </w:rPr>
              <w:t>45,2% và 49,2% dự toán năm</w:t>
            </w:r>
            <w:r w:rsidRPr="008A014A">
              <w:rPr>
                <w:sz w:val="26"/>
                <w:szCs w:val="26"/>
                <w:lang w:val="vi-VN"/>
              </w:rPr>
              <w:t xml:space="preserve">, thấp hơn so với </w:t>
            </w:r>
            <w:r w:rsidR="00217077">
              <w:rPr>
                <w:sz w:val="26"/>
                <w:szCs w:val="26"/>
              </w:rPr>
              <w:t xml:space="preserve">mức </w:t>
            </w:r>
            <w:r w:rsidRPr="008A014A">
              <w:rPr>
                <w:sz w:val="26"/>
                <w:szCs w:val="26"/>
                <w:lang w:val="vi-VN"/>
              </w:rPr>
              <w:t>48,2% và 61,7% của cùng kỳ năm trước</w:t>
            </w:r>
            <w:r w:rsidR="00C834B1">
              <w:rPr>
                <w:sz w:val="26"/>
                <w:szCs w:val="26"/>
              </w:rPr>
              <w:t>)</w:t>
            </w:r>
            <w:r w:rsidRPr="008A014A">
              <w:rPr>
                <w:sz w:val="26"/>
                <w:szCs w:val="26"/>
                <w:lang w:val="vi-VN"/>
              </w:rPr>
              <w:t xml:space="preserve">. Nguyên nhân do giá dầu thanh toán bình quân của Việt Nam thấp hơn giá xây </w:t>
            </w:r>
            <w:r w:rsidRPr="008A014A">
              <w:rPr>
                <w:sz w:val="26"/>
                <w:szCs w:val="26"/>
                <w:lang w:val="vi-VN"/>
              </w:rPr>
              <w:lastRenderedPageBreak/>
              <w:t>dựng dự toán</w:t>
            </w:r>
            <w:r w:rsidRPr="008A014A">
              <w:rPr>
                <w:rStyle w:val="FootnoteReference"/>
                <w:sz w:val="26"/>
                <w:szCs w:val="26"/>
                <w:lang w:val="vi-VN"/>
              </w:rPr>
              <w:footnoteReference w:id="3"/>
            </w:r>
            <w:r w:rsidRPr="008A014A">
              <w:rPr>
                <w:sz w:val="26"/>
                <w:szCs w:val="26"/>
                <w:lang w:val="vi-VN"/>
              </w:rPr>
              <w:t>, tiến độ thu tiền bán cổ phần sở hữu nhà nước chậm, hoạt động sản xuất kinh doanh của các doanh nghiệp khai thác dầu, khí giảm.</w:t>
            </w:r>
          </w:p>
          <w:p w:rsidR="00D740A4" w:rsidRPr="00D740A4" w:rsidRDefault="00B305AA" w:rsidP="00B305AA">
            <w:pPr>
              <w:tabs>
                <w:tab w:val="left" w:pos="754"/>
              </w:tabs>
              <w:spacing w:before="120" w:line="264" w:lineRule="auto"/>
              <w:ind w:firstLine="460"/>
              <w:rPr>
                <w:sz w:val="26"/>
                <w:szCs w:val="26"/>
                <w:lang w:val="vi-VN"/>
              </w:rPr>
            </w:pPr>
            <w:r w:rsidRPr="00B305AA">
              <w:rPr>
                <w:sz w:val="26"/>
                <w:szCs w:val="26"/>
                <w:lang w:val="vi-VN"/>
              </w:rPr>
              <w:t xml:space="preserve">- </w:t>
            </w:r>
            <w:r w:rsidR="00D740A4" w:rsidRPr="00026FD9">
              <w:rPr>
                <w:spacing w:val="-2"/>
                <w:sz w:val="26"/>
                <w:szCs w:val="26"/>
                <w:lang w:val="vi-VN"/>
              </w:rPr>
              <w:t>Trong</w:t>
            </w:r>
            <w:r w:rsidR="00217077" w:rsidRPr="00026FD9">
              <w:rPr>
                <w:spacing w:val="-2"/>
                <w:sz w:val="26"/>
                <w:szCs w:val="26"/>
                <w:lang w:val="vi-VN"/>
              </w:rPr>
              <w:t xml:space="preserve"> nửa đầu </w:t>
            </w:r>
            <w:r w:rsidR="00D740A4" w:rsidRPr="00026FD9">
              <w:rPr>
                <w:spacing w:val="-2"/>
                <w:sz w:val="26"/>
                <w:szCs w:val="26"/>
                <w:lang w:val="vi-VN"/>
              </w:rPr>
              <w:t xml:space="preserve">tháng 8, chi đầu tư xây dựng cơ bản </w:t>
            </w:r>
            <w:r w:rsidR="00C834B1" w:rsidRPr="00026FD9">
              <w:rPr>
                <w:spacing w:val="-2"/>
                <w:sz w:val="26"/>
                <w:szCs w:val="26"/>
                <w:lang w:val="vi-VN"/>
              </w:rPr>
              <w:t>đã tăng khá tốt so với tháng 7 (đạt 15 nghìn tỷ đồng)</w:t>
            </w:r>
            <w:r w:rsidR="00D740A4" w:rsidRPr="00026FD9">
              <w:rPr>
                <w:spacing w:val="-2"/>
                <w:sz w:val="26"/>
                <w:szCs w:val="26"/>
                <w:lang w:val="vi-VN"/>
              </w:rPr>
              <w:t xml:space="preserve">. Điều này cho thấy Nghị quyết 60 đã tác động tích cực đến tiến độ giải ngân vốn đầu tư xây dựng cơ bản </w:t>
            </w:r>
            <w:r w:rsidR="00217077" w:rsidRPr="00026FD9">
              <w:rPr>
                <w:spacing w:val="-2"/>
                <w:sz w:val="26"/>
                <w:szCs w:val="26"/>
                <w:lang w:val="vi-VN"/>
              </w:rPr>
              <w:t>(tính đến 15/8, đạt</w:t>
            </w:r>
            <w:r w:rsidR="00D740A4" w:rsidRPr="00026FD9">
              <w:rPr>
                <w:spacing w:val="-2"/>
                <w:sz w:val="26"/>
                <w:szCs w:val="26"/>
                <w:lang w:val="vi-VN"/>
              </w:rPr>
              <w:t xml:space="preserve"> 42,2% dự toán, </w:t>
            </w:r>
            <w:r w:rsidR="00217077" w:rsidRPr="00026FD9">
              <w:rPr>
                <w:spacing w:val="-2"/>
                <w:sz w:val="26"/>
                <w:szCs w:val="26"/>
                <w:lang w:val="vi-VN"/>
              </w:rPr>
              <w:t xml:space="preserve">tăng khá mạnh </w:t>
            </w:r>
            <w:r w:rsidR="00D740A4" w:rsidRPr="00026FD9">
              <w:rPr>
                <w:spacing w:val="-2"/>
                <w:sz w:val="26"/>
                <w:szCs w:val="26"/>
                <w:lang w:val="vi-VN"/>
              </w:rPr>
              <w:t>so với 7 tháng đầu năm 2016</w:t>
            </w:r>
            <w:r w:rsidR="00217077" w:rsidRPr="00026FD9">
              <w:rPr>
                <w:spacing w:val="-2"/>
                <w:sz w:val="26"/>
                <w:szCs w:val="26"/>
                <w:lang w:val="vi-VN"/>
              </w:rPr>
              <w:t xml:space="preserve"> (</w:t>
            </w:r>
            <w:r w:rsidR="00026FD9" w:rsidRPr="00026FD9">
              <w:rPr>
                <w:spacing w:val="-2"/>
                <w:sz w:val="26"/>
                <w:szCs w:val="26"/>
                <w:lang w:val="vi-VN"/>
              </w:rPr>
              <w:t xml:space="preserve">chỉ </w:t>
            </w:r>
            <w:r w:rsidR="00217077" w:rsidRPr="00026FD9">
              <w:rPr>
                <w:spacing w:val="-2"/>
                <w:sz w:val="26"/>
                <w:szCs w:val="26"/>
                <w:lang w:val="vi-VN"/>
              </w:rPr>
              <w:t>đạt 36,2% dự toán)</w:t>
            </w:r>
            <w:r w:rsidR="00D740A4" w:rsidRPr="00026FD9">
              <w:rPr>
                <w:spacing w:val="-2"/>
                <w:sz w:val="26"/>
                <w:szCs w:val="26"/>
                <w:lang w:val="vi-VN"/>
              </w:rPr>
              <w:t>.</w:t>
            </w:r>
          </w:p>
        </w:tc>
        <w:tc>
          <w:tcPr>
            <w:tcW w:w="4252" w:type="dxa"/>
          </w:tcPr>
          <w:p w:rsidR="000703CB" w:rsidRPr="00D740A4" w:rsidRDefault="00D740A4" w:rsidP="00D740A4">
            <w:pPr>
              <w:tabs>
                <w:tab w:val="left" w:pos="720"/>
              </w:tabs>
              <w:spacing w:before="120" w:line="264" w:lineRule="auto"/>
              <w:ind w:firstLine="0"/>
              <w:jc w:val="center"/>
              <w:rPr>
                <w:rFonts w:eastAsiaTheme="minorEastAsia"/>
                <w:sz w:val="24"/>
              </w:rPr>
            </w:pPr>
            <w:r w:rsidRPr="00D740A4">
              <w:rPr>
                <w:b/>
                <w:sz w:val="24"/>
                <w:szCs w:val="26"/>
                <w:lang w:val="vi-VN"/>
              </w:rPr>
              <w:lastRenderedPageBreak/>
              <w:t xml:space="preserve">Thu NSNN </w:t>
            </w:r>
            <w:r w:rsidRPr="00D740A4">
              <w:rPr>
                <w:b/>
                <w:sz w:val="24"/>
                <w:szCs w:val="26"/>
              </w:rPr>
              <w:t>8</w:t>
            </w:r>
            <w:r w:rsidRPr="00D740A4">
              <w:rPr>
                <w:b/>
                <w:sz w:val="24"/>
                <w:szCs w:val="26"/>
                <w:lang w:val="vi-VN"/>
              </w:rPr>
              <w:t xml:space="preserve"> tháng, %</w:t>
            </w:r>
          </w:p>
          <w:p w:rsidR="00D740A4" w:rsidRPr="00D740A4" w:rsidRDefault="00D740A4" w:rsidP="00D740A4">
            <w:pPr>
              <w:tabs>
                <w:tab w:val="left" w:pos="720"/>
              </w:tabs>
              <w:spacing w:before="120" w:line="264" w:lineRule="auto"/>
              <w:ind w:firstLine="0"/>
              <w:jc w:val="center"/>
              <w:rPr>
                <w:rFonts w:eastAsiaTheme="minorEastAsia"/>
                <w:sz w:val="24"/>
              </w:rPr>
            </w:pPr>
            <w:r w:rsidRPr="00D740A4">
              <w:rPr>
                <w:noProof/>
                <w:sz w:val="24"/>
              </w:rPr>
              <w:drawing>
                <wp:inline distT="0" distB="0" distL="0" distR="0">
                  <wp:extent cx="2562225" cy="22764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A4" w:rsidRPr="00D740A4" w:rsidRDefault="00D740A4" w:rsidP="00A047D8">
            <w:pPr>
              <w:tabs>
                <w:tab w:val="left" w:pos="720"/>
              </w:tabs>
              <w:spacing w:before="120" w:line="264" w:lineRule="auto"/>
              <w:ind w:firstLine="0"/>
              <w:jc w:val="right"/>
              <w:rPr>
                <w:i/>
                <w:sz w:val="24"/>
                <w:szCs w:val="26"/>
              </w:rPr>
            </w:pPr>
            <w:r w:rsidRPr="00D740A4">
              <w:rPr>
                <w:i/>
                <w:sz w:val="24"/>
                <w:szCs w:val="26"/>
                <w:lang w:val="vi-VN"/>
              </w:rPr>
              <w:t>Nguồn: BTC,</w:t>
            </w:r>
            <w:r w:rsidR="00AA4AC9">
              <w:rPr>
                <w:i/>
                <w:sz w:val="24"/>
                <w:szCs w:val="26"/>
              </w:rPr>
              <w:t>UBGSTCQG</w:t>
            </w:r>
            <w:r w:rsidRPr="00D740A4">
              <w:rPr>
                <w:i/>
                <w:sz w:val="24"/>
                <w:szCs w:val="26"/>
                <w:lang w:val="vi-VN"/>
              </w:rPr>
              <w:t xml:space="preserve"> tổng hợp</w:t>
            </w:r>
          </w:p>
          <w:p w:rsidR="00D740A4" w:rsidRPr="00D740A4" w:rsidRDefault="00D740A4" w:rsidP="00D740A4">
            <w:pPr>
              <w:tabs>
                <w:tab w:val="left" w:pos="720"/>
              </w:tabs>
              <w:spacing w:before="120" w:line="264" w:lineRule="auto"/>
              <w:ind w:firstLine="0"/>
              <w:jc w:val="center"/>
              <w:rPr>
                <w:b/>
                <w:sz w:val="24"/>
                <w:szCs w:val="26"/>
              </w:rPr>
            </w:pPr>
            <w:r w:rsidRPr="00D740A4">
              <w:rPr>
                <w:b/>
                <w:sz w:val="24"/>
                <w:szCs w:val="26"/>
                <w:lang w:val="vi-VN"/>
              </w:rPr>
              <w:lastRenderedPageBreak/>
              <w:t xml:space="preserve">Chi NSNN </w:t>
            </w:r>
            <w:r w:rsidRPr="00D740A4">
              <w:rPr>
                <w:b/>
                <w:sz w:val="24"/>
                <w:szCs w:val="26"/>
              </w:rPr>
              <w:t>8</w:t>
            </w:r>
            <w:r w:rsidRPr="00D740A4">
              <w:rPr>
                <w:b/>
                <w:sz w:val="24"/>
                <w:szCs w:val="26"/>
                <w:lang w:val="vi-VN"/>
              </w:rPr>
              <w:t xml:space="preserve"> tháng, %</w:t>
            </w:r>
          </w:p>
          <w:p w:rsidR="00D740A4" w:rsidRPr="00D740A4" w:rsidRDefault="00D740A4" w:rsidP="00D740A4">
            <w:pPr>
              <w:tabs>
                <w:tab w:val="left" w:pos="720"/>
              </w:tabs>
              <w:spacing w:before="120" w:line="264" w:lineRule="auto"/>
              <w:ind w:firstLine="0"/>
              <w:jc w:val="center"/>
              <w:rPr>
                <w:rFonts w:eastAsiaTheme="minorEastAsia"/>
                <w:sz w:val="24"/>
              </w:rPr>
            </w:pPr>
            <w:r w:rsidRPr="00D740A4">
              <w:rPr>
                <w:noProof/>
                <w:sz w:val="24"/>
              </w:rPr>
              <w:drawing>
                <wp:inline distT="0" distB="0" distL="0" distR="0">
                  <wp:extent cx="2562447" cy="1903228"/>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40A4" w:rsidRPr="00D740A4" w:rsidRDefault="00D740A4" w:rsidP="00AA4AC9">
            <w:pPr>
              <w:tabs>
                <w:tab w:val="left" w:pos="2160"/>
              </w:tabs>
              <w:ind w:firstLine="0"/>
              <w:jc w:val="right"/>
              <w:rPr>
                <w:rFonts w:eastAsiaTheme="minorEastAsia"/>
                <w:sz w:val="24"/>
              </w:rPr>
            </w:pPr>
            <w:r w:rsidRPr="00D740A4">
              <w:rPr>
                <w:i/>
                <w:sz w:val="24"/>
                <w:szCs w:val="26"/>
                <w:lang w:val="vi-VN"/>
              </w:rPr>
              <w:t xml:space="preserve">Nguồn: BTC, </w:t>
            </w:r>
            <w:r w:rsidR="00AA4AC9">
              <w:rPr>
                <w:i/>
                <w:sz w:val="24"/>
                <w:szCs w:val="26"/>
              </w:rPr>
              <w:t>UBGSTCQG</w:t>
            </w:r>
            <w:r w:rsidRPr="00D740A4">
              <w:rPr>
                <w:i/>
                <w:sz w:val="24"/>
                <w:szCs w:val="26"/>
                <w:lang w:val="vi-VN"/>
              </w:rPr>
              <w:t xml:space="preserve"> tổng hợp</w:t>
            </w:r>
          </w:p>
        </w:tc>
      </w:tr>
    </w:tbl>
    <w:p w:rsidR="00F23533" w:rsidRPr="00B0520C" w:rsidRDefault="00C834B1" w:rsidP="00B305AA">
      <w:pPr>
        <w:pStyle w:val="ListParagraph"/>
        <w:numPr>
          <w:ilvl w:val="0"/>
          <w:numId w:val="30"/>
        </w:numPr>
        <w:tabs>
          <w:tab w:val="left" w:pos="567"/>
        </w:tabs>
        <w:spacing w:before="120" w:line="276" w:lineRule="auto"/>
        <w:ind w:left="0" w:firstLine="426"/>
        <w:rPr>
          <w:rFonts w:eastAsiaTheme="minorHAnsi"/>
          <w:b/>
          <w:sz w:val="26"/>
          <w:szCs w:val="26"/>
          <w:lang w:val="vi-VN"/>
        </w:rPr>
      </w:pPr>
      <w:r w:rsidRPr="00DE7584">
        <w:rPr>
          <w:spacing w:val="-2"/>
          <w:sz w:val="26"/>
          <w:szCs w:val="26"/>
          <w:lang w:val="vi-VN"/>
        </w:rPr>
        <w:lastRenderedPageBreak/>
        <w:t xml:space="preserve">Bội chi NSNN lũy kế đến 15/8 </w:t>
      </w:r>
      <w:r w:rsidRPr="00DE7584">
        <w:rPr>
          <w:spacing w:val="-2"/>
          <w:sz w:val="26"/>
          <w:szCs w:val="26"/>
        </w:rPr>
        <w:t>đạt</w:t>
      </w:r>
      <w:r w:rsidRPr="00DE7584">
        <w:rPr>
          <w:spacing w:val="-2"/>
          <w:sz w:val="26"/>
          <w:szCs w:val="26"/>
          <w:lang w:val="vi-VN"/>
        </w:rPr>
        <w:t xml:space="preserve"> 111.475 tỷ đồng (giảm 1.135 tỷ đồng so với cùng kỳ năm 2015), bằng 43,8% dự toán năm (cùng kỳ 2015: 49,8%)</w:t>
      </w:r>
      <w:r w:rsidR="00BA1690" w:rsidRPr="00DE7584">
        <w:rPr>
          <w:spacing w:val="-2"/>
          <w:sz w:val="26"/>
          <w:szCs w:val="26"/>
        </w:rPr>
        <w:t xml:space="preserve">. Nguyên nhân bội chi NSNN thấp hơn là </w:t>
      </w:r>
      <w:r w:rsidRPr="00DE7584">
        <w:rPr>
          <w:spacing w:val="-2"/>
          <w:sz w:val="26"/>
          <w:szCs w:val="26"/>
        </w:rPr>
        <w:t xml:space="preserve">do </w:t>
      </w:r>
      <w:r w:rsidR="00D740A4" w:rsidRPr="00DE7584">
        <w:rPr>
          <w:spacing w:val="-2"/>
          <w:sz w:val="26"/>
          <w:szCs w:val="26"/>
          <w:lang w:val="vi-VN"/>
        </w:rPr>
        <w:t>các khoản thu tăng nhanh hơn tốc độ tăng chi đã giảm bớt áp lực đối với cân đối</w:t>
      </w:r>
      <w:r w:rsidR="00BA1690" w:rsidRPr="00DE7584">
        <w:rPr>
          <w:spacing w:val="-2"/>
          <w:sz w:val="26"/>
          <w:szCs w:val="26"/>
        </w:rPr>
        <w:t xml:space="preserve"> NSNN</w:t>
      </w:r>
      <w:r w:rsidR="00D740A4" w:rsidRPr="00DE7584">
        <w:rPr>
          <w:spacing w:val="-2"/>
          <w:sz w:val="26"/>
          <w:szCs w:val="26"/>
          <w:lang w:val="vi-VN"/>
        </w:rPr>
        <w:t>.</w:t>
      </w:r>
      <w:r w:rsidRPr="00DE7584">
        <w:rPr>
          <w:spacing w:val="-2"/>
          <w:sz w:val="26"/>
          <w:szCs w:val="26"/>
        </w:rPr>
        <w:t xml:space="preserve"> </w:t>
      </w:r>
      <w:r w:rsidR="00D740A4" w:rsidRPr="00DE7584">
        <w:rPr>
          <w:spacing w:val="-2"/>
          <w:sz w:val="26"/>
          <w:szCs w:val="26"/>
          <w:lang w:val="vi-VN"/>
        </w:rPr>
        <w:t xml:space="preserve">Tuy nhiên nhiều khả năng bội chi NSNN sẽ tăng cao trong </w:t>
      </w:r>
      <w:r w:rsidR="00461BD7" w:rsidRPr="00DE7584">
        <w:rPr>
          <w:spacing w:val="-2"/>
          <w:sz w:val="26"/>
          <w:szCs w:val="26"/>
        </w:rPr>
        <w:t>những tháng còn lại của năm 2016</w:t>
      </w:r>
      <w:r w:rsidR="00D740A4" w:rsidRPr="00DE7584">
        <w:rPr>
          <w:spacing w:val="-2"/>
          <w:sz w:val="26"/>
          <w:szCs w:val="26"/>
          <w:lang w:val="vi-VN"/>
        </w:rPr>
        <w:t xml:space="preserve"> do chi đầu tư XDCB</w:t>
      </w:r>
      <w:r w:rsidRPr="00DE7584">
        <w:rPr>
          <w:spacing w:val="-2"/>
          <w:sz w:val="26"/>
          <w:szCs w:val="26"/>
        </w:rPr>
        <w:t xml:space="preserve"> đang có </w:t>
      </w:r>
      <w:r w:rsidRPr="00DE7584">
        <w:rPr>
          <w:spacing w:val="-2"/>
          <w:sz w:val="26"/>
          <w:szCs w:val="26"/>
          <w:lang w:val="vi-VN"/>
        </w:rPr>
        <w:t>tốc độ tăng nhanh</w:t>
      </w:r>
      <w:r w:rsidR="00D740A4" w:rsidRPr="00B0520C">
        <w:rPr>
          <w:sz w:val="26"/>
          <w:szCs w:val="26"/>
          <w:lang w:val="vi-VN"/>
        </w:rPr>
        <w:t>.</w:t>
      </w:r>
    </w:p>
    <w:p w:rsidR="00763991" w:rsidRPr="00843DF8" w:rsidRDefault="00763991" w:rsidP="00A047D8">
      <w:pPr>
        <w:numPr>
          <w:ilvl w:val="0"/>
          <w:numId w:val="16"/>
        </w:numPr>
        <w:tabs>
          <w:tab w:val="left" w:pos="567"/>
        </w:tabs>
        <w:spacing w:before="240" w:line="264" w:lineRule="auto"/>
        <w:ind w:left="720"/>
        <w:jc w:val="left"/>
        <w:rPr>
          <w:rFonts w:eastAsiaTheme="minorHAnsi"/>
          <w:b/>
          <w:sz w:val="26"/>
          <w:szCs w:val="26"/>
          <w:lang w:val="vi-VN"/>
        </w:rPr>
      </w:pPr>
      <w:r w:rsidRPr="000703CB">
        <w:rPr>
          <w:rFonts w:eastAsiaTheme="minorHAnsi"/>
          <w:b/>
          <w:sz w:val="26"/>
          <w:szCs w:val="26"/>
          <w:lang w:val="vi-VN"/>
        </w:rPr>
        <w:t xml:space="preserve">THỊ TRƯỜNG TÀI CHÍNH – TIỀN </w:t>
      </w:r>
      <w:r w:rsidRPr="00843DF8">
        <w:rPr>
          <w:rFonts w:eastAsiaTheme="minorHAnsi"/>
          <w:b/>
          <w:sz w:val="26"/>
          <w:szCs w:val="26"/>
          <w:lang w:val="vi-VN"/>
        </w:rPr>
        <w:t>TỆ</w:t>
      </w:r>
    </w:p>
    <w:p w:rsidR="00763991" w:rsidRPr="00187E1B" w:rsidRDefault="00763991" w:rsidP="00A047D8">
      <w:pPr>
        <w:tabs>
          <w:tab w:val="left" w:pos="284"/>
        </w:tabs>
        <w:spacing w:before="120" w:line="264" w:lineRule="auto"/>
        <w:ind w:firstLine="0"/>
        <w:jc w:val="left"/>
        <w:rPr>
          <w:rFonts w:eastAsiaTheme="minorHAnsi"/>
          <w:b/>
          <w:sz w:val="26"/>
          <w:szCs w:val="26"/>
          <w:lang w:val="vi-VN"/>
        </w:rPr>
      </w:pPr>
      <w:r w:rsidRPr="008A417F">
        <w:rPr>
          <w:rFonts w:eastAsiaTheme="minorHAnsi"/>
          <w:b/>
          <w:sz w:val="26"/>
          <w:szCs w:val="26"/>
          <w:lang w:val="vi-VN"/>
        </w:rPr>
        <w:t>1.</w:t>
      </w:r>
      <w:r w:rsidRPr="008A417F">
        <w:rPr>
          <w:rFonts w:eastAsiaTheme="minorHAnsi"/>
          <w:b/>
          <w:sz w:val="26"/>
          <w:szCs w:val="26"/>
          <w:lang w:val="vi-VN"/>
        </w:rPr>
        <w:tab/>
        <w:t xml:space="preserve"> Thị trường tiền tệ - ngân hàng</w:t>
      </w:r>
    </w:p>
    <w:p w:rsidR="00153AAE" w:rsidRPr="001C0D2B" w:rsidRDefault="00153AAE" w:rsidP="00153AAE">
      <w:pPr>
        <w:spacing w:before="60" w:after="60" w:line="288" w:lineRule="auto"/>
        <w:ind w:firstLine="714"/>
        <w:rPr>
          <w:sz w:val="26"/>
          <w:szCs w:val="26"/>
          <w:lang w:val="vi-VN"/>
        </w:rPr>
      </w:pPr>
      <w:r w:rsidRPr="00EC4639">
        <w:rPr>
          <w:b/>
          <w:i/>
          <w:sz w:val="26"/>
          <w:szCs w:val="26"/>
          <w:lang w:val="vi-VN"/>
        </w:rPr>
        <w:t xml:space="preserve">Hệ thống tài chính trong 8 tháng đầu năm nhìn chung đã đảm bảo tốt khả năng cung ứng vốn cho nền kinh tế </w:t>
      </w:r>
      <w:r w:rsidRPr="00EC4639">
        <w:rPr>
          <w:sz w:val="26"/>
          <w:szCs w:val="26"/>
          <w:lang w:val="vi-VN"/>
        </w:rPr>
        <w:t>do thanh khoản của khu vực ngân hàng khá dồi dào</w:t>
      </w:r>
      <w:r w:rsidRPr="001C0D2B">
        <w:rPr>
          <w:sz w:val="26"/>
          <w:szCs w:val="26"/>
          <w:lang w:val="vi-VN"/>
        </w:rPr>
        <w:t>. Tính đến 31/07/2016, tổng nguồn vốn cung ứng cho nền kinh tế đạt 7 triệu 489 nghìn tỷ đồng, tăng 12,5% so với cuối năm 2015. Trong đó, vốn cung ứng của khu vực ngân hàng chiếm 74,9%, tăng 9,1% so với đầu năm, còn lại thị trường vốn (gồm cổ phiếu và trái phiếu) đóng góp xấp xỉ 25,1% tổng cung ứng vốn, tăng 24,3% so với đầu năm.</w:t>
      </w:r>
    </w:p>
    <w:p w:rsidR="00153AAE" w:rsidRPr="002C1C62" w:rsidRDefault="00153AAE" w:rsidP="00153AAE">
      <w:pPr>
        <w:spacing w:before="120" w:line="264" w:lineRule="auto"/>
        <w:ind w:firstLine="709"/>
        <w:rPr>
          <w:sz w:val="26"/>
          <w:szCs w:val="26"/>
          <w:lang w:val="vi-VN"/>
        </w:rPr>
      </w:pPr>
      <w:r w:rsidRPr="0048356A">
        <w:rPr>
          <w:sz w:val="26"/>
          <w:szCs w:val="26"/>
          <w:lang w:val="vi-VN"/>
        </w:rPr>
        <w:t xml:space="preserve">Tính đến </w:t>
      </w:r>
      <w:r w:rsidRPr="006F41CE">
        <w:rPr>
          <w:sz w:val="26"/>
          <w:szCs w:val="26"/>
          <w:lang w:val="vi-VN"/>
        </w:rPr>
        <w:t>cuối tháng 8/2016</w:t>
      </w:r>
      <w:r w:rsidRPr="0048356A">
        <w:rPr>
          <w:sz w:val="26"/>
          <w:szCs w:val="26"/>
          <w:lang w:val="vi-VN"/>
        </w:rPr>
        <w:t>, tổng phương tiện thanh toán</w:t>
      </w:r>
      <w:r w:rsidRPr="006F41CE">
        <w:rPr>
          <w:sz w:val="26"/>
          <w:szCs w:val="26"/>
          <w:lang w:val="vi-VN"/>
        </w:rPr>
        <w:t xml:space="preserve"> M2</w:t>
      </w:r>
      <w:r w:rsidRPr="0048356A">
        <w:rPr>
          <w:sz w:val="26"/>
          <w:szCs w:val="26"/>
          <w:lang w:val="vi-VN"/>
        </w:rPr>
        <w:t xml:space="preserve"> tăng</w:t>
      </w:r>
      <w:r w:rsidRPr="006F41CE">
        <w:rPr>
          <w:sz w:val="26"/>
          <w:szCs w:val="26"/>
          <w:lang w:val="vi-VN"/>
        </w:rPr>
        <w:t xml:space="preserve"> 10,5</w:t>
      </w:r>
      <w:r w:rsidRPr="0048356A">
        <w:rPr>
          <w:sz w:val="26"/>
          <w:szCs w:val="26"/>
          <w:lang w:val="vi-VN"/>
        </w:rPr>
        <w:t>% so với đầu năm 2015</w:t>
      </w:r>
      <w:r w:rsidRPr="006F41CE">
        <w:rPr>
          <w:sz w:val="26"/>
          <w:szCs w:val="26"/>
          <w:lang w:val="vi-VN"/>
        </w:rPr>
        <w:t>.</w:t>
      </w:r>
      <w:r w:rsidRPr="0048356A">
        <w:rPr>
          <w:sz w:val="26"/>
          <w:szCs w:val="26"/>
          <w:lang w:val="vi-VN"/>
        </w:rPr>
        <w:t xml:space="preserve"> </w:t>
      </w:r>
      <w:r w:rsidRPr="009263A9">
        <w:rPr>
          <w:sz w:val="26"/>
          <w:szCs w:val="26"/>
          <w:lang w:val="vi-VN"/>
        </w:rPr>
        <w:t>V</w:t>
      </w:r>
      <w:r w:rsidRPr="006F41CE">
        <w:rPr>
          <w:sz w:val="26"/>
          <w:szCs w:val="26"/>
          <w:lang w:val="vi-VN"/>
        </w:rPr>
        <w:t xml:space="preserve">ốn </w:t>
      </w:r>
      <w:r w:rsidRPr="009263A9">
        <w:rPr>
          <w:sz w:val="26"/>
          <w:szCs w:val="26"/>
          <w:lang w:val="vi-VN"/>
        </w:rPr>
        <w:t>huy động từ hệ thống các TCTD tăng khoảng 11% so với đầu năm, song tín dụng chỉ tăng ở mức tương đương so với cùng kỳ</w:t>
      </w:r>
      <w:r w:rsidRPr="002C1C62">
        <w:rPr>
          <w:sz w:val="26"/>
          <w:szCs w:val="26"/>
          <w:lang w:val="vi-VN"/>
        </w:rPr>
        <w:t xml:space="preserve"> </w:t>
      </w:r>
      <w:r w:rsidRPr="009263A9">
        <w:rPr>
          <w:sz w:val="26"/>
          <w:szCs w:val="26"/>
          <w:lang w:val="vi-VN"/>
        </w:rPr>
        <w:t>năm trước (</w:t>
      </w:r>
      <w:r w:rsidR="009F7028">
        <w:rPr>
          <w:sz w:val="26"/>
          <w:szCs w:val="26"/>
          <w:lang w:val="vi-VN"/>
        </w:rPr>
        <w:t>9,2</w:t>
      </w:r>
      <w:r w:rsidRPr="009263A9">
        <w:rPr>
          <w:sz w:val="26"/>
          <w:szCs w:val="26"/>
          <w:lang w:val="vi-VN"/>
        </w:rPr>
        <w:t xml:space="preserve">%) </w:t>
      </w:r>
      <w:r w:rsidRPr="002C1C62">
        <w:rPr>
          <w:sz w:val="26"/>
          <w:szCs w:val="26"/>
          <w:lang w:val="vi-VN"/>
        </w:rPr>
        <w:t xml:space="preserve">và chưa có dấu hiệu bứt phá bước </w:t>
      </w:r>
      <w:r w:rsidRPr="009263A9">
        <w:rPr>
          <w:sz w:val="26"/>
          <w:szCs w:val="26"/>
          <w:lang w:val="vi-VN"/>
        </w:rPr>
        <w:t xml:space="preserve">trong </w:t>
      </w:r>
      <w:r w:rsidRPr="002C1C62">
        <w:rPr>
          <w:sz w:val="26"/>
          <w:szCs w:val="26"/>
          <w:lang w:val="vi-VN"/>
        </w:rPr>
        <w:t>quý III</w:t>
      </w:r>
      <w:r w:rsidRPr="009263A9">
        <w:rPr>
          <w:sz w:val="26"/>
          <w:szCs w:val="26"/>
          <w:lang w:val="vi-VN"/>
        </w:rPr>
        <w:t>/2016</w:t>
      </w:r>
      <w:r w:rsidRPr="002C1C62">
        <w:rPr>
          <w:sz w:val="26"/>
          <w:szCs w:val="26"/>
          <w:lang w:val="vi-VN"/>
        </w:rPr>
        <w:t xml:space="preserve">. </w:t>
      </w:r>
      <w:r w:rsidRPr="00EC4639">
        <w:rPr>
          <w:sz w:val="26"/>
          <w:szCs w:val="26"/>
          <w:lang w:val="vi-VN"/>
        </w:rPr>
        <w:t xml:space="preserve">Trong đó, </w:t>
      </w:r>
      <w:r w:rsidRPr="002C1C62">
        <w:rPr>
          <w:sz w:val="26"/>
          <w:szCs w:val="26"/>
          <w:lang w:val="vi-VN"/>
        </w:rPr>
        <w:t>tín dụng các khu vực ưu tiên tăng trưởng thấp hơn mức chung của toàn hệ thống</w:t>
      </w:r>
      <w:r w:rsidRPr="0048356A">
        <w:rPr>
          <w:rStyle w:val="FootnoteReference"/>
          <w:sz w:val="26"/>
          <w:szCs w:val="26"/>
        </w:rPr>
        <w:footnoteReference w:id="4"/>
      </w:r>
      <w:r w:rsidRPr="002C1C62">
        <w:rPr>
          <w:sz w:val="26"/>
          <w:szCs w:val="26"/>
          <w:lang w:val="vi-VN"/>
        </w:rPr>
        <w:t xml:space="preserve"> cho thấy khả năng hấp thụ vốn của nền kinh tế chưa cao.</w:t>
      </w:r>
    </w:p>
    <w:p w:rsidR="00C834B1" w:rsidRPr="00153AAE" w:rsidRDefault="00153AAE" w:rsidP="00153AAE">
      <w:pPr>
        <w:spacing w:before="120" w:line="264" w:lineRule="auto"/>
        <w:ind w:firstLine="709"/>
        <w:rPr>
          <w:spacing w:val="2"/>
          <w:sz w:val="26"/>
          <w:szCs w:val="26"/>
          <w:lang w:val="vi-VN"/>
        </w:rPr>
      </w:pPr>
      <w:r w:rsidRPr="00EC4639">
        <w:rPr>
          <w:b/>
          <w:i/>
          <w:sz w:val="26"/>
          <w:szCs w:val="26"/>
          <w:lang w:val="vi-VN"/>
        </w:rPr>
        <w:t>Thanh khoản trên thị trường liên ngân hàng trong tháng 8 tiếp tục dồi dào</w:t>
      </w:r>
      <w:r w:rsidRPr="002C1C62">
        <w:rPr>
          <w:sz w:val="26"/>
          <w:szCs w:val="26"/>
          <w:lang w:val="vi-VN"/>
        </w:rPr>
        <w:t>. Biểu hiện</w:t>
      </w:r>
      <w:r w:rsidR="00E71910" w:rsidRPr="00E71910">
        <w:rPr>
          <w:sz w:val="26"/>
          <w:szCs w:val="26"/>
          <w:lang w:val="vi-VN"/>
        </w:rPr>
        <w:t xml:space="preserve">: </w:t>
      </w:r>
      <w:r w:rsidRPr="002C1C62">
        <w:rPr>
          <w:sz w:val="26"/>
          <w:szCs w:val="26"/>
          <w:lang w:val="vi-VN"/>
        </w:rPr>
        <w:t xml:space="preserve">(i) </w:t>
      </w:r>
      <w:r w:rsidRPr="0048356A">
        <w:rPr>
          <w:sz w:val="26"/>
          <w:szCs w:val="26"/>
          <w:lang w:val="vi-VN"/>
        </w:rPr>
        <w:t xml:space="preserve">mặt bằng lãi suất liên ngân hàng giảm </w:t>
      </w:r>
      <w:r w:rsidRPr="002C1C62">
        <w:rPr>
          <w:sz w:val="26"/>
          <w:szCs w:val="26"/>
          <w:lang w:val="vi-VN"/>
        </w:rPr>
        <w:t xml:space="preserve">khoảng 0,3-0,5 điểm % ở tất cả các kỳ hạn </w:t>
      </w:r>
      <w:r w:rsidRPr="0048356A">
        <w:rPr>
          <w:sz w:val="26"/>
          <w:szCs w:val="26"/>
          <w:lang w:val="vi-VN"/>
        </w:rPr>
        <w:t>so với tháng trước và duy trì ở mức thấp</w:t>
      </w:r>
      <w:r w:rsidRPr="0048356A">
        <w:rPr>
          <w:rStyle w:val="FootnoteReference"/>
          <w:sz w:val="26"/>
          <w:szCs w:val="26"/>
          <w:lang w:val="vi-VN"/>
        </w:rPr>
        <w:footnoteReference w:id="5"/>
      </w:r>
      <w:r w:rsidRPr="0048356A">
        <w:rPr>
          <w:sz w:val="26"/>
          <w:szCs w:val="26"/>
          <w:lang w:val="vi-VN"/>
        </w:rPr>
        <w:t xml:space="preserve">, trong khi khối lượng giao dịch </w:t>
      </w:r>
      <w:r w:rsidRPr="0048356A">
        <w:rPr>
          <w:sz w:val="26"/>
          <w:szCs w:val="26"/>
          <w:lang w:val="vi-VN"/>
        </w:rPr>
        <w:lastRenderedPageBreak/>
        <w:t>bình quân giảm 24% so với tháng trước</w:t>
      </w:r>
      <w:r w:rsidRPr="0048356A">
        <w:rPr>
          <w:rStyle w:val="FootnoteReference"/>
          <w:sz w:val="26"/>
          <w:szCs w:val="26"/>
        </w:rPr>
        <w:footnoteReference w:id="6"/>
      </w:r>
      <w:r w:rsidRPr="002C1C62">
        <w:rPr>
          <w:sz w:val="26"/>
          <w:szCs w:val="26"/>
          <w:lang w:val="vi-VN"/>
        </w:rPr>
        <w:t xml:space="preserve">; (ii) </w:t>
      </w:r>
      <w:r w:rsidRPr="0048356A">
        <w:rPr>
          <w:sz w:val="26"/>
          <w:szCs w:val="26"/>
          <w:lang w:val="vi-VN"/>
        </w:rPr>
        <w:t xml:space="preserve">NHNN tiếp tục mua USD trên thị trường và </w:t>
      </w:r>
      <w:r w:rsidRPr="002C1C62">
        <w:rPr>
          <w:sz w:val="26"/>
          <w:szCs w:val="26"/>
          <w:lang w:val="vi-VN"/>
        </w:rPr>
        <w:t xml:space="preserve">đồng thời mở rộng </w:t>
      </w:r>
      <w:r w:rsidRPr="0048356A">
        <w:rPr>
          <w:sz w:val="26"/>
          <w:szCs w:val="26"/>
          <w:lang w:val="vi-VN"/>
        </w:rPr>
        <w:t>phát hành tín phiếu kỳ hạn ngắn (14 ngày)</w:t>
      </w:r>
      <w:r w:rsidRPr="002C1C62">
        <w:rPr>
          <w:sz w:val="26"/>
          <w:szCs w:val="26"/>
          <w:lang w:val="vi-VN"/>
        </w:rPr>
        <w:t>.</w:t>
      </w:r>
      <w:r w:rsidRPr="0048356A">
        <w:rPr>
          <w:sz w:val="26"/>
          <w:szCs w:val="26"/>
          <w:lang w:val="vi-VN"/>
        </w:rPr>
        <w:t xml:space="preserve"> </w:t>
      </w:r>
      <w:r w:rsidRPr="002C1C62">
        <w:rPr>
          <w:sz w:val="26"/>
          <w:szCs w:val="26"/>
          <w:lang w:val="vi-VN"/>
        </w:rPr>
        <w:t xml:space="preserve">Trong tháng 8, </w:t>
      </w:r>
      <w:r w:rsidRPr="0048356A">
        <w:rPr>
          <w:sz w:val="26"/>
          <w:szCs w:val="26"/>
          <w:lang w:val="vi-VN"/>
        </w:rPr>
        <w:t xml:space="preserve">các TCTD </w:t>
      </w:r>
      <w:r w:rsidRPr="00EC4639">
        <w:rPr>
          <w:sz w:val="26"/>
          <w:szCs w:val="26"/>
          <w:lang w:val="vi-VN"/>
        </w:rPr>
        <w:t xml:space="preserve">đã </w:t>
      </w:r>
      <w:r>
        <w:rPr>
          <w:sz w:val="26"/>
          <w:szCs w:val="26"/>
          <w:lang w:val="vi-VN"/>
        </w:rPr>
        <w:t>hấp thụ hết</w:t>
      </w:r>
      <w:r w:rsidRPr="00EC4639">
        <w:rPr>
          <w:sz w:val="26"/>
          <w:szCs w:val="26"/>
          <w:lang w:val="vi-VN"/>
        </w:rPr>
        <w:t xml:space="preserve"> lượng tín phiếu kỳ ngắn hạn do NHNN phát hành </w:t>
      </w:r>
      <w:r w:rsidRPr="0048356A">
        <w:rPr>
          <w:sz w:val="26"/>
          <w:szCs w:val="26"/>
          <w:lang w:val="vi-VN"/>
        </w:rPr>
        <w:t>với mức lãi suất rất thấp trong khoảng từ 0,7% đến 1,2%/năm, thấp hơn lãi suất LNH kỳ hạn 2 tuần (</w:t>
      </w:r>
      <w:r w:rsidRPr="00EC4639">
        <w:rPr>
          <w:sz w:val="26"/>
          <w:szCs w:val="26"/>
          <w:lang w:val="vi-VN"/>
        </w:rPr>
        <w:t>1,28%</w:t>
      </w:r>
      <w:r w:rsidRPr="0048356A">
        <w:rPr>
          <w:sz w:val="26"/>
          <w:szCs w:val="26"/>
          <w:lang w:val="vi-VN"/>
        </w:rPr>
        <w:t>/năm</w:t>
      </w:r>
      <w:r w:rsidRPr="00EC4639">
        <w:rPr>
          <w:sz w:val="26"/>
          <w:szCs w:val="26"/>
          <w:lang w:val="vi-VN"/>
        </w:rPr>
        <w:t>)</w:t>
      </w:r>
      <w:r w:rsidRPr="002C1C62">
        <w:rPr>
          <w:sz w:val="26"/>
          <w:szCs w:val="26"/>
          <w:lang w:val="vi-VN"/>
        </w:rPr>
        <w:t xml:space="preserve"> càng cho thấy thanh khoản NH khá dư thừa</w:t>
      </w:r>
      <w:r w:rsidRPr="00EC4639">
        <w:rPr>
          <w:sz w:val="26"/>
          <w:szCs w:val="26"/>
          <w:lang w:val="vi-VN"/>
        </w:rPr>
        <w:t>. Theo thống kê t</w:t>
      </w:r>
      <w:r w:rsidRPr="0048356A">
        <w:rPr>
          <w:sz w:val="26"/>
          <w:szCs w:val="26"/>
          <w:lang w:val="vi-VN"/>
        </w:rPr>
        <w:t xml:space="preserve">ính đến 22/8/2016, NHNN </w:t>
      </w:r>
      <w:r w:rsidRPr="00EC4639">
        <w:rPr>
          <w:sz w:val="26"/>
          <w:szCs w:val="26"/>
          <w:lang w:val="vi-VN"/>
        </w:rPr>
        <w:t xml:space="preserve">đã </w:t>
      </w:r>
      <w:r w:rsidRPr="0048356A">
        <w:rPr>
          <w:sz w:val="26"/>
          <w:szCs w:val="26"/>
          <w:lang w:val="vi-VN"/>
        </w:rPr>
        <w:t>hút ròng hơn 128.000 tỷ đồng</w:t>
      </w:r>
      <w:r>
        <w:rPr>
          <w:sz w:val="26"/>
          <w:szCs w:val="26"/>
          <w:lang w:val="vi-VN"/>
        </w:rPr>
        <w:t xml:space="preserve"> qua thị trường </w:t>
      </w:r>
      <w:r w:rsidRPr="00153AAE">
        <w:rPr>
          <w:sz w:val="26"/>
          <w:szCs w:val="26"/>
          <w:lang w:val="vi-VN"/>
        </w:rPr>
        <w:t>OMO.</w:t>
      </w:r>
    </w:p>
    <w:tbl>
      <w:tblPr>
        <w:tblStyle w:val="TableGrid"/>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5"/>
        <w:gridCol w:w="4982"/>
      </w:tblGrid>
      <w:tr w:rsidR="000436AB" w:rsidRPr="001340A7" w:rsidTr="00153AAE">
        <w:trPr>
          <w:trHeight w:val="3688"/>
        </w:trPr>
        <w:tc>
          <w:tcPr>
            <w:tcW w:w="4325" w:type="dxa"/>
          </w:tcPr>
          <w:p w:rsidR="000436AB" w:rsidRPr="00B6557F" w:rsidRDefault="000436AB" w:rsidP="000436AB">
            <w:pPr>
              <w:pStyle w:val="ListParagraph"/>
              <w:ind w:left="0" w:firstLine="0"/>
              <w:jc w:val="center"/>
              <w:rPr>
                <w:b/>
                <w:sz w:val="24"/>
                <w:lang w:val="vi-VN"/>
              </w:rPr>
            </w:pPr>
            <w:r w:rsidRPr="00B6557F">
              <w:rPr>
                <w:b/>
                <w:sz w:val="24"/>
                <w:lang w:val="vi-VN"/>
              </w:rPr>
              <w:t>Khối lượng bơm (hút) ròng của NHNN trên thị trường mở, tỷ đồng</w:t>
            </w:r>
          </w:p>
          <w:p w:rsidR="000436AB" w:rsidRPr="001340A7" w:rsidRDefault="000436AB" w:rsidP="00EE4280">
            <w:pPr>
              <w:pStyle w:val="ListParagraph"/>
              <w:spacing w:line="360" w:lineRule="auto"/>
              <w:ind w:left="0" w:firstLine="34"/>
              <w:jc w:val="right"/>
              <w:rPr>
                <w:i/>
                <w:sz w:val="24"/>
              </w:rPr>
            </w:pPr>
            <w:r>
              <w:rPr>
                <w:noProof/>
              </w:rPr>
              <w:drawing>
                <wp:inline distT="0" distB="0" distL="0" distR="0" wp14:anchorId="28877715" wp14:editId="6FF029FB">
                  <wp:extent cx="2581275" cy="17049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36AB" w:rsidRPr="001340A7" w:rsidRDefault="000436AB" w:rsidP="000436AB">
            <w:pPr>
              <w:pStyle w:val="ListParagraph"/>
              <w:spacing w:after="0" w:line="360" w:lineRule="auto"/>
              <w:ind w:left="0" w:firstLine="34"/>
              <w:jc w:val="right"/>
              <w:rPr>
                <w:i/>
                <w:sz w:val="24"/>
              </w:rPr>
            </w:pPr>
            <w:r w:rsidRPr="001340A7">
              <w:rPr>
                <w:i/>
                <w:sz w:val="24"/>
              </w:rPr>
              <w:t>Nguồn: HSC</w:t>
            </w:r>
          </w:p>
        </w:tc>
        <w:tc>
          <w:tcPr>
            <w:tcW w:w="4982" w:type="dxa"/>
          </w:tcPr>
          <w:p w:rsidR="000436AB" w:rsidRPr="001340A7" w:rsidRDefault="00F55E6A" w:rsidP="000436AB">
            <w:pPr>
              <w:pStyle w:val="ListParagraph"/>
              <w:ind w:left="0"/>
              <w:jc w:val="center"/>
              <w:rPr>
                <w:b/>
                <w:sz w:val="24"/>
              </w:rPr>
            </w:pPr>
            <w:r>
              <w:rPr>
                <w:b/>
                <w:sz w:val="24"/>
              </w:rPr>
              <w:t>Lãi suất</w:t>
            </w:r>
            <w:r w:rsidR="000436AB" w:rsidRPr="001340A7">
              <w:rPr>
                <w:b/>
                <w:sz w:val="24"/>
              </w:rPr>
              <w:t xml:space="preserve"> thị trường LNH</w:t>
            </w:r>
            <w:r w:rsidR="000436AB">
              <w:rPr>
                <w:b/>
                <w:sz w:val="24"/>
              </w:rPr>
              <w:t>,</w:t>
            </w:r>
            <w:r>
              <w:rPr>
                <w:b/>
                <w:sz w:val="24"/>
              </w:rPr>
              <w:t xml:space="preserve"> O/N</w:t>
            </w:r>
            <w:r w:rsidR="000436AB">
              <w:rPr>
                <w:b/>
                <w:sz w:val="24"/>
              </w:rPr>
              <w:t xml:space="preserve"> %</w:t>
            </w:r>
          </w:p>
          <w:p w:rsidR="000436AB" w:rsidRPr="001340A7" w:rsidRDefault="000436AB" w:rsidP="00EE4280">
            <w:pPr>
              <w:pStyle w:val="ListParagraph"/>
              <w:spacing w:line="360" w:lineRule="auto"/>
              <w:ind w:left="3" w:firstLine="425"/>
              <w:rPr>
                <w:i/>
                <w:sz w:val="24"/>
              </w:rPr>
            </w:pPr>
            <w:r w:rsidRPr="00FE6B56">
              <w:rPr>
                <w:noProof/>
              </w:rPr>
              <w:drawing>
                <wp:inline distT="0" distB="0" distL="0" distR="0" wp14:anchorId="6B877BB7" wp14:editId="47A20D26">
                  <wp:extent cx="2905125" cy="18383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36AB" w:rsidRPr="001340A7" w:rsidRDefault="000436AB" w:rsidP="000436AB">
            <w:pPr>
              <w:pStyle w:val="ListParagraph"/>
              <w:spacing w:after="0" w:line="360" w:lineRule="auto"/>
              <w:ind w:left="0" w:firstLine="34"/>
              <w:jc w:val="right"/>
              <w:rPr>
                <w:i/>
                <w:sz w:val="24"/>
              </w:rPr>
            </w:pPr>
            <w:r w:rsidRPr="001340A7">
              <w:rPr>
                <w:i/>
                <w:sz w:val="24"/>
              </w:rPr>
              <w:t>Nguồn: HSC</w:t>
            </w:r>
          </w:p>
        </w:tc>
      </w:tr>
    </w:tbl>
    <w:p w:rsidR="00153AAE" w:rsidRPr="007A25F6" w:rsidRDefault="00153AAE" w:rsidP="00153AAE">
      <w:pPr>
        <w:rPr>
          <w:sz w:val="26"/>
          <w:szCs w:val="26"/>
          <w:lang w:val="sv-SE"/>
        </w:rPr>
      </w:pPr>
      <w:r w:rsidRPr="00EC4639">
        <w:rPr>
          <w:b/>
          <w:i/>
          <w:sz w:val="26"/>
          <w:szCs w:val="26"/>
          <w:lang w:val="sv-SE"/>
        </w:rPr>
        <w:t>Thanh khoản trên thị trường 1 tiếp tục ổn định, lãi suất huy động và cho vay ở mức thấp</w:t>
      </w:r>
      <w:r w:rsidRPr="007A25F6">
        <w:rPr>
          <w:sz w:val="26"/>
          <w:szCs w:val="26"/>
          <w:lang w:val="sv-SE"/>
        </w:rPr>
        <w:t xml:space="preserve">. </w:t>
      </w:r>
      <w:r w:rsidRPr="00EC4639">
        <w:rPr>
          <w:sz w:val="26"/>
          <w:szCs w:val="26"/>
          <w:lang w:val="vi-VN"/>
        </w:rPr>
        <w:t>Việc phấn đấu giảm lãi suất cho vay những tháng cuối năm có các yếu tố thuận lợi</w:t>
      </w:r>
      <w:r w:rsidR="00E71910" w:rsidRPr="003C2156">
        <w:rPr>
          <w:sz w:val="26"/>
          <w:szCs w:val="26"/>
          <w:lang w:val="sv-SE"/>
        </w:rPr>
        <w:t xml:space="preserve"> do</w:t>
      </w:r>
      <w:r w:rsidRPr="00EC4639">
        <w:rPr>
          <w:sz w:val="26"/>
          <w:szCs w:val="26"/>
          <w:lang w:val="vi-VN"/>
        </w:rPr>
        <w:t xml:space="preserve">: (i) thanh khoản liên ngân hàng dồi dào; (ii) tỷ lệ tín dụng/huy động là 84,6%, giảm so với mức 85,7% cuối năm 2015; (iii) áp lực tăng lãi suất do yếu tố tỷ giá được giảm thiểu do thị trường ngoại hối ổn định, (iv) lãi suất TPCP tiếp tục giảm ở các kỳ hạn, cùng với việc TPCP đã đạt hơn 89% kế hoạch năm sẽ giảm áp lực lên lãi suất ngân hàng. </w:t>
      </w:r>
    </w:p>
    <w:p w:rsidR="004C4B64" w:rsidRPr="004C4B64" w:rsidRDefault="00153AAE" w:rsidP="00153AAE">
      <w:pPr>
        <w:spacing w:before="120" w:line="264" w:lineRule="auto"/>
        <w:rPr>
          <w:sz w:val="26"/>
          <w:szCs w:val="26"/>
          <w:lang w:val="es-NI"/>
        </w:rPr>
      </w:pPr>
      <w:r w:rsidRPr="00EC4639">
        <w:rPr>
          <w:sz w:val="26"/>
          <w:szCs w:val="26"/>
          <w:lang w:val="vi-VN"/>
        </w:rPr>
        <w:t xml:space="preserve">Tuy nhiên, việc giảm lãi suất cho vay </w:t>
      </w:r>
      <w:r w:rsidRPr="00EC4639">
        <w:rPr>
          <w:sz w:val="26"/>
          <w:szCs w:val="26"/>
          <w:lang w:val="sv-SE"/>
        </w:rPr>
        <w:t>c</w:t>
      </w:r>
      <w:r>
        <w:rPr>
          <w:sz w:val="26"/>
          <w:szCs w:val="26"/>
          <w:lang w:val="sv-SE"/>
        </w:rPr>
        <w:t xml:space="preserve">òn </w:t>
      </w:r>
      <w:r w:rsidRPr="00EC4639">
        <w:rPr>
          <w:sz w:val="26"/>
          <w:szCs w:val="26"/>
          <w:lang w:val="vi-VN"/>
        </w:rPr>
        <w:t xml:space="preserve">gặp một số </w:t>
      </w:r>
      <w:r>
        <w:rPr>
          <w:sz w:val="26"/>
          <w:szCs w:val="26"/>
          <w:lang w:val="vi-VN"/>
        </w:rPr>
        <w:t xml:space="preserve">thách thức </w:t>
      </w:r>
      <w:r w:rsidRPr="00EC4639">
        <w:rPr>
          <w:sz w:val="26"/>
          <w:szCs w:val="26"/>
          <w:lang w:val="sv-SE"/>
        </w:rPr>
        <w:t>d</w:t>
      </w:r>
      <w:r>
        <w:rPr>
          <w:sz w:val="26"/>
          <w:szCs w:val="26"/>
          <w:lang w:val="sv-SE"/>
        </w:rPr>
        <w:t>o</w:t>
      </w:r>
      <w:r w:rsidRPr="00EC4639">
        <w:rPr>
          <w:sz w:val="26"/>
          <w:szCs w:val="26"/>
          <w:lang w:val="vi-VN"/>
        </w:rPr>
        <w:t xml:space="preserve"> </w:t>
      </w:r>
      <w:r w:rsidRPr="006441E7">
        <w:rPr>
          <w:sz w:val="26"/>
          <w:szCs w:val="26"/>
          <w:lang w:val="sv-SE"/>
        </w:rPr>
        <w:t>t</w:t>
      </w:r>
      <w:r>
        <w:rPr>
          <w:sz w:val="26"/>
          <w:szCs w:val="26"/>
          <w:lang w:val="sv-SE"/>
        </w:rPr>
        <w:t xml:space="preserve">iến </w:t>
      </w:r>
      <w:r w:rsidRPr="00EC4639">
        <w:rPr>
          <w:sz w:val="26"/>
          <w:szCs w:val="26"/>
          <w:lang w:val="vi-VN"/>
        </w:rPr>
        <w:t>trình xử lý nợ xấu diễn ra còn chậm. Nợ xấu tính đến tháng 6/2016 toàn hệ thống là 2,78%, tăng 0,23 điểm % so với cuối năm 2015. Số nợ xấu được xử lý trong 6 thán</w:t>
      </w:r>
      <w:r>
        <w:rPr>
          <w:sz w:val="26"/>
          <w:szCs w:val="26"/>
          <w:lang w:val="vi-VN"/>
        </w:rPr>
        <w:t>g đầu năm là 59,7 nghìn tỷ đồng</w:t>
      </w:r>
      <w:r w:rsidRPr="00EC4639">
        <w:rPr>
          <w:sz w:val="26"/>
          <w:szCs w:val="26"/>
          <w:lang w:val="vi-VN"/>
        </w:rPr>
        <w:t xml:space="preserve"> </w:t>
      </w:r>
      <w:r w:rsidRPr="006441E7">
        <w:rPr>
          <w:sz w:val="26"/>
          <w:szCs w:val="26"/>
          <w:lang w:val="vi-VN"/>
        </w:rPr>
        <w:t>(</w:t>
      </w:r>
      <w:r w:rsidRPr="00EC4639">
        <w:rPr>
          <w:sz w:val="26"/>
          <w:szCs w:val="26"/>
          <w:lang w:val="vi-VN"/>
        </w:rPr>
        <w:t>g</w:t>
      </w:r>
      <w:r>
        <w:rPr>
          <w:sz w:val="26"/>
          <w:szCs w:val="26"/>
          <w:lang w:val="vi-VN"/>
        </w:rPr>
        <w:t>iảm 14,55% so cùng kỳ năm trước</w:t>
      </w:r>
      <w:r w:rsidRPr="006441E7">
        <w:rPr>
          <w:sz w:val="26"/>
          <w:szCs w:val="26"/>
          <w:lang w:val="vi-VN"/>
        </w:rPr>
        <w:t>),</w:t>
      </w:r>
      <w:r w:rsidRPr="00EC4639">
        <w:rPr>
          <w:sz w:val="26"/>
          <w:szCs w:val="26"/>
          <w:lang w:val="vi-VN"/>
        </w:rPr>
        <w:t xml:space="preserve"> chủ yếu là nhờ khách hàng trả nợ gần 31 nghìn tỷ đồng, số nợ xấu bán cho VAMC đạt 8,88 nghìn tỷ đồng.</w:t>
      </w:r>
    </w:p>
    <w:p w:rsidR="00763991" w:rsidRPr="004C4B64" w:rsidRDefault="00763991" w:rsidP="004C4B64">
      <w:pPr>
        <w:tabs>
          <w:tab w:val="left" w:pos="284"/>
          <w:tab w:val="left" w:pos="426"/>
        </w:tabs>
        <w:spacing w:before="120" w:line="264" w:lineRule="auto"/>
        <w:ind w:firstLine="0"/>
        <w:jc w:val="left"/>
        <w:rPr>
          <w:rFonts w:eastAsiaTheme="minorHAnsi"/>
          <w:b/>
          <w:sz w:val="26"/>
          <w:szCs w:val="26"/>
        </w:rPr>
      </w:pPr>
      <w:r w:rsidRPr="004C4B64">
        <w:rPr>
          <w:rFonts w:eastAsiaTheme="minorHAnsi"/>
          <w:b/>
          <w:sz w:val="26"/>
          <w:szCs w:val="26"/>
        </w:rPr>
        <w:t xml:space="preserve">2. </w:t>
      </w:r>
      <w:r w:rsidRPr="004C4B64">
        <w:rPr>
          <w:rFonts w:eastAsiaTheme="minorHAnsi"/>
          <w:b/>
          <w:sz w:val="26"/>
          <w:szCs w:val="26"/>
        </w:rPr>
        <w:tab/>
      </w:r>
      <w:r w:rsidRPr="004C4B64">
        <w:rPr>
          <w:rFonts w:eastAsiaTheme="minorHAnsi"/>
          <w:b/>
          <w:sz w:val="26"/>
          <w:szCs w:val="26"/>
        </w:rPr>
        <w:tab/>
        <w:t xml:space="preserve">Thị trường ngoại hối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763991" w:rsidRPr="004C4B64" w:rsidTr="00003CEE">
        <w:tc>
          <w:tcPr>
            <w:tcW w:w="4644" w:type="dxa"/>
          </w:tcPr>
          <w:p w:rsidR="00763991" w:rsidRPr="004C4B64" w:rsidRDefault="004C4B64" w:rsidP="00026FD9">
            <w:pPr>
              <w:spacing w:before="120" w:line="264" w:lineRule="auto"/>
              <w:ind w:firstLine="709"/>
              <w:rPr>
                <w:rFonts w:eastAsiaTheme="minorHAnsi"/>
                <w:sz w:val="26"/>
                <w:szCs w:val="26"/>
              </w:rPr>
            </w:pPr>
            <w:r w:rsidRPr="004C4B64">
              <w:rPr>
                <w:sz w:val="26"/>
                <w:szCs w:val="26"/>
              </w:rPr>
              <w:t xml:space="preserve">Tỷ giá VND/USD tại các NHTM và tỷ giá tự do vẫn giữ ổn định trong biên độ trên của tỷ giá trung tâm </w:t>
            </w:r>
            <w:r w:rsidR="00F3421A">
              <w:rPr>
                <w:sz w:val="26"/>
                <w:szCs w:val="26"/>
              </w:rPr>
              <w:t>(</w:t>
            </w:r>
            <w:r w:rsidRPr="004C4B64">
              <w:rPr>
                <w:sz w:val="26"/>
                <w:szCs w:val="26"/>
              </w:rPr>
              <w:t>dao động trong khoảng 22.300–22.350 VND/USD</w:t>
            </w:r>
            <w:r w:rsidR="00F3421A">
              <w:rPr>
                <w:sz w:val="26"/>
                <w:szCs w:val="26"/>
              </w:rPr>
              <w:t>)</w:t>
            </w:r>
            <w:r w:rsidRPr="004C4B64">
              <w:rPr>
                <w:sz w:val="26"/>
                <w:szCs w:val="26"/>
              </w:rPr>
              <w:t xml:space="preserve">. Hiện tỷ giá trung tâm đang ở mức 21.898 VND/USD, tăng nhẹ 0,01% so với đầu năm. Chỉ số CDS có xu hướng giảm nhẹ và tỷ giá kỳ hạn NDF không thay đổi so với tháng trước cho thấy kỳ vọng vào tỷ giá hiện đang khá ổn định. </w:t>
            </w:r>
          </w:p>
        </w:tc>
        <w:tc>
          <w:tcPr>
            <w:tcW w:w="4678" w:type="dxa"/>
          </w:tcPr>
          <w:p w:rsidR="00763991" w:rsidRPr="004C4B64" w:rsidRDefault="00763991" w:rsidP="004C4B64">
            <w:pPr>
              <w:spacing w:before="120" w:line="264" w:lineRule="auto"/>
              <w:ind w:firstLine="0"/>
              <w:jc w:val="center"/>
              <w:rPr>
                <w:rFonts w:eastAsiaTheme="minorHAnsi"/>
                <w:sz w:val="24"/>
                <w:szCs w:val="26"/>
              </w:rPr>
            </w:pPr>
            <w:r w:rsidRPr="004C4B64">
              <w:rPr>
                <w:rFonts w:eastAsiaTheme="minorHAnsi"/>
                <w:b/>
                <w:color w:val="000000" w:themeColor="text1"/>
                <w:sz w:val="24"/>
                <w:szCs w:val="26"/>
                <w:lang w:val="vi-VN"/>
              </w:rPr>
              <w:t>Tỷ giá USD/VND</w:t>
            </w:r>
            <w:r w:rsidR="004C4B64" w:rsidRPr="004C4B64">
              <w:rPr>
                <w:rFonts w:eastAsiaTheme="minorHAnsi"/>
                <w:b/>
                <w:color w:val="000000" w:themeColor="text1"/>
                <w:sz w:val="24"/>
                <w:szCs w:val="26"/>
              </w:rPr>
              <w:t xml:space="preserve"> 8</w:t>
            </w:r>
            <w:r w:rsidRPr="004C4B64">
              <w:rPr>
                <w:rFonts w:eastAsiaTheme="minorHAnsi"/>
                <w:b/>
                <w:color w:val="000000" w:themeColor="text1"/>
                <w:sz w:val="24"/>
                <w:szCs w:val="26"/>
              </w:rPr>
              <w:t xml:space="preserve"> tháng đầu năm 2016</w:t>
            </w:r>
          </w:p>
          <w:p w:rsidR="00763991" w:rsidRPr="004C4B64" w:rsidRDefault="004C4B64" w:rsidP="004C4B64">
            <w:pPr>
              <w:spacing w:before="120" w:line="264" w:lineRule="auto"/>
              <w:ind w:firstLine="0"/>
              <w:jc w:val="center"/>
              <w:rPr>
                <w:rFonts w:eastAsiaTheme="minorHAnsi"/>
                <w:i/>
                <w:color w:val="000000" w:themeColor="text1"/>
                <w:sz w:val="24"/>
                <w:szCs w:val="26"/>
              </w:rPr>
            </w:pPr>
            <w:r w:rsidRPr="004C4B64">
              <w:rPr>
                <w:i/>
                <w:noProof/>
                <w:color w:val="000000" w:themeColor="text1"/>
                <w:sz w:val="24"/>
                <w:szCs w:val="26"/>
              </w:rPr>
              <w:drawing>
                <wp:inline distT="0" distB="0" distL="0" distR="0">
                  <wp:extent cx="2732568" cy="1796902"/>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3991" w:rsidRPr="0067270C" w:rsidRDefault="00763991" w:rsidP="0067270C">
            <w:pPr>
              <w:spacing w:before="120" w:line="264" w:lineRule="auto"/>
              <w:ind w:firstLine="0"/>
              <w:jc w:val="right"/>
              <w:rPr>
                <w:rFonts w:eastAsiaTheme="minorHAnsi"/>
                <w:i/>
                <w:color w:val="000000" w:themeColor="text1"/>
                <w:sz w:val="24"/>
                <w:szCs w:val="26"/>
              </w:rPr>
            </w:pPr>
            <w:r w:rsidRPr="004C4B64">
              <w:rPr>
                <w:rFonts w:eastAsiaTheme="minorHAnsi"/>
                <w:i/>
                <w:color w:val="000000" w:themeColor="text1"/>
                <w:sz w:val="24"/>
                <w:szCs w:val="26"/>
              </w:rPr>
              <w:t>Nguồn: UBGSTCQG tổng hợp</w:t>
            </w:r>
          </w:p>
        </w:tc>
      </w:tr>
    </w:tbl>
    <w:p w:rsidR="004C4B64" w:rsidRDefault="00DE68F6" w:rsidP="004C4B64">
      <w:pPr>
        <w:spacing w:before="120" w:line="264" w:lineRule="auto"/>
        <w:rPr>
          <w:sz w:val="26"/>
          <w:szCs w:val="26"/>
        </w:rPr>
      </w:pPr>
      <w:r>
        <w:rPr>
          <w:sz w:val="26"/>
          <w:szCs w:val="26"/>
        </w:rPr>
        <w:lastRenderedPageBreak/>
        <w:t>Trong</w:t>
      </w:r>
      <w:r w:rsidR="00AA4AC9">
        <w:rPr>
          <w:sz w:val="26"/>
          <w:szCs w:val="26"/>
        </w:rPr>
        <w:t xml:space="preserve"> bối cảnh </w:t>
      </w:r>
      <w:r w:rsidR="00026FD9">
        <w:rPr>
          <w:sz w:val="26"/>
          <w:szCs w:val="26"/>
        </w:rPr>
        <w:t>t</w:t>
      </w:r>
      <w:r w:rsidR="004C4B64" w:rsidRPr="004C4B64">
        <w:rPr>
          <w:sz w:val="26"/>
          <w:szCs w:val="26"/>
        </w:rPr>
        <w:t xml:space="preserve">hị trường ngoại hối </w:t>
      </w:r>
      <w:r w:rsidR="001D7F9D">
        <w:rPr>
          <w:sz w:val="26"/>
          <w:szCs w:val="26"/>
        </w:rPr>
        <w:t>trong nước hiện đang</w:t>
      </w:r>
      <w:r w:rsidR="00026FD9">
        <w:rPr>
          <w:sz w:val="26"/>
          <w:szCs w:val="26"/>
        </w:rPr>
        <w:t xml:space="preserve"> </w:t>
      </w:r>
      <w:r w:rsidR="004C4B64" w:rsidRPr="004C4B64">
        <w:rPr>
          <w:sz w:val="26"/>
          <w:szCs w:val="26"/>
        </w:rPr>
        <w:t>ổn định, nguồn cung ngoại tệ dồi dào (cán cân thương mại thặng dư, FDI tăng khá)</w:t>
      </w:r>
      <w:r w:rsidR="004C4B64" w:rsidRPr="004C4B64">
        <w:rPr>
          <w:rStyle w:val="FootnoteReference"/>
          <w:sz w:val="26"/>
          <w:szCs w:val="26"/>
        </w:rPr>
        <w:footnoteReference w:id="7"/>
      </w:r>
      <w:r w:rsidR="00026FD9">
        <w:rPr>
          <w:sz w:val="26"/>
          <w:szCs w:val="26"/>
        </w:rPr>
        <w:t>,</w:t>
      </w:r>
      <w:r w:rsidR="004C4B64" w:rsidRPr="004C4B64">
        <w:rPr>
          <w:sz w:val="26"/>
          <w:szCs w:val="26"/>
        </w:rPr>
        <w:t xml:space="preserve"> </w:t>
      </w:r>
      <w:r w:rsidR="00026FD9">
        <w:rPr>
          <w:sz w:val="26"/>
          <w:szCs w:val="26"/>
        </w:rPr>
        <w:t>t</w:t>
      </w:r>
      <w:r w:rsidR="004C4B64" w:rsidRPr="004C4B64">
        <w:rPr>
          <w:sz w:val="26"/>
          <w:szCs w:val="26"/>
        </w:rPr>
        <w:t>rong khi cầu ngoại tệ chưa có nhiều đột biến khi kim ngạch nhập khẩu hàng hóa vẫn có xu hướng giảm so với năm trước</w:t>
      </w:r>
      <w:r w:rsidR="004C4B64" w:rsidRPr="004C4B64">
        <w:rPr>
          <w:rStyle w:val="FootnoteReference"/>
          <w:sz w:val="26"/>
          <w:szCs w:val="26"/>
        </w:rPr>
        <w:footnoteReference w:id="8"/>
      </w:r>
      <w:r w:rsidR="00026FD9">
        <w:rPr>
          <w:sz w:val="26"/>
          <w:szCs w:val="26"/>
        </w:rPr>
        <w:t xml:space="preserve">, </w:t>
      </w:r>
      <w:r w:rsidR="00026FD9" w:rsidRPr="004C4B64">
        <w:rPr>
          <w:sz w:val="26"/>
          <w:szCs w:val="26"/>
        </w:rPr>
        <w:t xml:space="preserve">áp lực lên thị trường ngoại hối Việt Nam </w:t>
      </w:r>
      <w:r>
        <w:rPr>
          <w:sz w:val="26"/>
          <w:szCs w:val="26"/>
        </w:rPr>
        <w:t>từ nay đến cuối năm là không lớn.</w:t>
      </w:r>
    </w:p>
    <w:p w:rsidR="00763991" w:rsidRPr="00763991" w:rsidRDefault="00763991" w:rsidP="004C4B64">
      <w:pPr>
        <w:tabs>
          <w:tab w:val="left" w:pos="426"/>
          <w:tab w:val="left" w:pos="720"/>
        </w:tabs>
        <w:spacing w:before="240" w:line="264" w:lineRule="auto"/>
        <w:ind w:firstLine="0"/>
        <w:rPr>
          <w:rFonts w:eastAsiaTheme="minorHAnsi"/>
          <w:b/>
          <w:sz w:val="26"/>
          <w:szCs w:val="26"/>
        </w:rPr>
      </w:pPr>
      <w:r w:rsidRPr="00763991">
        <w:rPr>
          <w:rFonts w:eastAsiaTheme="minorHAnsi"/>
          <w:b/>
          <w:sz w:val="26"/>
          <w:szCs w:val="26"/>
        </w:rPr>
        <w:t xml:space="preserve">3. </w:t>
      </w:r>
      <w:r w:rsidR="0021643F">
        <w:rPr>
          <w:rFonts w:eastAsiaTheme="minorHAnsi"/>
          <w:b/>
          <w:sz w:val="26"/>
          <w:szCs w:val="26"/>
        </w:rPr>
        <w:tab/>
      </w:r>
      <w:r w:rsidRPr="00763991">
        <w:rPr>
          <w:rFonts w:eastAsiaTheme="minorHAnsi"/>
          <w:b/>
          <w:sz w:val="26"/>
          <w:szCs w:val="26"/>
        </w:rPr>
        <w:t>Thị trường cổ phiếu – trái phiếu</w:t>
      </w:r>
    </w:p>
    <w:p w:rsidR="00763991" w:rsidRDefault="00F3421A" w:rsidP="00F3421A">
      <w:pPr>
        <w:tabs>
          <w:tab w:val="left" w:pos="284"/>
          <w:tab w:val="left" w:pos="426"/>
        </w:tabs>
        <w:spacing w:before="120"/>
        <w:ind w:firstLine="0"/>
        <w:jc w:val="left"/>
        <w:rPr>
          <w:rFonts w:eastAsiaTheme="minorHAnsi"/>
          <w:b/>
          <w:sz w:val="26"/>
          <w:szCs w:val="26"/>
        </w:rPr>
      </w:pPr>
      <w:r w:rsidRPr="00763991">
        <w:rPr>
          <w:rFonts w:eastAsiaTheme="minorHAnsi"/>
          <w:b/>
          <w:sz w:val="26"/>
          <w:szCs w:val="26"/>
        </w:rPr>
        <w:t>3.1</w:t>
      </w:r>
      <w:r>
        <w:rPr>
          <w:rFonts w:eastAsiaTheme="minorHAnsi"/>
          <w:b/>
          <w:sz w:val="26"/>
          <w:szCs w:val="26"/>
        </w:rPr>
        <w:t xml:space="preserve"> </w:t>
      </w:r>
      <w:r w:rsidR="00026FD9">
        <w:rPr>
          <w:rFonts w:eastAsiaTheme="minorHAnsi"/>
          <w:b/>
          <w:sz w:val="26"/>
          <w:szCs w:val="26"/>
        </w:rPr>
        <w:t xml:space="preserve"> </w:t>
      </w:r>
      <w:r w:rsidRPr="00763991">
        <w:rPr>
          <w:rFonts w:eastAsiaTheme="minorHAnsi"/>
          <w:b/>
          <w:sz w:val="26"/>
          <w:szCs w:val="26"/>
        </w:rPr>
        <w:t>Thị</w:t>
      </w:r>
      <w:r w:rsidR="00763991" w:rsidRPr="00763991">
        <w:rPr>
          <w:rFonts w:eastAsiaTheme="minorHAnsi"/>
          <w:b/>
          <w:sz w:val="26"/>
          <w:szCs w:val="26"/>
        </w:rPr>
        <w:t xml:space="preserve"> trường cổ phiếu</w:t>
      </w:r>
    </w:p>
    <w:p w:rsidR="00B305AA" w:rsidRDefault="00B305AA" w:rsidP="00B305AA">
      <w:pPr>
        <w:spacing w:line="264" w:lineRule="auto"/>
        <w:rPr>
          <w:rFonts w:eastAsiaTheme="minorHAnsi"/>
          <w:spacing w:val="-2"/>
          <w:sz w:val="26"/>
          <w:szCs w:val="26"/>
          <w:lang w:val="sv-SE"/>
        </w:rPr>
      </w:pPr>
      <w:r w:rsidRPr="00F0294B">
        <w:rPr>
          <w:rFonts w:eastAsiaTheme="minorHAnsi"/>
          <w:spacing w:val="-2"/>
          <w:sz w:val="26"/>
          <w:szCs w:val="26"/>
          <w:lang w:val="sv-SE"/>
        </w:rPr>
        <w:t>Chỉ số VN Index ngày 23/8 đạt 659,2 điểm, tăng 1% so với cuối tháng 7.</w:t>
      </w:r>
      <w:r>
        <w:rPr>
          <w:rFonts w:eastAsiaTheme="minorHAnsi"/>
          <w:spacing w:val="-2"/>
          <w:sz w:val="26"/>
          <w:szCs w:val="26"/>
          <w:lang w:val="sv-SE"/>
        </w:rPr>
        <w:t xml:space="preserve"> </w:t>
      </w:r>
      <w:r w:rsidRPr="00F0294B">
        <w:rPr>
          <w:rFonts w:eastAsiaTheme="minorHAnsi"/>
          <w:spacing w:val="-2"/>
          <w:sz w:val="26"/>
          <w:szCs w:val="26"/>
          <w:lang w:val="sv-SE"/>
        </w:rPr>
        <w:t xml:space="preserve">Thị trường cổ phiếu duy trì xu hướng tăng điểm </w:t>
      </w:r>
      <w:r>
        <w:rPr>
          <w:rFonts w:eastAsiaTheme="minorHAnsi"/>
          <w:spacing w:val="-2"/>
          <w:sz w:val="26"/>
          <w:szCs w:val="26"/>
          <w:lang w:val="sv-SE"/>
        </w:rPr>
        <w:t xml:space="preserve">chủ yếu </w:t>
      </w:r>
      <w:r w:rsidRPr="00F0294B">
        <w:rPr>
          <w:rFonts w:eastAsiaTheme="minorHAnsi"/>
          <w:spacing w:val="-2"/>
          <w:sz w:val="26"/>
          <w:szCs w:val="26"/>
          <w:lang w:val="sv-SE"/>
        </w:rPr>
        <w:t>nhờ dòng tiền trong nướ</w:t>
      </w:r>
      <w:r>
        <w:rPr>
          <w:rFonts w:eastAsiaTheme="minorHAnsi"/>
          <w:spacing w:val="-2"/>
          <w:sz w:val="26"/>
          <w:szCs w:val="26"/>
          <w:lang w:val="sv-SE"/>
        </w:rPr>
        <w:t>c, trong khi</w:t>
      </w:r>
      <w:r w:rsidRPr="00F0294B">
        <w:rPr>
          <w:rFonts w:eastAsiaTheme="minorHAnsi"/>
          <w:spacing w:val="-2"/>
          <w:sz w:val="26"/>
          <w:szCs w:val="26"/>
          <w:lang w:val="sv-SE"/>
        </w:rPr>
        <w:t xml:space="preserve"> </w:t>
      </w:r>
      <w:r>
        <w:rPr>
          <w:rFonts w:eastAsiaTheme="minorHAnsi"/>
          <w:spacing w:val="-2"/>
          <w:sz w:val="26"/>
          <w:szCs w:val="26"/>
          <w:lang w:val="sv-SE"/>
        </w:rPr>
        <w:t>k</w:t>
      </w:r>
      <w:r w:rsidRPr="00F0294B">
        <w:rPr>
          <w:rFonts w:eastAsiaTheme="minorHAnsi"/>
          <w:spacing w:val="-2"/>
          <w:sz w:val="26"/>
          <w:szCs w:val="26"/>
          <w:lang w:val="sv-SE"/>
        </w:rPr>
        <w:t xml:space="preserve">hối ngoại chốt lời, bán ròng 1.337 tỷ đồng (60 triệu USD). </w:t>
      </w:r>
    </w:p>
    <w:p w:rsidR="00B305AA" w:rsidRDefault="00B305AA" w:rsidP="00C92B3F">
      <w:pPr>
        <w:tabs>
          <w:tab w:val="left" w:pos="0"/>
        </w:tabs>
        <w:spacing w:before="120" w:after="240" w:line="264" w:lineRule="auto"/>
        <w:ind w:firstLine="0"/>
        <w:jc w:val="center"/>
        <w:rPr>
          <w:rFonts w:eastAsiaTheme="minorHAnsi"/>
          <w:b/>
          <w:sz w:val="24"/>
          <w:szCs w:val="26"/>
          <w:lang w:val="sv-SE"/>
        </w:rPr>
      </w:pPr>
      <w:r w:rsidRPr="00763991">
        <w:rPr>
          <w:rFonts w:eastAsiaTheme="minorHAnsi"/>
          <w:b/>
          <w:sz w:val="24"/>
          <w:szCs w:val="26"/>
          <w:lang w:val="sv-SE"/>
        </w:rPr>
        <w:t>Mua/bán ròng của khối ngoại trên thị trường chứng khoán</w:t>
      </w:r>
      <w:r>
        <w:rPr>
          <w:rFonts w:eastAsiaTheme="minorHAnsi"/>
          <w:b/>
          <w:sz w:val="24"/>
          <w:szCs w:val="26"/>
          <w:lang w:val="sv-SE"/>
        </w:rPr>
        <w:t xml:space="preserve"> </w:t>
      </w:r>
      <w:r w:rsidRPr="00763991">
        <w:rPr>
          <w:rFonts w:eastAsiaTheme="minorHAnsi"/>
          <w:b/>
          <w:sz w:val="24"/>
          <w:szCs w:val="26"/>
          <w:lang w:val="sv-SE"/>
        </w:rPr>
        <w:t>từ đầu năm</w:t>
      </w:r>
      <w:r>
        <w:rPr>
          <w:rFonts w:eastAsiaTheme="minorHAnsi"/>
          <w:b/>
          <w:sz w:val="24"/>
          <w:szCs w:val="26"/>
          <w:lang w:val="sv-SE"/>
        </w:rPr>
        <w:t xml:space="preserve"> 2016, tỷ đồng</w:t>
      </w:r>
    </w:p>
    <w:p w:rsidR="00B305AA" w:rsidRPr="00245E80" w:rsidRDefault="00B305AA" w:rsidP="00C92B3F">
      <w:pPr>
        <w:spacing w:before="120" w:after="240" w:line="264" w:lineRule="auto"/>
        <w:ind w:firstLine="0"/>
        <w:jc w:val="center"/>
        <w:rPr>
          <w:rFonts w:eastAsiaTheme="minorHAnsi"/>
          <w:b/>
          <w:sz w:val="16"/>
          <w:szCs w:val="16"/>
          <w:lang w:val="sv-SE"/>
        </w:rPr>
      </w:pPr>
      <w:r w:rsidRPr="00245E80">
        <w:rPr>
          <w:noProof/>
          <w:sz w:val="16"/>
          <w:szCs w:val="16"/>
        </w:rPr>
        <w:drawing>
          <wp:inline distT="0" distB="0" distL="0" distR="0" wp14:anchorId="01229A91" wp14:editId="27905224">
            <wp:extent cx="4543425" cy="18097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05AA" w:rsidRPr="00763991" w:rsidRDefault="00B305AA" w:rsidP="00B305AA">
      <w:pPr>
        <w:tabs>
          <w:tab w:val="left" w:pos="284"/>
          <w:tab w:val="left" w:pos="426"/>
        </w:tabs>
        <w:spacing w:before="120"/>
        <w:ind w:firstLine="0"/>
        <w:jc w:val="right"/>
        <w:rPr>
          <w:rFonts w:eastAsiaTheme="minorHAnsi"/>
          <w:b/>
          <w:sz w:val="26"/>
          <w:szCs w:val="26"/>
        </w:rPr>
      </w:pPr>
      <w:r>
        <w:rPr>
          <w:i/>
          <w:sz w:val="24"/>
          <w:szCs w:val="26"/>
          <w:lang w:val="nl-NL"/>
        </w:rPr>
        <w:t>Nguồn:</w:t>
      </w:r>
      <w:r w:rsidRPr="00D60937">
        <w:rPr>
          <w:i/>
          <w:sz w:val="24"/>
          <w:szCs w:val="26"/>
          <w:lang w:val="nl-NL"/>
        </w:rPr>
        <w:t>UBGSTCQG tổng hợp</w:t>
      </w:r>
    </w:p>
    <w:p w:rsidR="00763991" w:rsidRPr="00763991" w:rsidRDefault="00763991" w:rsidP="00245E80">
      <w:pPr>
        <w:numPr>
          <w:ilvl w:val="1"/>
          <w:numId w:val="16"/>
        </w:numPr>
        <w:tabs>
          <w:tab w:val="left" w:pos="284"/>
          <w:tab w:val="left" w:pos="426"/>
        </w:tabs>
        <w:spacing w:before="120" w:line="264" w:lineRule="auto"/>
        <w:ind w:left="567" w:hanging="567"/>
        <w:jc w:val="left"/>
        <w:rPr>
          <w:rFonts w:eastAsiaTheme="minorHAnsi"/>
          <w:b/>
          <w:sz w:val="26"/>
          <w:szCs w:val="26"/>
          <w:lang w:val="sv-SE"/>
        </w:rPr>
      </w:pPr>
      <w:r w:rsidRPr="00763991">
        <w:rPr>
          <w:rFonts w:eastAsiaTheme="minorHAnsi"/>
          <w:b/>
          <w:sz w:val="26"/>
          <w:szCs w:val="26"/>
          <w:lang w:val="sv-SE"/>
        </w:rPr>
        <w:tab/>
        <w:t xml:space="preserve">Thị trường trái phiếu </w:t>
      </w:r>
    </w:p>
    <w:p w:rsidR="00245E80" w:rsidRPr="00245E80" w:rsidRDefault="00245E80" w:rsidP="000D2811">
      <w:pPr>
        <w:pStyle w:val="ListParagraph"/>
        <w:numPr>
          <w:ilvl w:val="0"/>
          <w:numId w:val="24"/>
        </w:numPr>
        <w:tabs>
          <w:tab w:val="left" w:pos="993"/>
        </w:tabs>
        <w:spacing w:before="120" w:line="264" w:lineRule="auto"/>
        <w:ind w:left="426" w:firstLine="141"/>
        <w:contextualSpacing w:val="0"/>
        <w:rPr>
          <w:b/>
          <w:i/>
          <w:sz w:val="26"/>
          <w:szCs w:val="26"/>
        </w:rPr>
      </w:pPr>
      <w:r w:rsidRPr="00245E80">
        <w:rPr>
          <w:b/>
          <w:i/>
          <w:sz w:val="26"/>
          <w:szCs w:val="26"/>
        </w:rPr>
        <w:t>Thị trường sơ cấp</w:t>
      </w:r>
    </w:p>
    <w:p w:rsidR="00245E80" w:rsidRDefault="00245E80" w:rsidP="00245E80">
      <w:pPr>
        <w:spacing w:before="120" w:line="264" w:lineRule="auto"/>
        <w:rPr>
          <w:spacing w:val="-2"/>
          <w:sz w:val="26"/>
          <w:szCs w:val="26"/>
          <w:lang w:val="sv-SE"/>
        </w:rPr>
      </w:pPr>
      <w:r w:rsidRPr="005335F4">
        <w:rPr>
          <w:spacing w:val="-2"/>
          <w:sz w:val="26"/>
          <w:szCs w:val="26"/>
          <w:lang w:val="sv-SE"/>
        </w:rPr>
        <w:t xml:space="preserve">Tính tới 23/8, Kho bạc Nhà nước (KBNN) đã huy động được hơn 223 nghìn tỷ đồng trái phiếu Chính phủ (TPCP), đạt 89,31%  kế hoạch năm, </w:t>
      </w:r>
      <w:r w:rsidR="00142C7F">
        <w:rPr>
          <w:spacing w:val="-2"/>
          <w:sz w:val="26"/>
          <w:szCs w:val="26"/>
          <w:lang w:val="sv-SE"/>
        </w:rPr>
        <w:t xml:space="preserve">trong đó </w:t>
      </w:r>
      <w:r w:rsidRPr="005335F4">
        <w:rPr>
          <w:spacing w:val="-2"/>
          <w:sz w:val="26"/>
          <w:szCs w:val="26"/>
          <w:lang w:val="sv-SE"/>
        </w:rPr>
        <w:t xml:space="preserve">TPCP kỳ hạn 5 năm đã phát hành vượt kế hoạch (101,34% kế hoạch). </w:t>
      </w:r>
      <w:r w:rsidR="00142C7F">
        <w:rPr>
          <w:spacing w:val="-2"/>
          <w:sz w:val="26"/>
          <w:szCs w:val="26"/>
          <w:lang w:val="sv-SE"/>
        </w:rPr>
        <w:t>Đ</w:t>
      </w:r>
      <w:r w:rsidR="00142C7F" w:rsidRPr="005335F4">
        <w:rPr>
          <w:spacing w:val="-2"/>
          <w:sz w:val="26"/>
          <w:szCs w:val="26"/>
          <w:lang w:val="sv-SE"/>
        </w:rPr>
        <w:t>áng chú ý</w:t>
      </w:r>
      <w:r w:rsidR="00142C7F">
        <w:rPr>
          <w:spacing w:val="-2"/>
          <w:sz w:val="26"/>
          <w:szCs w:val="26"/>
          <w:lang w:val="sv-SE"/>
        </w:rPr>
        <w:t xml:space="preserve"> là </w:t>
      </w:r>
      <w:r w:rsidR="00142C7F" w:rsidRPr="005335F4">
        <w:rPr>
          <w:spacing w:val="-2"/>
          <w:sz w:val="26"/>
          <w:szCs w:val="26"/>
          <w:lang w:val="sv-SE"/>
        </w:rPr>
        <w:t>lãi suất trúng thầu</w:t>
      </w:r>
      <w:r w:rsidR="00142C7F">
        <w:rPr>
          <w:spacing w:val="-2"/>
          <w:sz w:val="26"/>
          <w:szCs w:val="26"/>
          <w:lang w:val="sv-SE"/>
        </w:rPr>
        <w:t xml:space="preserve"> </w:t>
      </w:r>
      <w:r w:rsidR="00142C7F" w:rsidRPr="005335F4">
        <w:rPr>
          <w:spacing w:val="-2"/>
          <w:sz w:val="26"/>
          <w:szCs w:val="26"/>
          <w:lang w:val="sv-SE"/>
        </w:rPr>
        <w:t>trong những phiên đấu thầu gần đây</w:t>
      </w:r>
      <w:r w:rsidR="00142C7F">
        <w:rPr>
          <w:spacing w:val="-2"/>
          <w:sz w:val="26"/>
          <w:szCs w:val="26"/>
          <w:lang w:val="sv-SE"/>
        </w:rPr>
        <w:t xml:space="preserve"> đã </w:t>
      </w:r>
      <w:r w:rsidR="00142C7F" w:rsidRPr="005335F4">
        <w:rPr>
          <w:spacing w:val="-2"/>
          <w:sz w:val="26"/>
          <w:szCs w:val="26"/>
          <w:lang w:val="sv-SE"/>
        </w:rPr>
        <w:t xml:space="preserve">giảm từ 0,11%/năm đến 0,20%/năm </w:t>
      </w:r>
      <w:r w:rsidR="00142C7F">
        <w:rPr>
          <w:spacing w:val="-2"/>
          <w:sz w:val="26"/>
          <w:szCs w:val="26"/>
          <w:lang w:val="sv-SE"/>
        </w:rPr>
        <w:t xml:space="preserve">do </w:t>
      </w:r>
      <w:r w:rsidR="00142C7F">
        <w:rPr>
          <w:sz w:val="26"/>
          <w:szCs w:val="26"/>
          <w:lang w:val="es-NI"/>
        </w:rPr>
        <w:t>t</w:t>
      </w:r>
      <w:r w:rsidR="00142C7F" w:rsidRPr="00182260">
        <w:rPr>
          <w:sz w:val="26"/>
          <w:szCs w:val="26"/>
          <w:lang w:val="es-NI"/>
        </w:rPr>
        <w:t>hanh khoản của khu vực ngân hàng khá dồi dào khiến các TCTD gia tăng đầu tư vào TPCP</w:t>
      </w:r>
      <w:r w:rsidR="00142C7F">
        <w:rPr>
          <w:sz w:val="26"/>
          <w:szCs w:val="26"/>
          <w:lang w:val="es-NI"/>
        </w:rPr>
        <w:t>.</w:t>
      </w:r>
      <w:r w:rsidRPr="005335F4">
        <w:rPr>
          <w:spacing w:val="-2"/>
          <w:sz w:val="26"/>
          <w:szCs w:val="26"/>
          <w:lang w:val="sv-SE"/>
        </w:rPr>
        <w:t xml:space="preserve"> </w:t>
      </w:r>
      <w:r w:rsidR="00142C7F" w:rsidRPr="005335F4">
        <w:rPr>
          <w:spacing w:val="-2"/>
          <w:sz w:val="26"/>
          <w:szCs w:val="26"/>
          <w:lang w:val="sv-SE"/>
        </w:rPr>
        <w:t>Với đà này, KBNN sẽ sớm hoàn thành kế hoạch huy động TPCP đề ra cho cả năm nay</w:t>
      </w:r>
      <w:r w:rsidR="00142C7F">
        <w:rPr>
          <w:spacing w:val="-2"/>
          <w:sz w:val="26"/>
          <w:szCs w:val="26"/>
          <w:lang w:val="sv-SE"/>
        </w:rPr>
        <w:t>.</w:t>
      </w:r>
    </w:p>
    <w:p w:rsidR="00245E80" w:rsidRPr="00245E80" w:rsidRDefault="00245E80" w:rsidP="000D2811">
      <w:pPr>
        <w:pStyle w:val="ListParagraph"/>
        <w:numPr>
          <w:ilvl w:val="0"/>
          <w:numId w:val="24"/>
        </w:numPr>
        <w:tabs>
          <w:tab w:val="left" w:pos="993"/>
        </w:tabs>
        <w:spacing w:before="120" w:line="264" w:lineRule="auto"/>
        <w:ind w:left="426" w:firstLine="141"/>
        <w:contextualSpacing w:val="0"/>
        <w:rPr>
          <w:b/>
          <w:i/>
          <w:sz w:val="26"/>
          <w:szCs w:val="26"/>
        </w:rPr>
      </w:pPr>
      <w:r w:rsidRPr="00245E80">
        <w:rPr>
          <w:b/>
          <w:i/>
          <w:sz w:val="26"/>
          <w:szCs w:val="26"/>
        </w:rPr>
        <w:t>Thị trường thứ cấp</w:t>
      </w:r>
    </w:p>
    <w:p w:rsidR="00245E80" w:rsidRPr="00386A35" w:rsidRDefault="00B305AA" w:rsidP="00B305AA">
      <w:pPr>
        <w:tabs>
          <w:tab w:val="left" w:pos="567"/>
        </w:tabs>
        <w:spacing w:before="120" w:line="264" w:lineRule="auto"/>
        <w:ind w:firstLine="0"/>
        <w:rPr>
          <w:rFonts w:eastAsiaTheme="minorEastAsia"/>
          <w:sz w:val="26"/>
          <w:szCs w:val="26"/>
          <w:lang w:val="sv-SE"/>
        </w:rPr>
      </w:pPr>
      <w:r>
        <w:rPr>
          <w:rFonts w:eastAsiaTheme="minorEastAsia"/>
          <w:sz w:val="26"/>
          <w:szCs w:val="26"/>
          <w:lang w:val="sv-SE"/>
        </w:rPr>
        <w:tab/>
      </w:r>
      <w:r w:rsidR="00245E80" w:rsidRPr="00386A35">
        <w:rPr>
          <w:rFonts w:eastAsiaTheme="minorEastAsia"/>
          <w:sz w:val="26"/>
          <w:szCs w:val="26"/>
          <w:lang w:val="sv-SE"/>
        </w:rPr>
        <w:t>Thị trường thứ cấp vẫ</w:t>
      </w:r>
      <w:r w:rsidR="00245E80">
        <w:rPr>
          <w:rFonts w:eastAsiaTheme="minorEastAsia"/>
          <w:sz w:val="26"/>
          <w:szCs w:val="26"/>
          <w:lang w:val="sv-SE"/>
        </w:rPr>
        <w:t>n tiếp tục</w:t>
      </w:r>
      <w:r w:rsidR="00245E80" w:rsidRPr="00386A35">
        <w:rPr>
          <w:rFonts w:eastAsiaTheme="minorEastAsia"/>
          <w:sz w:val="26"/>
          <w:szCs w:val="26"/>
          <w:lang w:val="sv-SE"/>
        </w:rPr>
        <w:t xml:space="preserve"> sôi động. Giá trị giao dịch bình quân phiên tính đế</w:t>
      </w:r>
      <w:r w:rsidR="00245E80">
        <w:rPr>
          <w:rFonts w:eastAsiaTheme="minorEastAsia"/>
          <w:sz w:val="26"/>
          <w:szCs w:val="26"/>
          <w:lang w:val="sv-SE"/>
        </w:rPr>
        <w:t>n 23/8</w:t>
      </w:r>
      <w:r w:rsidR="00245E80" w:rsidRPr="00386A35">
        <w:rPr>
          <w:rFonts w:eastAsiaTheme="minorEastAsia"/>
          <w:sz w:val="26"/>
          <w:szCs w:val="26"/>
          <w:lang w:val="sv-SE"/>
        </w:rPr>
        <w:t xml:space="preserve"> đạ</w:t>
      </w:r>
      <w:r w:rsidR="00245E80">
        <w:rPr>
          <w:rFonts w:eastAsiaTheme="minorEastAsia"/>
          <w:sz w:val="26"/>
          <w:szCs w:val="26"/>
          <w:lang w:val="sv-SE"/>
        </w:rPr>
        <w:t>t 3.865</w:t>
      </w:r>
      <w:r w:rsidR="00245E80" w:rsidRPr="00386A35">
        <w:rPr>
          <w:rFonts w:eastAsiaTheme="minorEastAsia"/>
          <w:sz w:val="26"/>
          <w:szCs w:val="26"/>
          <w:lang w:val="sv-SE"/>
        </w:rPr>
        <w:t xml:space="preserve"> tỷ đồng/phiên. </w:t>
      </w:r>
    </w:p>
    <w:p w:rsidR="00245E80" w:rsidRDefault="00245E80" w:rsidP="00206A71">
      <w:pPr>
        <w:spacing w:before="120" w:line="264" w:lineRule="auto"/>
        <w:ind w:firstLine="567"/>
        <w:rPr>
          <w:rFonts w:eastAsiaTheme="minorEastAsia"/>
          <w:sz w:val="26"/>
          <w:szCs w:val="26"/>
          <w:lang w:val="sv-SE"/>
        </w:rPr>
      </w:pPr>
      <w:r w:rsidRPr="00386A35">
        <w:rPr>
          <w:rFonts w:eastAsiaTheme="minorEastAsia"/>
          <w:sz w:val="26"/>
          <w:szCs w:val="26"/>
          <w:lang w:val="sv-SE"/>
        </w:rPr>
        <w:t>Khối ngoại mua ròng tiếp tục</w:t>
      </w:r>
      <w:r>
        <w:rPr>
          <w:rFonts w:eastAsiaTheme="minorEastAsia"/>
          <w:sz w:val="26"/>
          <w:szCs w:val="26"/>
          <w:lang w:val="sv-SE"/>
        </w:rPr>
        <w:t xml:space="preserve"> </w:t>
      </w:r>
      <w:r w:rsidRPr="00386A35">
        <w:rPr>
          <w:rFonts w:eastAsiaTheme="minorEastAsia"/>
          <w:sz w:val="26"/>
          <w:szCs w:val="26"/>
          <w:lang w:val="sv-SE"/>
        </w:rPr>
        <w:t>mua ròng</w:t>
      </w:r>
      <w:r>
        <w:rPr>
          <w:rFonts w:eastAsiaTheme="minorEastAsia"/>
          <w:sz w:val="26"/>
          <w:szCs w:val="26"/>
          <w:lang w:val="sv-SE"/>
        </w:rPr>
        <w:t xml:space="preserve"> 3.865</w:t>
      </w:r>
      <w:r w:rsidRPr="00386A35">
        <w:rPr>
          <w:rFonts w:eastAsiaTheme="minorEastAsia"/>
          <w:sz w:val="26"/>
          <w:szCs w:val="26"/>
          <w:lang w:val="sv-SE"/>
        </w:rPr>
        <w:t xml:space="preserve"> tỷ đồng từ đầ</w:t>
      </w:r>
      <w:r>
        <w:rPr>
          <w:rFonts w:eastAsiaTheme="minorEastAsia"/>
          <w:sz w:val="26"/>
          <w:szCs w:val="26"/>
          <w:lang w:val="sv-SE"/>
        </w:rPr>
        <w:t>u tháng 8 đến 23/8</w:t>
      </w:r>
      <w:r w:rsidRPr="00386A35">
        <w:rPr>
          <w:rFonts w:eastAsiaTheme="minorEastAsia"/>
          <w:sz w:val="26"/>
          <w:szCs w:val="26"/>
          <w:lang w:val="sv-SE"/>
        </w:rPr>
        <w:t xml:space="preserve">. Lũy kế từ đầu năm, khối ngoại mua ròng </w:t>
      </w:r>
      <w:r>
        <w:rPr>
          <w:rFonts w:eastAsiaTheme="minorEastAsia"/>
          <w:sz w:val="26"/>
          <w:szCs w:val="26"/>
          <w:lang w:val="sv-SE"/>
        </w:rPr>
        <w:t>19.288</w:t>
      </w:r>
      <w:r w:rsidRPr="00386A35">
        <w:rPr>
          <w:rFonts w:eastAsiaTheme="minorEastAsia"/>
          <w:sz w:val="26"/>
          <w:szCs w:val="26"/>
          <w:lang w:val="sv-SE"/>
        </w:rPr>
        <w:t xml:space="preserve"> tỷ đồng TPCP.</w:t>
      </w:r>
    </w:p>
    <w:p w:rsidR="00B9079D" w:rsidRDefault="00B9079D" w:rsidP="00206A71">
      <w:pPr>
        <w:spacing w:before="120" w:line="264" w:lineRule="auto"/>
        <w:ind w:firstLine="567"/>
        <w:rPr>
          <w:rFonts w:eastAsiaTheme="minorEastAsia"/>
          <w:sz w:val="26"/>
          <w:szCs w:val="26"/>
          <w:lang w:val="sv-SE"/>
        </w:rPr>
      </w:pPr>
    </w:p>
    <w:p w:rsidR="00B9079D" w:rsidRDefault="00B9079D" w:rsidP="00206A71">
      <w:pPr>
        <w:spacing w:before="120" w:line="264" w:lineRule="auto"/>
        <w:ind w:firstLine="567"/>
        <w:rPr>
          <w:rFonts w:eastAsiaTheme="minorEastAsia"/>
          <w:sz w:val="26"/>
          <w:szCs w:val="26"/>
          <w:lang w:val="sv-SE"/>
        </w:rPr>
      </w:pPr>
    </w:p>
    <w:p w:rsidR="00153AAE" w:rsidRPr="00B63A17" w:rsidRDefault="00153AAE" w:rsidP="00153AAE">
      <w:pPr>
        <w:numPr>
          <w:ilvl w:val="1"/>
          <w:numId w:val="16"/>
        </w:numPr>
        <w:tabs>
          <w:tab w:val="left" w:pos="284"/>
          <w:tab w:val="left" w:pos="630"/>
        </w:tabs>
        <w:spacing w:before="120" w:line="264" w:lineRule="auto"/>
        <w:ind w:left="567" w:hanging="567"/>
        <w:jc w:val="left"/>
        <w:rPr>
          <w:rFonts w:eastAsiaTheme="minorHAnsi"/>
          <w:b/>
          <w:sz w:val="26"/>
          <w:szCs w:val="26"/>
          <w:lang w:val="sv-SE"/>
        </w:rPr>
      </w:pPr>
      <w:r w:rsidRPr="00B63A17">
        <w:rPr>
          <w:rFonts w:eastAsiaTheme="minorHAnsi"/>
          <w:b/>
          <w:sz w:val="26"/>
          <w:szCs w:val="26"/>
          <w:lang w:val="sv-SE"/>
        </w:rPr>
        <w:lastRenderedPageBreak/>
        <w:t>Dòng vốn nước ngoài</w:t>
      </w:r>
    </w:p>
    <w:p w:rsidR="00153AAE" w:rsidRPr="006441E7" w:rsidRDefault="00153AAE" w:rsidP="00153AAE">
      <w:pPr>
        <w:spacing w:before="120" w:line="264" w:lineRule="auto"/>
        <w:rPr>
          <w:spacing w:val="-2"/>
          <w:sz w:val="26"/>
          <w:szCs w:val="26"/>
          <w:lang w:val="sv-SE"/>
        </w:rPr>
      </w:pPr>
      <w:r w:rsidRPr="006441E7">
        <w:rPr>
          <w:spacing w:val="-2"/>
          <w:sz w:val="26"/>
          <w:szCs w:val="26"/>
          <w:lang w:val="sv-SE"/>
        </w:rPr>
        <w:t>Tính tới 26/8/2016, nhà đầu tư nước ngoài mua ròng xấp xỉ 19.200 tỷ đồng trên thị trường chứng khoán (860 triệu USD); trong đó mua ròng 20.400 tỷ đồng trái phiếu Chính phủ và bán ròng 1.200 tỷ đồng cổ phiếu niêm yết /đăng ký giao dịch.Tổng giá trị thị trường danh mục nắm giữ của nhà đầu tư nước ngoài đạt 19,95 tỷ USD, tăng 21% so với cuối năm 2015</w:t>
      </w:r>
    </w:p>
    <w:p w:rsidR="00153AAE" w:rsidRPr="00386A35" w:rsidRDefault="00153AAE" w:rsidP="00153AAE">
      <w:pPr>
        <w:spacing w:before="120" w:line="264" w:lineRule="auto"/>
        <w:ind w:firstLine="0"/>
        <w:rPr>
          <w:rFonts w:eastAsiaTheme="minorEastAsia"/>
          <w:sz w:val="26"/>
          <w:szCs w:val="26"/>
          <w:lang w:val="sv-SE"/>
        </w:rPr>
      </w:pPr>
    </w:p>
    <w:p w:rsidR="00BC5190" w:rsidRPr="00F36FB7" w:rsidRDefault="00142C7F" w:rsidP="00BA08D3">
      <w:pPr>
        <w:tabs>
          <w:tab w:val="left" w:pos="851"/>
          <w:tab w:val="left" w:pos="993"/>
          <w:tab w:val="left" w:pos="1134"/>
        </w:tabs>
        <w:spacing w:before="120" w:line="264" w:lineRule="auto"/>
        <w:ind w:firstLine="0"/>
        <w:jc w:val="right"/>
        <w:rPr>
          <w:b/>
          <w:sz w:val="26"/>
          <w:szCs w:val="26"/>
          <w:lang w:val="nl-NL"/>
        </w:rPr>
      </w:pPr>
      <w:r>
        <w:rPr>
          <w:b/>
          <w:i/>
          <w:sz w:val="26"/>
          <w:szCs w:val="26"/>
          <w:lang w:val="sv-SE"/>
        </w:rPr>
        <w:tab/>
      </w:r>
      <w:r w:rsidR="00245E80" w:rsidRPr="00142C7F">
        <w:rPr>
          <w:sz w:val="26"/>
          <w:szCs w:val="26"/>
          <w:lang w:val="sv-SE"/>
        </w:rPr>
        <w:t xml:space="preserve"> </w:t>
      </w:r>
      <w:r w:rsidR="00556FC1" w:rsidRPr="00F36FB7">
        <w:rPr>
          <w:b/>
          <w:sz w:val="26"/>
          <w:szCs w:val="26"/>
          <w:lang w:val="nl-NL"/>
        </w:rPr>
        <w:t>ỦY</w:t>
      </w:r>
      <w:r w:rsidR="00B50EE3" w:rsidRPr="00F36FB7">
        <w:rPr>
          <w:b/>
          <w:sz w:val="26"/>
          <w:szCs w:val="26"/>
          <w:lang w:val="nl-NL"/>
        </w:rPr>
        <w:t xml:space="preserve"> BAN GIÁM SÁT TÀI </w:t>
      </w:r>
      <w:r w:rsidR="00F727DF" w:rsidRPr="00F36FB7">
        <w:rPr>
          <w:b/>
          <w:sz w:val="26"/>
          <w:szCs w:val="26"/>
          <w:lang w:val="nl-NL"/>
        </w:rPr>
        <w:t>CHÍNH QUỐC GIA</w:t>
      </w:r>
    </w:p>
    <w:sectPr w:rsidR="00BC5190" w:rsidRPr="00F36FB7" w:rsidSect="00F10517">
      <w:footerReference w:type="default" r:id="rId23"/>
      <w:footerReference w:type="first" r:id="rId24"/>
      <w:pgSz w:w="11907" w:h="16839" w:code="9"/>
      <w:pgMar w:top="851" w:right="1134" w:bottom="851" w:left="1701" w:header="68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90" w:rsidRDefault="00D63090" w:rsidP="00D118DD">
      <w:pPr>
        <w:spacing w:after="0"/>
      </w:pPr>
      <w:r>
        <w:separator/>
      </w:r>
    </w:p>
  </w:endnote>
  <w:endnote w:type="continuationSeparator" w:id="0">
    <w:p w:rsidR="00D63090" w:rsidRDefault="00D63090" w:rsidP="00D11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930"/>
      <w:docPartObj>
        <w:docPartGallery w:val="Page Numbers (Bottom of Page)"/>
        <w:docPartUnique/>
      </w:docPartObj>
    </w:sdtPr>
    <w:sdtEndPr>
      <w:rPr>
        <w:noProof/>
      </w:rPr>
    </w:sdtEndPr>
    <w:sdtContent>
      <w:p w:rsidR="00EE4280" w:rsidRDefault="009A4269">
        <w:pPr>
          <w:pStyle w:val="Footer"/>
          <w:jc w:val="right"/>
        </w:pPr>
        <w:r>
          <w:fldChar w:fldCharType="begin"/>
        </w:r>
        <w:r>
          <w:instrText xml:space="preserve"> PAGE   \* MERGEFORMAT </w:instrText>
        </w:r>
        <w:r>
          <w:fldChar w:fldCharType="separate"/>
        </w:r>
        <w:r w:rsidR="00D72129">
          <w:rPr>
            <w:noProof/>
          </w:rPr>
          <w:t>2</w:t>
        </w:r>
        <w:r>
          <w:rPr>
            <w:noProof/>
          </w:rPr>
          <w:fldChar w:fldCharType="end"/>
        </w:r>
      </w:p>
    </w:sdtContent>
  </w:sdt>
  <w:p w:rsidR="00EE4280" w:rsidRDefault="00EE4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17" w:rsidRDefault="00F10517" w:rsidP="00F1051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90" w:rsidRDefault="00D63090" w:rsidP="00D118DD">
      <w:pPr>
        <w:spacing w:after="0"/>
      </w:pPr>
      <w:r>
        <w:separator/>
      </w:r>
    </w:p>
  </w:footnote>
  <w:footnote w:type="continuationSeparator" w:id="0">
    <w:p w:rsidR="00D63090" w:rsidRDefault="00D63090" w:rsidP="00D118DD">
      <w:pPr>
        <w:spacing w:after="0"/>
      </w:pPr>
      <w:r>
        <w:continuationSeparator/>
      </w:r>
    </w:p>
  </w:footnote>
  <w:footnote w:id="1">
    <w:p w:rsidR="00EE4280" w:rsidRPr="007F0E78" w:rsidRDefault="00EE4280" w:rsidP="009B5F6A">
      <w:pPr>
        <w:pStyle w:val="FootnoteText"/>
        <w:spacing w:after="0"/>
        <w:ind w:firstLine="0"/>
        <w:rPr>
          <w:lang w:val="pt-BR"/>
        </w:rPr>
      </w:pPr>
      <w:r>
        <w:rPr>
          <w:rStyle w:val="FootnoteReference"/>
        </w:rPr>
        <w:footnoteRef/>
      </w:r>
      <w:r w:rsidRPr="007F0E78">
        <w:rPr>
          <w:lang w:val="pt-BR"/>
        </w:rPr>
        <w:t xml:space="preserve"> Theo số liệu của Tổng cục Hải Quan thì cán cân thương mại của Việt Nam trong 15 ngày đầu tháng 8 thâm hụt 268 triệu USD, đưa mức thặng dư của cán cân thương mại của cả nước từ đầu năm đến ngày 15/8/2016 còn gần 2,04 tỷ USD.</w:t>
      </w:r>
    </w:p>
  </w:footnote>
  <w:footnote w:id="2">
    <w:p w:rsidR="00EE4280" w:rsidRPr="00D740A4" w:rsidRDefault="00EE4280" w:rsidP="00142C7F">
      <w:pPr>
        <w:pStyle w:val="FootnoteText"/>
        <w:spacing w:after="0"/>
        <w:ind w:firstLine="0"/>
        <w:jc w:val="left"/>
        <w:rPr>
          <w:lang w:val="vi-VN"/>
        </w:rPr>
      </w:pPr>
      <w:r w:rsidRPr="00AA74DD">
        <w:rPr>
          <w:rStyle w:val="FootnoteReference"/>
        </w:rPr>
        <w:footnoteRef/>
      </w:r>
      <w:r w:rsidRPr="00D740A4">
        <w:rPr>
          <w:lang w:val="vi-VN"/>
        </w:rPr>
        <w:t xml:space="preserve"> T</w:t>
      </w:r>
      <w:r w:rsidRPr="00AA74DD">
        <w:rPr>
          <w:lang w:val="vi-VN"/>
        </w:rPr>
        <w:t>rong đó thu nội địa đạt 61,9% dự toán (cùng kỳ 2015: 67,2%), thu từ dầu thô đạt 45,2% (cùng kỳ 2015: 48,2%), thu cân đối ngân sách từ XNK đạt 52,4% dự toán (cùng kỳ 2015: 58%)</w:t>
      </w:r>
      <w:r w:rsidRPr="00D740A4">
        <w:rPr>
          <w:lang w:val="vi-VN"/>
        </w:rPr>
        <w:t>.</w:t>
      </w:r>
    </w:p>
  </w:footnote>
  <w:footnote w:id="3">
    <w:p w:rsidR="00EE4280" w:rsidRPr="00797176" w:rsidRDefault="00EE4280" w:rsidP="009B5F6A">
      <w:pPr>
        <w:pStyle w:val="FootnoteText"/>
        <w:spacing w:after="0"/>
        <w:ind w:firstLine="0"/>
        <w:rPr>
          <w:lang w:val="vi-VN"/>
        </w:rPr>
      </w:pPr>
      <w:r w:rsidRPr="00946432">
        <w:rPr>
          <w:rStyle w:val="FootnoteReference"/>
        </w:rPr>
        <w:footnoteRef/>
      </w:r>
      <w:r w:rsidRPr="00D740A4">
        <w:rPr>
          <w:lang w:val="vi-VN"/>
        </w:rPr>
        <w:t xml:space="preserve"> Giá dầu thanh toán bình quân 7 tháng đầu năm 2016 của Việt Nam đạt 41 USD/thùng, thấp hơn 19 USD/thù</w:t>
      </w:r>
      <w:r>
        <w:rPr>
          <w:lang w:val="vi-VN"/>
        </w:rPr>
        <w:t>ng so với giá xây dựng dự toán.</w:t>
      </w:r>
    </w:p>
  </w:footnote>
  <w:footnote w:id="4">
    <w:p w:rsidR="00153AAE" w:rsidRPr="00154878" w:rsidRDefault="00153AAE" w:rsidP="00153AAE">
      <w:pPr>
        <w:pStyle w:val="FootnoteText"/>
        <w:spacing w:after="0"/>
        <w:ind w:firstLine="0"/>
        <w:rPr>
          <w:lang w:val="vi-VN"/>
        </w:rPr>
      </w:pPr>
      <w:r w:rsidRPr="00154878">
        <w:rPr>
          <w:rStyle w:val="FootnoteReference"/>
        </w:rPr>
        <w:footnoteRef/>
      </w:r>
      <w:r w:rsidRPr="00154878">
        <w:rPr>
          <w:lang w:val="vi-VN"/>
        </w:rPr>
        <w:t xml:space="preserve"> Tính đến hết tháng 7</w:t>
      </w:r>
      <w:r w:rsidRPr="009263A9">
        <w:rPr>
          <w:lang w:val="vi-VN"/>
        </w:rPr>
        <w:t>, tín dụng tăng trưởng 9,45% so với đầu năm, trong đó</w:t>
      </w:r>
      <w:r w:rsidRPr="00154878">
        <w:rPr>
          <w:lang w:val="vi-VN"/>
        </w:rPr>
        <w:t xml:space="preserve"> cho vay trong lĩnh vực nông nghiệp nông thôn </w:t>
      </w:r>
      <w:r w:rsidRPr="009263A9">
        <w:rPr>
          <w:lang w:val="vi-VN"/>
        </w:rPr>
        <w:t>chỉ</w:t>
      </w:r>
      <w:r w:rsidRPr="00693E02">
        <w:rPr>
          <w:lang w:val="vi-VN"/>
        </w:rPr>
        <w:t xml:space="preserve"> </w:t>
      </w:r>
      <w:r w:rsidRPr="00154878">
        <w:rPr>
          <w:lang w:val="vi-VN"/>
        </w:rPr>
        <w:t>tăng 6,1% so với đầu năm, cho vay xuất khẩu tăng trên 3%, doanh nghiệp nhỏ và vừa tăng 3,3%.</w:t>
      </w:r>
    </w:p>
  </w:footnote>
  <w:footnote w:id="5">
    <w:p w:rsidR="00153AAE" w:rsidRPr="00516708" w:rsidRDefault="00153AAE" w:rsidP="00153AAE">
      <w:pPr>
        <w:spacing w:after="0"/>
        <w:ind w:firstLine="0"/>
        <w:rPr>
          <w:spacing w:val="-4"/>
          <w:sz w:val="26"/>
          <w:szCs w:val="26"/>
          <w:lang w:val="vi-VN"/>
        </w:rPr>
      </w:pPr>
      <w:r w:rsidRPr="00DE68F6">
        <w:rPr>
          <w:sz w:val="20"/>
          <w:szCs w:val="20"/>
          <w:vertAlign w:val="superscript"/>
          <w:lang w:val="vi-VN"/>
        </w:rPr>
        <w:footnoteRef/>
      </w:r>
      <w:r w:rsidRPr="00DE68F6">
        <w:rPr>
          <w:sz w:val="20"/>
          <w:szCs w:val="20"/>
          <w:vertAlign w:val="superscript"/>
          <w:lang w:val="vi-VN"/>
        </w:rPr>
        <w:t xml:space="preserve"> </w:t>
      </w:r>
      <w:r w:rsidRPr="00516708">
        <w:rPr>
          <w:sz w:val="20"/>
          <w:szCs w:val="20"/>
          <w:lang w:val="vi-VN"/>
        </w:rPr>
        <w:t>Tính đến ngày 19/8, lãi suất VND ở các kỳ hạn giao dịch quanh mức sau: O/N 1,00%, giảm 0,5 điểm %; 1</w:t>
      </w:r>
      <w:r w:rsidR="00E12F68" w:rsidRPr="00E12F68">
        <w:rPr>
          <w:sz w:val="20"/>
          <w:szCs w:val="20"/>
          <w:lang w:val="vi-VN"/>
        </w:rPr>
        <w:t xml:space="preserve"> tuần: </w:t>
      </w:r>
      <w:r w:rsidR="00E12F68">
        <w:rPr>
          <w:sz w:val="20"/>
          <w:szCs w:val="20"/>
          <w:lang w:val="vi-VN"/>
        </w:rPr>
        <w:t>1,10%, giảm 0,5 điểm %; 2</w:t>
      </w:r>
      <w:r w:rsidR="00E12F68" w:rsidRPr="00E12F68">
        <w:rPr>
          <w:sz w:val="20"/>
          <w:szCs w:val="20"/>
          <w:lang w:val="vi-VN"/>
        </w:rPr>
        <w:t xml:space="preserve"> tuần:</w:t>
      </w:r>
      <w:r w:rsidRPr="00516708">
        <w:rPr>
          <w:sz w:val="20"/>
          <w:szCs w:val="20"/>
          <w:lang w:val="vi-VN"/>
        </w:rPr>
        <w:t xml:space="preserve"> 1,28%, giảm 0,52 điểm %; 1</w:t>
      </w:r>
      <w:r w:rsidR="00E12F68" w:rsidRPr="00E12F68">
        <w:rPr>
          <w:sz w:val="20"/>
          <w:szCs w:val="20"/>
          <w:lang w:val="vi-VN"/>
        </w:rPr>
        <w:t xml:space="preserve"> tháng:</w:t>
      </w:r>
      <w:r w:rsidRPr="00516708">
        <w:rPr>
          <w:sz w:val="20"/>
          <w:szCs w:val="20"/>
          <w:lang w:val="vi-VN"/>
        </w:rPr>
        <w:t xml:space="preserve"> 2,14%,</w:t>
      </w:r>
      <w:r>
        <w:rPr>
          <w:sz w:val="20"/>
          <w:szCs w:val="20"/>
          <w:lang w:val="vi-VN"/>
        </w:rPr>
        <w:t xml:space="preserve"> giảm 0,36</w:t>
      </w:r>
      <w:r w:rsidRPr="00DE68F6">
        <w:rPr>
          <w:sz w:val="20"/>
          <w:szCs w:val="20"/>
          <w:lang w:val="vi-VN"/>
        </w:rPr>
        <w:t xml:space="preserve"> điểm </w:t>
      </w:r>
      <w:r>
        <w:rPr>
          <w:sz w:val="20"/>
          <w:szCs w:val="20"/>
          <w:lang w:val="vi-VN"/>
        </w:rPr>
        <w:t>% so với cuối tháng 7</w:t>
      </w:r>
      <w:r w:rsidRPr="00516708">
        <w:rPr>
          <w:sz w:val="20"/>
          <w:szCs w:val="20"/>
          <w:lang w:val="vi-VN"/>
        </w:rPr>
        <w:t>.</w:t>
      </w:r>
    </w:p>
  </w:footnote>
  <w:footnote w:id="6">
    <w:p w:rsidR="00153AAE" w:rsidRPr="00516708" w:rsidRDefault="00153AAE" w:rsidP="00153AAE">
      <w:pPr>
        <w:pStyle w:val="FootnoteText"/>
        <w:spacing w:after="0"/>
        <w:ind w:firstLine="0"/>
        <w:rPr>
          <w:lang w:val="vi-VN"/>
        </w:rPr>
      </w:pPr>
      <w:r w:rsidRPr="00CF5C91">
        <w:rPr>
          <w:rStyle w:val="FootnoteReference"/>
        </w:rPr>
        <w:footnoteRef/>
      </w:r>
      <w:r w:rsidRPr="004C4B64">
        <w:rPr>
          <w:lang w:val="vi-VN"/>
        </w:rPr>
        <w:t xml:space="preserve"> Bình quân khối lượng giao dịch ON nửa đầu tháng 8: 6.100 tỷ</w:t>
      </w:r>
      <w:r w:rsidR="003C2156" w:rsidRPr="003C2156">
        <w:rPr>
          <w:lang w:val="vi-VN"/>
        </w:rPr>
        <w:t xml:space="preserve"> đồng</w:t>
      </w:r>
      <w:r w:rsidRPr="004C4B64">
        <w:rPr>
          <w:lang w:val="vi-VN"/>
        </w:rPr>
        <w:t>/ngày, tháng 7: 8.050 tỷ</w:t>
      </w:r>
      <w:r w:rsidR="003C2156" w:rsidRPr="00E41FB1">
        <w:rPr>
          <w:lang w:val="vi-VN"/>
        </w:rPr>
        <w:t xml:space="preserve"> đồng</w:t>
      </w:r>
      <w:r w:rsidRPr="004C4B64">
        <w:rPr>
          <w:lang w:val="vi-VN"/>
        </w:rPr>
        <w:t>/ngày</w:t>
      </w:r>
      <w:r w:rsidRPr="00516708">
        <w:rPr>
          <w:lang w:val="vi-VN"/>
        </w:rPr>
        <w:t>.</w:t>
      </w:r>
    </w:p>
  </w:footnote>
  <w:footnote w:id="7">
    <w:p w:rsidR="00EE4280" w:rsidRPr="0059699A" w:rsidRDefault="00EE4280" w:rsidP="004C4B64">
      <w:pPr>
        <w:pStyle w:val="FootnoteText"/>
        <w:spacing w:after="0"/>
        <w:ind w:firstLine="0"/>
        <w:rPr>
          <w:lang w:val="sv-SE"/>
        </w:rPr>
      </w:pPr>
      <w:r w:rsidRPr="0059699A">
        <w:rPr>
          <w:rStyle w:val="FootnoteReference"/>
        </w:rPr>
        <w:footnoteRef/>
      </w:r>
      <w:r w:rsidRPr="0059699A">
        <w:rPr>
          <w:lang w:val="sv-SE"/>
        </w:rPr>
        <w:t xml:space="preserve"> </w:t>
      </w:r>
      <w:r w:rsidRPr="0059699A">
        <w:rPr>
          <w:bCs/>
          <w:lang w:val="sv-SE"/>
        </w:rPr>
        <w:t>Vốn FDI thực hiện 7 tháng năm nay ước tính đạt 8,6 tỷ USD, tăng 15,5% so với cùng kỳ năm 2015. (GSO)</w:t>
      </w:r>
    </w:p>
  </w:footnote>
  <w:footnote w:id="8">
    <w:p w:rsidR="00EE4280" w:rsidRDefault="00EE4280" w:rsidP="004C4B64">
      <w:pPr>
        <w:pStyle w:val="FootnoteText"/>
        <w:spacing w:after="0"/>
        <w:ind w:firstLine="0"/>
      </w:pPr>
      <w:r w:rsidRPr="0059699A">
        <w:rPr>
          <w:rStyle w:val="FootnoteReference"/>
        </w:rPr>
        <w:footnoteRef/>
      </w:r>
      <w:r w:rsidRPr="0059699A">
        <w:rPr>
          <w:lang w:val="sv-SE"/>
        </w:rPr>
        <w:t xml:space="preserve"> </w:t>
      </w:r>
      <w:r w:rsidRPr="0059699A">
        <w:rPr>
          <w:rStyle w:val="style10"/>
          <w:iCs/>
          <w:lang w:val="sv-SE"/>
        </w:rPr>
        <w:t xml:space="preserve">Tính đến hết ngày 15/8/2016 kim ngạch nhập khẩu hàng hóa của cả nước đạt 102,36 tỷ USD, giảm 0,4% (tương ứng giảm 393 triệu USD) so với cùng kỳ năm 2015. </w:t>
      </w:r>
      <w:r w:rsidRPr="0059699A">
        <w:rPr>
          <w:rStyle w:val="style10"/>
          <w:iCs/>
        </w:rPr>
        <w:t>(Tổng cục hải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5C6"/>
    <w:multiLevelType w:val="hybridMultilevel"/>
    <w:tmpl w:val="1786F04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B113772"/>
    <w:multiLevelType w:val="hybridMultilevel"/>
    <w:tmpl w:val="19F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767A"/>
    <w:multiLevelType w:val="hybridMultilevel"/>
    <w:tmpl w:val="AE7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167"/>
    <w:multiLevelType w:val="hybridMultilevel"/>
    <w:tmpl w:val="2330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93412"/>
    <w:multiLevelType w:val="hybridMultilevel"/>
    <w:tmpl w:val="E3640A80"/>
    <w:lvl w:ilvl="0" w:tplc="E9A85A5C">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1FB"/>
    <w:multiLevelType w:val="hybridMultilevel"/>
    <w:tmpl w:val="EDA8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F1985"/>
    <w:multiLevelType w:val="hybridMultilevel"/>
    <w:tmpl w:val="6896C488"/>
    <w:lvl w:ilvl="0" w:tplc="6A42E8A8">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5D1A3A"/>
    <w:multiLevelType w:val="hybridMultilevel"/>
    <w:tmpl w:val="97A89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80F31"/>
    <w:multiLevelType w:val="hybridMultilevel"/>
    <w:tmpl w:val="0C6852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04C0A41"/>
    <w:multiLevelType w:val="hybridMultilevel"/>
    <w:tmpl w:val="0C9C0570"/>
    <w:lvl w:ilvl="0" w:tplc="FF8EADE0">
      <w:start w:val="1"/>
      <w:numFmt w:val="decimal"/>
      <w:lvlText w:val="%1."/>
      <w:lvlJc w:val="left"/>
      <w:pPr>
        <w:ind w:left="1080" w:hanging="360"/>
      </w:pPr>
      <w:rPr>
        <w:rFonts w:eastAsiaTheme="minorEastAsi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7935044"/>
    <w:multiLevelType w:val="hybridMultilevel"/>
    <w:tmpl w:val="13AC29F8"/>
    <w:lvl w:ilvl="0" w:tplc="04090003">
      <w:start w:val="1"/>
      <w:numFmt w:val="bullet"/>
      <w:lvlText w:val="o"/>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7734AB"/>
    <w:multiLevelType w:val="multilevel"/>
    <w:tmpl w:val="2B8CDE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3BE03EB6"/>
    <w:multiLevelType w:val="hybridMultilevel"/>
    <w:tmpl w:val="80CA3E8C"/>
    <w:lvl w:ilvl="0" w:tplc="03808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C19A7"/>
    <w:multiLevelType w:val="hybridMultilevel"/>
    <w:tmpl w:val="489A9418"/>
    <w:lvl w:ilvl="0" w:tplc="4B742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2877A7"/>
    <w:multiLevelType w:val="hybridMultilevel"/>
    <w:tmpl w:val="B6267CEC"/>
    <w:lvl w:ilvl="0" w:tplc="1A48C1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9AE6531"/>
    <w:multiLevelType w:val="multilevel"/>
    <w:tmpl w:val="8EA60FF0"/>
    <w:lvl w:ilvl="0">
      <w:start w:val="3"/>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355ADE"/>
    <w:multiLevelType w:val="hybridMultilevel"/>
    <w:tmpl w:val="8C342486"/>
    <w:lvl w:ilvl="0" w:tplc="3C3672C0">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F0466"/>
    <w:multiLevelType w:val="hybridMultilevel"/>
    <w:tmpl w:val="3E5A80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F7A12"/>
    <w:multiLevelType w:val="hybridMultilevel"/>
    <w:tmpl w:val="94D2AD34"/>
    <w:lvl w:ilvl="0" w:tplc="0409000D">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21"/>
  </w:num>
  <w:num w:numId="2">
    <w:abstractNumId w:val="4"/>
  </w:num>
  <w:num w:numId="3">
    <w:abstractNumId w:val="24"/>
  </w:num>
  <w:num w:numId="4">
    <w:abstractNumId w:val="25"/>
  </w:num>
  <w:num w:numId="5">
    <w:abstractNumId w:val="26"/>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17"/>
  </w:num>
  <w:num w:numId="11">
    <w:abstractNumId w:val="29"/>
  </w:num>
  <w:num w:numId="12">
    <w:abstractNumId w:val="27"/>
  </w:num>
  <w:num w:numId="13">
    <w:abstractNumId w:val="1"/>
  </w:num>
  <w:num w:numId="14">
    <w:abstractNumId w:val="0"/>
  </w:num>
  <w:num w:numId="15">
    <w:abstractNumId w:val="16"/>
  </w:num>
  <w:num w:numId="16">
    <w:abstractNumId w:val="20"/>
  </w:num>
  <w:num w:numId="17">
    <w:abstractNumId w:val="7"/>
  </w:num>
  <w:num w:numId="18">
    <w:abstractNumId w:val="2"/>
  </w:num>
  <w:num w:numId="19">
    <w:abstractNumId w:val="11"/>
  </w:num>
  <w:num w:numId="20">
    <w:abstractNumId w:val="5"/>
  </w:num>
  <w:num w:numId="21">
    <w:abstractNumId w:val="19"/>
  </w:num>
  <w:num w:numId="22">
    <w:abstractNumId w:val="9"/>
  </w:num>
  <w:num w:numId="23">
    <w:abstractNumId w:val="13"/>
  </w:num>
  <w:num w:numId="24">
    <w:abstractNumId w:val="23"/>
  </w:num>
  <w:num w:numId="25">
    <w:abstractNumId w:val="14"/>
  </w:num>
  <w:num w:numId="26">
    <w:abstractNumId w:val="8"/>
  </w:num>
  <w:num w:numId="27">
    <w:abstractNumId w:val="10"/>
  </w:num>
  <w:num w:numId="28">
    <w:abstractNumId w:val="15"/>
  </w:num>
  <w:num w:numId="29">
    <w:abstractNumId w:val="22"/>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A8"/>
    <w:rsid w:val="0000033C"/>
    <w:rsid w:val="00000F44"/>
    <w:rsid w:val="00001412"/>
    <w:rsid w:val="000023EE"/>
    <w:rsid w:val="000025BC"/>
    <w:rsid w:val="00002F77"/>
    <w:rsid w:val="00003CEE"/>
    <w:rsid w:val="000046D3"/>
    <w:rsid w:val="000055D7"/>
    <w:rsid w:val="00005E87"/>
    <w:rsid w:val="000066DA"/>
    <w:rsid w:val="00006D71"/>
    <w:rsid w:val="00007C23"/>
    <w:rsid w:val="000110F5"/>
    <w:rsid w:val="00011110"/>
    <w:rsid w:val="000116A2"/>
    <w:rsid w:val="00014057"/>
    <w:rsid w:val="0001454F"/>
    <w:rsid w:val="0001574E"/>
    <w:rsid w:val="00015C27"/>
    <w:rsid w:val="000167F0"/>
    <w:rsid w:val="00017A11"/>
    <w:rsid w:val="00020412"/>
    <w:rsid w:val="00021644"/>
    <w:rsid w:val="000224EE"/>
    <w:rsid w:val="00022637"/>
    <w:rsid w:val="00023656"/>
    <w:rsid w:val="00023700"/>
    <w:rsid w:val="000249A6"/>
    <w:rsid w:val="0002600D"/>
    <w:rsid w:val="00026FD9"/>
    <w:rsid w:val="00032512"/>
    <w:rsid w:val="000329AC"/>
    <w:rsid w:val="00033F45"/>
    <w:rsid w:val="00035AA5"/>
    <w:rsid w:val="0003742B"/>
    <w:rsid w:val="00037E92"/>
    <w:rsid w:val="00042CB7"/>
    <w:rsid w:val="000436AB"/>
    <w:rsid w:val="00045E0F"/>
    <w:rsid w:val="00052186"/>
    <w:rsid w:val="000538CB"/>
    <w:rsid w:val="000548E2"/>
    <w:rsid w:val="0005492F"/>
    <w:rsid w:val="00056602"/>
    <w:rsid w:val="0006078F"/>
    <w:rsid w:val="00062ABC"/>
    <w:rsid w:val="00063004"/>
    <w:rsid w:val="00064D4D"/>
    <w:rsid w:val="00065C96"/>
    <w:rsid w:val="0006628C"/>
    <w:rsid w:val="0006688B"/>
    <w:rsid w:val="00067631"/>
    <w:rsid w:val="000678C1"/>
    <w:rsid w:val="000703CB"/>
    <w:rsid w:val="000736C6"/>
    <w:rsid w:val="00075229"/>
    <w:rsid w:val="00082CA7"/>
    <w:rsid w:val="00082DE1"/>
    <w:rsid w:val="00084201"/>
    <w:rsid w:val="00084389"/>
    <w:rsid w:val="00084A2C"/>
    <w:rsid w:val="00086081"/>
    <w:rsid w:val="00086600"/>
    <w:rsid w:val="000869A0"/>
    <w:rsid w:val="000870F2"/>
    <w:rsid w:val="00090AB5"/>
    <w:rsid w:val="000925E8"/>
    <w:rsid w:val="00094B26"/>
    <w:rsid w:val="00094FF4"/>
    <w:rsid w:val="000955EF"/>
    <w:rsid w:val="00096869"/>
    <w:rsid w:val="00096C82"/>
    <w:rsid w:val="00096E50"/>
    <w:rsid w:val="00097881"/>
    <w:rsid w:val="000A128B"/>
    <w:rsid w:val="000A14B5"/>
    <w:rsid w:val="000A17B5"/>
    <w:rsid w:val="000A1E64"/>
    <w:rsid w:val="000A22FA"/>
    <w:rsid w:val="000A28B1"/>
    <w:rsid w:val="000A3176"/>
    <w:rsid w:val="000A3CB6"/>
    <w:rsid w:val="000A4EBC"/>
    <w:rsid w:val="000A5F0B"/>
    <w:rsid w:val="000A6391"/>
    <w:rsid w:val="000A68F9"/>
    <w:rsid w:val="000A6915"/>
    <w:rsid w:val="000B04BB"/>
    <w:rsid w:val="000B1CE1"/>
    <w:rsid w:val="000B29CD"/>
    <w:rsid w:val="000B2C62"/>
    <w:rsid w:val="000B34F6"/>
    <w:rsid w:val="000B4126"/>
    <w:rsid w:val="000B6A00"/>
    <w:rsid w:val="000B7767"/>
    <w:rsid w:val="000C02F5"/>
    <w:rsid w:val="000C0801"/>
    <w:rsid w:val="000C1A39"/>
    <w:rsid w:val="000C42F1"/>
    <w:rsid w:val="000C4973"/>
    <w:rsid w:val="000D018E"/>
    <w:rsid w:val="000D0468"/>
    <w:rsid w:val="000D1204"/>
    <w:rsid w:val="000D25AC"/>
    <w:rsid w:val="000D2811"/>
    <w:rsid w:val="000D2A90"/>
    <w:rsid w:val="000D2B9E"/>
    <w:rsid w:val="000D30BA"/>
    <w:rsid w:val="000E07D8"/>
    <w:rsid w:val="000E1830"/>
    <w:rsid w:val="000E2357"/>
    <w:rsid w:val="000E5231"/>
    <w:rsid w:val="000E5F9F"/>
    <w:rsid w:val="000F05F6"/>
    <w:rsid w:val="000F06A7"/>
    <w:rsid w:val="000F410A"/>
    <w:rsid w:val="000F4841"/>
    <w:rsid w:val="000F60E5"/>
    <w:rsid w:val="000F72F5"/>
    <w:rsid w:val="000F78C0"/>
    <w:rsid w:val="000F7A1B"/>
    <w:rsid w:val="00101003"/>
    <w:rsid w:val="0010140C"/>
    <w:rsid w:val="00101CF5"/>
    <w:rsid w:val="00102181"/>
    <w:rsid w:val="001054A8"/>
    <w:rsid w:val="00106FC0"/>
    <w:rsid w:val="00110E5A"/>
    <w:rsid w:val="00111984"/>
    <w:rsid w:val="00111DDC"/>
    <w:rsid w:val="0011247E"/>
    <w:rsid w:val="001133C7"/>
    <w:rsid w:val="0011361D"/>
    <w:rsid w:val="001142F2"/>
    <w:rsid w:val="001147E5"/>
    <w:rsid w:val="00115B9D"/>
    <w:rsid w:val="00115FBB"/>
    <w:rsid w:val="00117EEE"/>
    <w:rsid w:val="001203DB"/>
    <w:rsid w:val="00120891"/>
    <w:rsid w:val="00121A6C"/>
    <w:rsid w:val="001225F4"/>
    <w:rsid w:val="00122E92"/>
    <w:rsid w:val="001235C7"/>
    <w:rsid w:val="001252E6"/>
    <w:rsid w:val="001259AF"/>
    <w:rsid w:val="001265A5"/>
    <w:rsid w:val="001265AA"/>
    <w:rsid w:val="001272E9"/>
    <w:rsid w:val="001276F4"/>
    <w:rsid w:val="00127CAD"/>
    <w:rsid w:val="001317D1"/>
    <w:rsid w:val="00134926"/>
    <w:rsid w:val="0013678F"/>
    <w:rsid w:val="00136E5D"/>
    <w:rsid w:val="00137432"/>
    <w:rsid w:val="00137671"/>
    <w:rsid w:val="0013796B"/>
    <w:rsid w:val="00140B4B"/>
    <w:rsid w:val="00141D44"/>
    <w:rsid w:val="0014213A"/>
    <w:rsid w:val="00142C7F"/>
    <w:rsid w:val="001431A9"/>
    <w:rsid w:val="00143C7C"/>
    <w:rsid w:val="00144805"/>
    <w:rsid w:val="001462B2"/>
    <w:rsid w:val="001462C9"/>
    <w:rsid w:val="00146641"/>
    <w:rsid w:val="001473A8"/>
    <w:rsid w:val="0014761C"/>
    <w:rsid w:val="001519DC"/>
    <w:rsid w:val="00153AAE"/>
    <w:rsid w:val="00153B23"/>
    <w:rsid w:val="001546C2"/>
    <w:rsid w:val="00154878"/>
    <w:rsid w:val="001565EB"/>
    <w:rsid w:val="001579F5"/>
    <w:rsid w:val="00157FB2"/>
    <w:rsid w:val="00160CBF"/>
    <w:rsid w:val="001614CB"/>
    <w:rsid w:val="001615F5"/>
    <w:rsid w:val="001649AF"/>
    <w:rsid w:val="00164B52"/>
    <w:rsid w:val="0017153E"/>
    <w:rsid w:val="00171CC5"/>
    <w:rsid w:val="00172DB1"/>
    <w:rsid w:val="001731AA"/>
    <w:rsid w:val="001733C0"/>
    <w:rsid w:val="00173BB2"/>
    <w:rsid w:val="00173D20"/>
    <w:rsid w:val="00174F6D"/>
    <w:rsid w:val="00175957"/>
    <w:rsid w:val="00176441"/>
    <w:rsid w:val="00176A32"/>
    <w:rsid w:val="00177A78"/>
    <w:rsid w:val="001805B0"/>
    <w:rsid w:val="0018161F"/>
    <w:rsid w:val="001816A3"/>
    <w:rsid w:val="00181E51"/>
    <w:rsid w:val="001845CB"/>
    <w:rsid w:val="00184820"/>
    <w:rsid w:val="00186E91"/>
    <w:rsid w:val="00187E1B"/>
    <w:rsid w:val="00190959"/>
    <w:rsid w:val="00190977"/>
    <w:rsid w:val="001912C4"/>
    <w:rsid w:val="00191EED"/>
    <w:rsid w:val="0019231B"/>
    <w:rsid w:val="00192970"/>
    <w:rsid w:val="00193CBE"/>
    <w:rsid w:val="001947FE"/>
    <w:rsid w:val="00196181"/>
    <w:rsid w:val="00196573"/>
    <w:rsid w:val="00196CB2"/>
    <w:rsid w:val="00196D7D"/>
    <w:rsid w:val="001979A1"/>
    <w:rsid w:val="001A012B"/>
    <w:rsid w:val="001A0C18"/>
    <w:rsid w:val="001A1C62"/>
    <w:rsid w:val="001A3F79"/>
    <w:rsid w:val="001A487E"/>
    <w:rsid w:val="001A5DED"/>
    <w:rsid w:val="001A6068"/>
    <w:rsid w:val="001A74E7"/>
    <w:rsid w:val="001A758F"/>
    <w:rsid w:val="001A76D3"/>
    <w:rsid w:val="001B0B98"/>
    <w:rsid w:val="001B1A80"/>
    <w:rsid w:val="001B1A88"/>
    <w:rsid w:val="001B28A5"/>
    <w:rsid w:val="001B3131"/>
    <w:rsid w:val="001B4177"/>
    <w:rsid w:val="001B47DD"/>
    <w:rsid w:val="001B559D"/>
    <w:rsid w:val="001B6706"/>
    <w:rsid w:val="001B6BC8"/>
    <w:rsid w:val="001B7E3F"/>
    <w:rsid w:val="001C1FA8"/>
    <w:rsid w:val="001C512B"/>
    <w:rsid w:val="001C6854"/>
    <w:rsid w:val="001C72BD"/>
    <w:rsid w:val="001D0788"/>
    <w:rsid w:val="001D18CD"/>
    <w:rsid w:val="001D2545"/>
    <w:rsid w:val="001D3061"/>
    <w:rsid w:val="001D7F9D"/>
    <w:rsid w:val="001E0EA6"/>
    <w:rsid w:val="001E16D6"/>
    <w:rsid w:val="001E1E72"/>
    <w:rsid w:val="001E2BF7"/>
    <w:rsid w:val="001E2E85"/>
    <w:rsid w:val="001E344E"/>
    <w:rsid w:val="001E3DAE"/>
    <w:rsid w:val="001E4F3D"/>
    <w:rsid w:val="001E6246"/>
    <w:rsid w:val="001E71E4"/>
    <w:rsid w:val="001F0569"/>
    <w:rsid w:val="001F0601"/>
    <w:rsid w:val="001F1529"/>
    <w:rsid w:val="001F201D"/>
    <w:rsid w:val="001F2985"/>
    <w:rsid w:val="001F3DAC"/>
    <w:rsid w:val="001F4829"/>
    <w:rsid w:val="001F58C6"/>
    <w:rsid w:val="001F5975"/>
    <w:rsid w:val="001F5D90"/>
    <w:rsid w:val="001F61B2"/>
    <w:rsid w:val="001F659F"/>
    <w:rsid w:val="001F7A31"/>
    <w:rsid w:val="00201875"/>
    <w:rsid w:val="00202A47"/>
    <w:rsid w:val="00202EDA"/>
    <w:rsid w:val="00204B48"/>
    <w:rsid w:val="00204E3E"/>
    <w:rsid w:val="00205ABC"/>
    <w:rsid w:val="0020610C"/>
    <w:rsid w:val="002062EC"/>
    <w:rsid w:val="00206A71"/>
    <w:rsid w:val="00213CFA"/>
    <w:rsid w:val="00214077"/>
    <w:rsid w:val="002146F1"/>
    <w:rsid w:val="00216378"/>
    <w:rsid w:val="0021643F"/>
    <w:rsid w:val="00217077"/>
    <w:rsid w:val="00225809"/>
    <w:rsid w:val="002259C1"/>
    <w:rsid w:val="00225D35"/>
    <w:rsid w:val="00225DDF"/>
    <w:rsid w:val="00226419"/>
    <w:rsid w:val="00231056"/>
    <w:rsid w:val="00231175"/>
    <w:rsid w:val="00232E00"/>
    <w:rsid w:val="00232F6F"/>
    <w:rsid w:val="002332FE"/>
    <w:rsid w:val="002337D5"/>
    <w:rsid w:val="00233AF4"/>
    <w:rsid w:val="002341B2"/>
    <w:rsid w:val="002353C7"/>
    <w:rsid w:val="00236A55"/>
    <w:rsid w:val="0023716B"/>
    <w:rsid w:val="00237E19"/>
    <w:rsid w:val="00240816"/>
    <w:rsid w:val="00241E0A"/>
    <w:rsid w:val="00242345"/>
    <w:rsid w:val="002428CA"/>
    <w:rsid w:val="002430E3"/>
    <w:rsid w:val="002433A6"/>
    <w:rsid w:val="00245E80"/>
    <w:rsid w:val="002467DA"/>
    <w:rsid w:val="0024684E"/>
    <w:rsid w:val="002475AF"/>
    <w:rsid w:val="00247882"/>
    <w:rsid w:val="002514A0"/>
    <w:rsid w:val="00252275"/>
    <w:rsid w:val="0025372E"/>
    <w:rsid w:val="0025384F"/>
    <w:rsid w:val="00254178"/>
    <w:rsid w:val="002545BA"/>
    <w:rsid w:val="002564C5"/>
    <w:rsid w:val="00256502"/>
    <w:rsid w:val="0025682E"/>
    <w:rsid w:val="0026087C"/>
    <w:rsid w:val="002613A6"/>
    <w:rsid w:val="00261D75"/>
    <w:rsid w:val="00262B15"/>
    <w:rsid w:val="002640F9"/>
    <w:rsid w:val="002670B7"/>
    <w:rsid w:val="00270787"/>
    <w:rsid w:val="00272069"/>
    <w:rsid w:val="002733EC"/>
    <w:rsid w:val="002735A9"/>
    <w:rsid w:val="00274870"/>
    <w:rsid w:val="00275768"/>
    <w:rsid w:val="00276122"/>
    <w:rsid w:val="002775A9"/>
    <w:rsid w:val="002815E8"/>
    <w:rsid w:val="00282397"/>
    <w:rsid w:val="0028248C"/>
    <w:rsid w:val="00282596"/>
    <w:rsid w:val="00284FAE"/>
    <w:rsid w:val="00285CD5"/>
    <w:rsid w:val="00285EE2"/>
    <w:rsid w:val="00286BD3"/>
    <w:rsid w:val="00286F70"/>
    <w:rsid w:val="00287750"/>
    <w:rsid w:val="0029089E"/>
    <w:rsid w:val="00290FEB"/>
    <w:rsid w:val="00291563"/>
    <w:rsid w:val="00291F7A"/>
    <w:rsid w:val="00294B7A"/>
    <w:rsid w:val="002955C3"/>
    <w:rsid w:val="002970CD"/>
    <w:rsid w:val="002A2E95"/>
    <w:rsid w:val="002A3B70"/>
    <w:rsid w:val="002A476C"/>
    <w:rsid w:val="002A47D7"/>
    <w:rsid w:val="002A61FE"/>
    <w:rsid w:val="002B0217"/>
    <w:rsid w:val="002B08DB"/>
    <w:rsid w:val="002B2A96"/>
    <w:rsid w:val="002B4A98"/>
    <w:rsid w:val="002B797F"/>
    <w:rsid w:val="002C0FAC"/>
    <w:rsid w:val="002C1224"/>
    <w:rsid w:val="002C3098"/>
    <w:rsid w:val="002C36DA"/>
    <w:rsid w:val="002C4494"/>
    <w:rsid w:val="002C45C1"/>
    <w:rsid w:val="002C4AC2"/>
    <w:rsid w:val="002C4D15"/>
    <w:rsid w:val="002C536B"/>
    <w:rsid w:val="002C63CA"/>
    <w:rsid w:val="002C7D6F"/>
    <w:rsid w:val="002D0CEC"/>
    <w:rsid w:val="002D19C6"/>
    <w:rsid w:val="002D1C9D"/>
    <w:rsid w:val="002D24C8"/>
    <w:rsid w:val="002D32F4"/>
    <w:rsid w:val="002D367E"/>
    <w:rsid w:val="002D4218"/>
    <w:rsid w:val="002D55D7"/>
    <w:rsid w:val="002D5A89"/>
    <w:rsid w:val="002D7CE8"/>
    <w:rsid w:val="002E03FD"/>
    <w:rsid w:val="002E0C42"/>
    <w:rsid w:val="002E1377"/>
    <w:rsid w:val="002E1A17"/>
    <w:rsid w:val="002E2D88"/>
    <w:rsid w:val="002E3F14"/>
    <w:rsid w:val="002E4615"/>
    <w:rsid w:val="002E47C2"/>
    <w:rsid w:val="002E608A"/>
    <w:rsid w:val="002E73FE"/>
    <w:rsid w:val="002E7453"/>
    <w:rsid w:val="002F011D"/>
    <w:rsid w:val="002F0CA1"/>
    <w:rsid w:val="002F2A1A"/>
    <w:rsid w:val="002F35C7"/>
    <w:rsid w:val="002F5B56"/>
    <w:rsid w:val="002F5C0D"/>
    <w:rsid w:val="003016F0"/>
    <w:rsid w:val="0030243F"/>
    <w:rsid w:val="00302495"/>
    <w:rsid w:val="00303A5A"/>
    <w:rsid w:val="00303B21"/>
    <w:rsid w:val="00304D2C"/>
    <w:rsid w:val="00305819"/>
    <w:rsid w:val="003059FB"/>
    <w:rsid w:val="00305D19"/>
    <w:rsid w:val="00306EF8"/>
    <w:rsid w:val="00307583"/>
    <w:rsid w:val="00307EA4"/>
    <w:rsid w:val="00310075"/>
    <w:rsid w:val="00310281"/>
    <w:rsid w:val="00311209"/>
    <w:rsid w:val="00312C9C"/>
    <w:rsid w:val="00314962"/>
    <w:rsid w:val="00317473"/>
    <w:rsid w:val="00317B09"/>
    <w:rsid w:val="0032142F"/>
    <w:rsid w:val="00321784"/>
    <w:rsid w:val="00321F37"/>
    <w:rsid w:val="0032289A"/>
    <w:rsid w:val="00322F16"/>
    <w:rsid w:val="003235A4"/>
    <w:rsid w:val="0032364D"/>
    <w:rsid w:val="0032464F"/>
    <w:rsid w:val="003247D2"/>
    <w:rsid w:val="0032484B"/>
    <w:rsid w:val="00325466"/>
    <w:rsid w:val="00325B82"/>
    <w:rsid w:val="00326082"/>
    <w:rsid w:val="003266B2"/>
    <w:rsid w:val="00326CE4"/>
    <w:rsid w:val="0032799B"/>
    <w:rsid w:val="003313CC"/>
    <w:rsid w:val="00331AAD"/>
    <w:rsid w:val="0033363C"/>
    <w:rsid w:val="00336F0A"/>
    <w:rsid w:val="00341455"/>
    <w:rsid w:val="003415F7"/>
    <w:rsid w:val="00342980"/>
    <w:rsid w:val="00343B4B"/>
    <w:rsid w:val="0034410F"/>
    <w:rsid w:val="00345A1B"/>
    <w:rsid w:val="00345EBD"/>
    <w:rsid w:val="00346736"/>
    <w:rsid w:val="00346F4E"/>
    <w:rsid w:val="00350798"/>
    <w:rsid w:val="00350EEB"/>
    <w:rsid w:val="003518BA"/>
    <w:rsid w:val="00352786"/>
    <w:rsid w:val="00353232"/>
    <w:rsid w:val="00355F36"/>
    <w:rsid w:val="003568A8"/>
    <w:rsid w:val="00360B7B"/>
    <w:rsid w:val="003619A8"/>
    <w:rsid w:val="00362041"/>
    <w:rsid w:val="00362378"/>
    <w:rsid w:val="00366846"/>
    <w:rsid w:val="00366A73"/>
    <w:rsid w:val="00366AB3"/>
    <w:rsid w:val="0037234F"/>
    <w:rsid w:val="00374D85"/>
    <w:rsid w:val="00374F5D"/>
    <w:rsid w:val="0037519C"/>
    <w:rsid w:val="00375CDC"/>
    <w:rsid w:val="00377CBE"/>
    <w:rsid w:val="0038143F"/>
    <w:rsid w:val="00381545"/>
    <w:rsid w:val="00381651"/>
    <w:rsid w:val="00382731"/>
    <w:rsid w:val="00382AF5"/>
    <w:rsid w:val="00383EE8"/>
    <w:rsid w:val="003856CF"/>
    <w:rsid w:val="00385975"/>
    <w:rsid w:val="00385A31"/>
    <w:rsid w:val="00385ACE"/>
    <w:rsid w:val="00386E01"/>
    <w:rsid w:val="00387FCF"/>
    <w:rsid w:val="00390388"/>
    <w:rsid w:val="00390416"/>
    <w:rsid w:val="00391B29"/>
    <w:rsid w:val="00391FE0"/>
    <w:rsid w:val="00392839"/>
    <w:rsid w:val="00392E13"/>
    <w:rsid w:val="0039604C"/>
    <w:rsid w:val="00396073"/>
    <w:rsid w:val="0039668E"/>
    <w:rsid w:val="00397FF3"/>
    <w:rsid w:val="003A0BC1"/>
    <w:rsid w:val="003A215B"/>
    <w:rsid w:val="003A236F"/>
    <w:rsid w:val="003A2799"/>
    <w:rsid w:val="003A2AFC"/>
    <w:rsid w:val="003A3EFD"/>
    <w:rsid w:val="003A420F"/>
    <w:rsid w:val="003A4632"/>
    <w:rsid w:val="003B048A"/>
    <w:rsid w:val="003B0C2A"/>
    <w:rsid w:val="003B3BFE"/>
    <w:rsid w:val="003B581F"/>
    <w:rsid w:val="003B6BA9"/>
    <w:rsid w:val="003B7C4C"/>
    <w:rsid w:val="003C12DF"/>
    <w:rsid w:val="003C1625"/>
    <w:rsid w:val="003C2156"/>
    <w:rsid w:val="003C51A1"/>
    <w:rsid w:val="003C5607"/>
    <w:rsid w:val="003C5B34"/>
    <w:rsid w:val="003C70FB"/>
    <w:rsid w:val="003C7B96"/>
    <w:rsid w:val="003D11A8"/>
    <w:rsid w:val="003D1B2E"/>
    <w:rsid w:val="003D2942"/>
    <w:rsid w:val="003D3810"/>
    <w:rsid w:val="003D5437"/>
    <w:rsid w:val="003E0962"/>
    <w:rsid w:val="003E27DD"/>
    <w:rsid w:val="003E28DA"/>
    <w:rsid w:val="003E3720"/>
    <w:rsid w:val="003E3BFB"/>
    <w:rsid w:val="003E3D0D"/>
    <w:rsid w:val="003E49CF"/>
    <w:rsid w:val="003E5D48"/>
    <w:rsid w:val="003F060A"/>
    <w:rsid w:val="003F21EA"/>
    <w:rsid w:val="003F2F3F"/>
    <w:rsid w:val="003F44B6"/>
    <w:rsid w:val="003F6169"/>
    <w:rsid w:val="003F71B7"/>
    <w:rsid w:val="003F7929"/>
    <w:rsid w:val="0040109F"/>
    <w:rsid w:val="004016E4"/>
    <w:rsid w:val="00403998"/>
    <w:rsid w:val="00403A26"/>
    <w:rsid w:val="00403BD4"/>
    <w:rsid w:val="00404431"/>
    <w:rsid w:val="00404E08"/>
    <w:rsid w:val="00407AFB"/>
    <w:rsid w:val="00411282"/>
    <w:rsid w:val="00411B86"/>
    <w:rsid w:val="004141B8"/>
    <w:rsid w:val="00414644"/>
    <w:rsid w:val="00416374"/>
    <w:rsid w:val="00417C2F"/>
    <w:rsid w:val="0042069B"/>
    <w:rsid w:val="00421777"/>
    <w:rsid w:val="00421929"/>
    <w:rsid w:val="00421A94"/>
    <w:rsid w:val="00422111"/>
    <w:rsid w:val="00422C89"/>
    <w:rsid w:val="004239F2"/>
    <w:rsid w:val="0042479A"/>
    <w:rsid w:val="00427AC2"/>
    <w:rsid w:val="004319BD"/>
    <w:rsid w:val="00431E26"/>
    <w:rsid w:val="0043252D"/>
    <w:rsid w:val="00432ABF"/>
    <w:rsid w:val="004349B4"/>
    <w:rsid w:val="0043558E"/>
    <w:rsid w:val="004356F1"/>
    <w:rsid w:val="00436415"/>
    <w:rsid w:val="004376ED"/>
    <w:rsid w:val="00437D0B"/>
    <w:rsid w:val="00443573"/>
    <w:rsid w:val="0044530A"/>
    <w:rsid w:val="00445735"/>
    <w:rsid w:val="00446E6C"/>
    <w:rsid w:val="00447347"/>
    <w:rsid w:val="00447761"/>
    <w:rsid w:val="00450424"/>
    <w:rsid w:val="0045083E"/>
    <w:rsid w:val="004519A0"/>
    <w:rsid w:val="00451C12"/>
    <w:rsid w:val="00452C74"/>
    <w:rsid w:val="00454ADF"/>
    <w:rsid w:val="004555DB"/>
    <w:rsid w:val="00455E76"/>
    <w:rsid w:val="0045720F"/>
    <w:rsid w:val="004579F9"/>
    <w:rsid w:val="00461BD7"/>
    <w:rsid w:val="00461D8A"/>
    <w:rsid w:val="00461EF6"/>
    <w:rsid w:val="00462767"/>
    <w:rsid w:val="00464C78"/>
    <w:rsid w:val="00464F00"/>
    <w:rsid w:val="0046523E"/>
    <w:rsid w:val="004657E1"/>
    <w:rsid w:val="00465DEA"/>
    <w:rsid w:val="004661E6"/>
    <w:rsid w:val="004661FD"/>
    <w:rsid w:val="0046639B"/>
    <w:rsid w:val="0047141D"/>
    <w:rsid w:val="004742A8"/>
    <w:rsid w:val="004764E7"/>
    <w:rsid w:val="004766D0"/>
    <w:rsid w:val="00481011"/>
    <w:rsid w:val="00481069"/>
    <w:rsid w:val="004843C2"/>
    <w:rsid w:val="00485730"/>
    <w:rsid w:val="00490717"/>
    <w:rsid w:val="00491047"/>
    <w:rsid w:val="004912FD"/>
    <w:rsid w:val="00491FA3"/>
    <w:rsid w:val="004949A7"/>
    <w:rsid w:val="004953EF"/>
    <w:rsid w:val="00495AC7"/>
    <w:rsid w:val="00496B93"/>
    <w:rsid w:val="00497550"/>
    <w:rsid w:val="00497A24"/>
    <w:rsid w:val="004A013F"/>
    <w:rsid w:val="004A06AF"/>
    <w:rsid w:val="004A0B82"/>
    <w:rsid w:val="004A100C"/>
    <w:rsid w:val="004A1EAF"/>
    <w:rsid w:val="004A3C3F"/>
    <w:rsid w:val="004A3C55"/>
    <w:rsid w:val="004A3FC6"/>
    <w:rsid w:val="004A4006"/>
    <w:rsid w:val="004A48E9"/>
    <w:rsid w:val="004A4AD0"/>
    <w:rsid w:val="004A6F35"/>
    <w:rsid w:val="004A77B6"/>
    <w:rsid w:val="004A7B00"/>
    <w:rsid w:val="004B0C33"/>
    <w:rsid w:val="004B1A68"/>
    <w:rsid w:val="004B1AA1"/>
    <w:rsid w:val="004B3623"/>
    <w:rsid w:val="004B56EF"/>
    <w:rsid w:val="004B5889"/>
    <w:rsid w:val="004B7A57"/>
    <w:rsid w:val="004C4B64"/>
    <w:rsid w:val="004C5E33"/>
    <w:rsid w:val="004C5E72"/>
    <w:rsid w:val="004D35FC"/>
    <w:rsid w:val="004D40F8"/>
    <w:rsid w:val="004D43B9"/>
    <w:rsid w:val="004D73AA"/>
    <w:rsid w:val="004D7A81"/>
    <w:rsid w:val="004E0AB8"/>
    <w:rsid w:val="004E1D4C"/>
    <w:rsid w:val="004E3275"/>
    <w:rsid w:val="004E4098"/>
    <w:rsid w:val="004E42C0"/>
    <w:rsid w:val="004E467E"/>
    <w:rsid w:val="004E4EAD"/>
    <w:rsid w:val="004E5AE5"/>
    <w:rsid w:val="004E7613"/>
    <w:rsid w:val="004F56DE"/>
    <w:rsid w:val="004F6476"/>
    <w:rsid w:val="004F6D6C"/>
    <w:rsid w:val="00500AB3"/>
    <w:rsid w:val="00501C63"/>
    <w:rsid w:val="00502461"/>
    <w:rsid w:val="005040AD"/>
    <w:rsid w:val="005042F7"/>
    <w:rsid w:val="00505DE0"/>
    <w:rsid w:val="00507A44"/>
    <w:rsid w:val="0051012B"/>
    <w:rsid w:val="005113BB"/>
    <w:rsid w:val="00511E00"/>
    <w:rsid w:val="00512F47"/>
    <w:rsid w:val="005138A1"/>
    <w:rsid w:val="00516708"/>
    <w:rsid w:val="00524517"/>
    <w:rsid w:val="0052616E"/>
    <w:rsid w:val="0052652E"/>
    <w:rsid w:val="0052721D"/>
    <w:rsid w:val="00530746"/>
    <w:rsid w:val="00530FEC"/>
    <w:rsid w:val="005310CD"/>
    <w:rsid w:val="005317B1"/>
    <w:rsid w:val="00532AF5"/>
    <w:rsid w:val="00532B73"/>
    <w:rsid w:val="005335F4"/>
    <w:rsid w:val="00533A26"/>
    <w:rsid w:val="00533D6C"/>
    <w:rsid w:val="00536B8D"/>
    <w:rsid w:val="00537637"/>
    <w:rsid w:val="00537BF4"/>
    <w:rsid w:val="00542C8A"/>
    <w:rsid w:val="00543B2C"/>
    <w:rsid w:val="005443AC"/>
    <w:rsid w:val="00546DC5"/>
    <w:rsid w:val="00547EF8"/>
    <w:rsid w:val="005501CA"/>
    <w:rsid w:val="005504C1"/>
    <w:rsid w:val="00550560"/>
    <w:rsid w:val="00550A6B"/>
    <w:rsid w:val="00552931"/>
    <w:rsid w:val="0055433C"/>
    <w:rsid w:val="00554DF9"/>
    <w:rsid w:val="00555FA3"/>
    <w:rsid w:val="00556FC1"/>
    <w:rsid w:val="005605CB"/>
    <w:rsid w:val="00560B0C"/>
    <w:rsid w:val="005620E8"/>
    <w:rsid w:val="00562652"/>
    <w:rsid w:val="005629AB"/>
    <w:rsid w:val="0056377D"/>
    <w:rsid w:val="005647F4"/>
    <w:rsid w:val="00565B5B"/>
    <w:rsid w:val="00565FBF"/>
    <w:rsid w:val="005722EF"/>
    <w:rsid w:val="00572A98"/>
    <w:rsid w:val="0057396C"/>
    <w:rsid w:val="005740B2"/>
    <w:rsid w:val="005753C5"/>
    <w:rsid w:val="0057783F"/>
    <w:rsid w:val="005778A6"/>
    <w:rsid w:val="00580305"/>
    <w:rsid w:val="00580579"/>
    <w:rsid w:val="00581714"/>
    <w:rsid w:val="00581E06"/>
    <w:rsid w:val="00582A89"/>
    <w:rsid w:val="005865D6"/>
    <w:rsid w:val="00586702"/>
    <w:rsid w:val="00586880"/>
    <w:rsid w:val="00590491"/>
    <w:rsid w:val="0059186F"/>
    <w:rsid w:val="005918CA"/>
    <w:rsid w:val="00591BE2"/>
    <w:rsid w:val="005926AC"/>
    <w:rsid w:val="00592B70"/>
    <w:rsid w:val="00594113"/>
    <w:rsid w:val="00596219"/>
    <w:rsid w:val="0059699A"/>
    <w:rsid w:val="005A082C"/>
    <w:rsid w:val="005A191E"/>
    <w:rsid w:val="005A2414"/>
    <w:rsid w:val="005A258B"/>
    <w:rsid w:val="005A3DE1"/>
    <w:rsid w:val="005A7274"/>
    <w:rsid w:val="005B0169"/>
    <w:rsid w:val="005B0398"/>
    <w:rsid w:val="005B106F"/>
    <w:rsid w:val="005B1C4C"/>
    <w:rsid w:val="005B21D6"/>
    <w:rsid w:val="005B242A"/>
    <w:rsid w:val="005B2719"/>
    <w:rsid w:val="005B3F83"/>
    <w:rsid w:val="005B733A"/>
    <w:rsid w:val="005C1694"/>
    <w:rsid w:val="005C1C7F"/>
    <w:rsid w:val="005C1E35"/>
    <w:rsid w:val="005C2F87"/>
    <w:rsid w:val="005C36AE"/>
    <w:rsid w:val="005C4A93"/>
    <w:rsid w:val="005C4AFF"/>
    <w:rsid w:val="005C50B2"/>
    <w:rsid w:val="005C530B"/>
    <w:rsid w:val="005C56CD"/>
    <w:rsid w:val="005C6068"/>
    <w:rsid w:val="005C6828"/>
    <w:rsid w:val="005C6A26"/>
    <w:rsid w:val="005C7947"/>
    <w:rsid w:val="005C7EEB"/>
    <w:rsid w:val="005D0203"/>
    <w:rsid w:val="005D08F3"/>
    <w:rsid w:val="005D10AD"/>
    <w:rsid w:val="005D123A"/>
    <w:rsid w:val="005D2ACF"/>
    <w:rsid w:val="005D335C"/>
    <w:rsid w:val="005D3425"/>
    <w:rsid w:val="005D47FB"/>
    <w:rsid w:val="005D571F"/>
    <w:rsid w:val="005D5A84"/>
    <w:rsid w:val="005D67D9"/>
    <w:rsid w:val="005E0130"/>
    <w:rsid w:val="005E3A40"/>
    <w:rsid w:val="005E3E38"/>
    <w:rsid w:val="005E4E00"/>
    <w:rsid w:val="005E56D3"/>
    <w:rsid w:val="005E6FDC"/>
    <w:rsid w:val="005F1801"/>
    <w:rsid w:val="005F2427"/>
    <w:rsid w:val="005F2AC9"/>
    <w:rsid w:val="005F38CE"/>
    <w:rsid w:val="005F4CA6"/>
    <w:rsid w:val="005F5E3A"/>
    <w:rsid w:val="005F6899"/>
    <w:rsid w:val="005F7F66"/>
    <w:rsid w:val="006002B5"/>
    <w:rsid w:val="006005A4"/>
    <w:rsid w:val="00602CD5"/>
    <w:rsid w:val="00603070"/>
    <w:rsid w:val="00603422"/>
    <w:rsid w:val="00604F4F"/>
    <w:rsid w:val="00604F9C"/>
    <w:rsid w:val="0060704B"/>
    <w:rsid w:val="00607D38"/>
    <w:rsid w:val="006100DD"/>
    <w:rsid w:val="006104B2"/>
    <w:rsid w:val="006108F7"/>
    <w:rsid w:val="00610B9D"/>
    <w:rsid w:val="006120CC"/>
    <w:rsid w:val="00612AF4"/>
    <w:rsid w:val="00613CD9"/>
    <w:rsid w:val="00615B56"/>
    <w:rsid w:val="00616A66"/>
    <w:rsid w:val="00617378"/>
    <w:rsid w:val="006200CD"/>
    <w:rsid w:val="0062075C"/>
    <w:rsid w:val="00621C39"/>
    <w:rsid w:val="006232BB"/>
    <w:rsid w:val="00623CE6"/>
    <w:rsid w:val="00625148"/>
    <w:rsid w:val="006278F4"/>
    <w:rsid w:val="00630B6C"/>
    <w:rsid w:val="00630C1B"/>
    <w:rsid w:val="00630C4B"/>
    <w:rsid w:val="00634C49"/>
    <w:rsid w:val="00637453"/>
    <w:rsid w:val="006411E8"/>
    <w:rsid w:val="0064120E"/>
    <w:rsid w:val="00641965"/>
    <w:rsid w:val="00642D78"/>
    <w:rsid w:val="006456EA"/>
    <w:rsid w:val="006459D3"/>
    <w:rsid w:val="00645E58"/>
    <w:rsid w:val="00647263"/>
    <w:rsid w:val="006479BD"/>
    <w:rsid w:val="006539E4"/>
    <w:rsid w:val="00653A12"/>
    <w:rsid w:val="00654541"/>
    <w:rsid w:val="006565D2"/>
    <w:rsid w:val="00656EDF"/>
    <w:rsid w:val="00657994"/>
    <w:rsid w:val="0066031C"/>
    <w:rsid w:val="006609B7"/>
    <w:rsid w:val="00661EC7"/>
    <w:rsid w:val="00662787"/>
    <w:rsid w:val="00662F6A"/>
    <w:rsid w:val="006630C1"/>
    <w:rsid w:val="0066529C"/>
    <w:rsid w:val="0066567D"/>
    <w:rsid w:val="006702D1"/>
    <w:rsid w:val="00670C85"/>
    <w:rsid w:val="00671A55"/>
    <w:rsid w:val="0067270C"/>
    <w:rsid w:val="0067429C"/>
    <w:rsid w:val="00674EAD"/>
    <w:rsid w:val="006750C1"/>
    <w:rsid w:val="006758E0"/>
    <w:rsid w:val="00677373"/>
    <w:rsid w:val="00677867"/>
    <w:rsid w:val="006802F7"/>
    <w:rsid w:val="00682A9B"/>
    <w:rsid w:val="00682CBE"/>
    <w:rsid w:val="0068329A"/>
    <w:rsid w:val="006833FE"/>
    <w:rsid w:val="00684249"/>
    <w:rsid w:val="006847B3"/>
    <w:rsid w:val="00684B1A"/>
    <w:rsid w:val="00684ED9"/>
    <w:rsid w:val="00684F8C"/>
    <w:rsid w:val="00685EEA"/>
    <w:rsid w:val="006900C6"/>
    <w:rsid w:val="0069174B"/>
    <w:rsid w:val="00691E0B"/>
    <w:rsid w:val="006A0460"/>
    <w:rsid w:val="006A0751"/>
    <w:rsid w:val="006A159C"/>
    <w:rsid w:val="006A191D"/>
    <w:rsid w:val="006A2CF1"/>
    <w:rsid w:val="006A4CFF"/>
    <w:rsid w:val="006A7969"/>
    <w:rsid w:val="006B0E57"/>
    <w:rsid w:val="006B2EA7"/>
    <w:rsid w:val="006B4D53"/>
    <w:rsid w:val="006B68F5"/>
    <w:rsid w:val="006B69AE"/>
    <w:rsid w:val="006B6AB1"/>
    <w:rsid w:val="006B7CA7"/>
    <w:rsid w:val="006C0ED0"/>
    <w:rsid w:val="006C166B"/>
    <w:rsid w:val="006C2971"/>
    <w:rsid w:val="006C2EA6"/>
    <w:rsid w:val="006C415E"/>
    <w:rsid w:val="006C47F8"/>
    <w:rsid w:val="006C4E1A"/>
    <w:rsid w:val="006C4F21"/>
    <w:rsid w:val="006C4F50"/>
    <w:rsid w:val="006C6556"/>
    <w:rsid w:val="006C7196"/>
    <w:rsid w:val="006D2212"/>
    <w:rsid w:val="006D35E9"/>
    <w:rsid w:val="006D4AF0"/>
    <w:rsid w:val="006D4EA1"/>
    <w:rsid w:val="006D5030"/>
    <w:rsid w:val="006D7ED0"/>
    <w:rsid w:val="006E1323"/>
    <w:rsid w:val="006E2DC2"/>
    <w:rsid w:val="006E39DF"/>
    <w:rsid w:val="006E4F43"/>
    <w:rsid w:val="006E6B83"/>
    <w:rsid w:val="006E7B0E"/>
    <w:rsid w:val="006F0A2F"/>
    <w:rsid w:val="006F0BC1"/>
    <w:rsid w:val="006F1A77"/>
    <w:rsid w:val="006F35D0"/>
    <w:rsid w:val="006F35F8"/>
    <w:rsid w:val="006F39AD"/>
    <w:rsid w:val="006F3E40"/>
    <w:rsid w:val="006F4716"/>
    <w:rsid w:val="006F56BA"/>
    <w:rsid w:val="006F6D85"/>
    <w:rsid w:val="006F7549"/>
    <w:rsid w:val="006F7589"/>
    <w:rsid w:val="0070018D"/>
    <w:rsid w:val="0070171D"/>
    <w:rsid w:val="00702735"/>
    <w:rsid w:val="007037A9"/>
    <w:rsid w:val="007053CE"/>
    <w:rsid w:val="00705A43"/>
    <w:rsid w:val="00706DDE"/>
    <w:rsid w:val="00707816"/>
    <w:rsid w:val="00710010"/>
    <w:rsid w:val="007109C5"/>
    <w:rsid w:val="00710E74"/>
    <w:rsid w:val="00711FA3"/>
    <w:rsid w:val="007131D0"/>
    <w:rsid w:val="007136AE"/>
    <w:rsid w:val="00713B57"/>
    <w:rsid w:val="00716B58"/>
    <w:rsid w:val="00717037"/>
    <w:rsid w:val="00717DB5"/>
    <w:rsid w:val="0072035D"/>
    <w:rsid w:val="00720576"/>
    <w:rsid w:val="00720781"/>
    <w:rsid w:val="00720AD1"/>
    <w:rsid w:val="00720CCB"/>
    <w:rsid w:val="0072135E"/>
    <w:rsid w:val="00722665"/>
    <w:rsid w:val="00722DA4"/>
    <w:rsid w:val="0072362A"/>
    <w:rsid w:val="00723C3D"/>
    <w:rsid w:val="00725087"/>
    <w:rsid w:val="00726340"/>
    <w:rsid w:val="00726680"/>
    <w:rsid w:val="00730DAE"/>
    <w:rsid w:val="00731A4C"/>
    <w:rsid w:val="007368D5"/>
    <w:rsid w:val="00736A90"/>
    <w:rsid w:val="00737E19"/>
    <w:rsid w:val="00740564"/>
    <w:rsid w:val="0074084A"/>
    <w:rsid w:val="00740E7E"/>
    <w:rsid w:val="0074204B"/>
    <w:rsid w:val="00742B2D"/>
    <w:rsid w:val="00743371"/>
    <w:rsid w:val="00743506"/>
    <w:rsid w:val="00745B1B"/>
    <w:rsid w:val="00747B83"/>
    <w:rsid w:val="00750E5B"/>
    <w:rsid w:val="00751D89"/>
    <w:rsid w:val="00752639"/>
    <w:rsid w:val="00752F21"/>
    <w:rsid w:val="007530BC"/>
    <w:rsid w:val="00753D0D"/>
    <w:rsid w:val="00754E36"/>
    <w:rsid w:val="00756103"/>
    <w:rsid w:val="00760482"/>
    <w:rsid w:val="00763991"/>
    <w:rsid w:val="007640B0"/>
    <w:rsid w:val="00767386"/>
    <w:rsid w:val="00770BB6"/>
    <w:rsid w:val="00770D3B"/>
    <w:rsid w:val="00772E0C"/>
    <w:rsid w:val="00774D4C"/>
    <w:rsid w:val="0077596E"/>
    <w:rsid w:val="00775BA5"/>
    <w:rsid w:val="00776123"/>
    <w:rsid w:val="00777131"/>
    <w:rsid w:val="00781B6A"/>
    <w:rsid w:val="007823CB"/>
    <w:rsid w:val="00782E80"/>
    <w:rsid w:val="00783FCC"/>
    <w:rsid w:val="00786082"/>
    <w:rsid w:val="00786882"/>
    <w:rsid w:val="00786C4A"/>
    <w:rsid w:val="00790C0B"/>
    <w:rsid w:val="00792839"/>
    <w:rsid w:val="007929DB"/>
    <w:rsid w:val="00792A3D"/>
    <w:rsid w:val="00793C8A"/>
    <w:rsid w:val="00794C3B"/>
    <w:rsid w:val="00795959"/>
    <w:rsid w:val="00796EE2"/>
    <w:rsid w:val="00797176"/>
    <w:rsid w:val="00797469"/>
    <w:rsid w:val="007A09EC"/>
    <w:rsid w:val="007A24F0"/>
    <w:rsid w:val="007A2902"/>
    <w:rsid w:val="007A2FD2"/>
    <w:rsid w:val="007A4BA0"/>
    <w:rsid w:val="007B121F"/>
    <w:rsid w:val="007B20F6"/>
    <w:rsid w:val="007B270D"/>
    <w:rsid w:val="007B2C63"/>
    <w:rsid w:val="007B2D08"/>
    <w:rsid w:val="007B2EA0"/>
    <w:rsid w:val="007B39AA"/>
    <w:rsid w:val="007B4E61"/>
    <w:rsid w:val="007B4F4A"/>
    <w:rsid w:val="007B53D2"/>
    <w:rsid w:val="007B550E"/>
    <w:rsid w:val="007C1D71"/>
    <w:rsid w:val="007C3A0B"/>
    <w:rsid w:val="007C52FC"/>
    <w:rsid w:val="007C63A4"/>
    <w:rsid w:val="007C68D2"/>
    <w:rsid w:val="007C7402"/>
    <w:rsid w:val="007C755A"/>
    <w:rsid w:val="007C7664"/>
    <w:rsid w:val="007C7CA8"/>
    <w:rsid w:val="007D3722"/>
    <w:rsid w:val="007D38C2"/>
    <w:rsid w:val="007D4069"/>
    <w:rsid w:val="007D7E94"/>
    <w:rsid w:val="007E047E"/>
    <w:rsid w:val="007E1378"/>
    <w:rsid w:val="007E14EE"/>
    <w:rsid w:val="007E31A1"/>
    <w:rsid w:val="007E3795"/>
    <w:rsid w:val="007E3935"/>
    <w:rsid w:val="007E4093"/>
    <w:rsid w:val="007E4E39"/>
    <w:rsid w:val="007E7CCE"/>
    <w:rsid w:val="007F06E5"/>
    <w:rsid w:val="007F07D1"/>
    <w:rsid w:val="007F0E78"/>
    <w:rsid w:val="007F1099"/>
    <w:rsid w:val="007F179A"/>
    <w:rsid w:val="007F35A8"/>
    <w:rsid w:val="007F43DB"/>
    <w:rsid w:val="007F6CC4"/>
    <w:rsid w:val="007F7D7A"/>
    <w:rsid w:val="0080027F"/>
    <w:rsid w:val="00800306"/>
    <w:rsid w:val="00802491"/>
    <w:rsid w:val="008025B2"/>
    <w:rsid w:val="00802DC1"/>
    <w:rsid w:val="00806378"/>
    <w:rsid w:val="00806F06"/>
    <w:rsid w:val="008070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604E"/>
    <w:rsid w:val="008273E9"/>
    <w:rsid w:val="0082770E"/>
    <w:rsid w:val="00827C45"/>
    <w:rsid w:val="008318ED"/>
    <w:rsid w:val="00832922"/>
    <w:rsid w:val="00833DEB"/>
    <w:rsid w:val="00833E66"/>
    <w:rsid w:val="00834C3B"/>
    <w:rsid w:val="00836559"/>
    <w:rsid w:val="00836C63"/>
    <w:rsid w:val="00836F43"/>
    <w:rsid w:val="00837F44"/>
    <w:rsid w:val="00843DF8"/>
    <w:rsid w:val="0084418B"/>
    <w:rsid w:val="00845DC8"/>
    <w:rsid w:val="00845E32"/>
    <w:rsid w:val="00846819"/>
    <w:rsid w:val="00850545"/>
    <w:rsid w:val="0085275E"/>
    <w:rsid w:val="0085345E"/>
    <w:rsid w:val="00853D53"/>
    <w:rsid w:val="0085423C"/>
    <w:rsid w:val="00861088"/>
    <w:rsid w:val="00862A96"/>
    <w:rsid w:val="00862F82"/>
    <w:rsid w:val="008649D2"/>
    <w:rsid w:val="00866DCD"/>
    <w:rsid w:val="00870760"/>
    <w:rsid w:val="00870B87"/>
    <w:rsid w:val="00872817"/>
    <w:rsid w:val="00876F2F"/>
    <w:rsid w:val="00877FB0"/>
    <w:rsid w:val="0088188B"/>
    <w:rsid w:val="0088487E"/>
    <w:rsid w:val="00885F02"/>
    <w:rsid w:val="008862B9"/>
    <w:rsid w:val="00886CB2"/>
    <w:rsid w:val="008872F1"/>
    <w:rsid w:val="00891B22"/>
    <w:rsid w:val="008924AF"/>
    <w:rsid w:val="00892F51"/>
    <w:rsid w:val="0089304A"/>
    <w:rsid w:val="00894153"/>
    <w:rsid w:val="008A0EFD"/>
    <w:rsid w:val="008A1E4C"/>
    <w:rsid w:val="008A30C5"/>
    <w:rsid w:val="008A417F"/>
    <w:rsid w:val="008A657F"/>
    <w:rsid w:val="008A6C90"/>
    <w:rsid w:val="008B10C1"/>
    <w:rsid w:val="008B20A5"/>
    <w:rsid w:val="008B25FE"/>
    <w:rsid w:val="008B4C95"/>
    <w:rsid w:val="008B54E3"/>
    <w:rsid w:val="008B5B72"/>
    <w:rsid w:val="008B5F76"/>
    <w:rsid w:val="008B6B85"/>
    <w:rsid w:val="008B7CCD"/>
    <w:rsid w:val="008B7EA9"/>
    <w:rsid w:val="008C05BC"/>
    <w:rsid w:val="008C1975"/>
    <w:rsid w:val="008C4B00"/>
    <w:rsid w:val="008C4B1A"/>
    <w:rsid w:val="008C5BC0"/>
    <w:rsid w:val="008C66FF"/>
    <w:rsid w:val="008C7433"/>
    <w:rsid w:val="008D086D"/>
    <w:rsid w:val="008D0F13"/>
    <w:rsid w:val="008D1489"/>
    <w:rsid w:val="008D2284"/>
    <w:rsid w:val="008D56AC"/>
    <w:rsid w:val="008D6984"/>
    <w:rsid w:val="008D6DCB"/>
    <w:rsid w:val="008E2985"/>
    <w:rsid w:val="008E29C8"/>
    <w:rsid w:val="008E3164"/>
    <w:rsid w:val="008E407F"/>
    <w:rsid w:val="008E5730"/>
    <w:rsid w:val="008E6411"/>
    <w:rsid w:val="008E6691"/>
    <w:rsid w:val="008E774C"/>
    <w:rsid w:val="008E7BB9"/>
    <w:rsid w:val="008F1E6A"/>
    <w:rsid w:val="008F217E"/>
    <w:rsid w:val="008F337E"/>
    <w:rsid w:val="008F3E64"/>
    <w:rsid w:val="008F4E6E"/>
    <w:rsid w:val="008F6570"/>
    <w:rsid w:val="008F76B8"/>
    <w:rsid w:val="00900767"/>
    <w:rsid w:val="009029FC"/>
    <w:rsid w:val="00903ABC"/>
    <w:rsid w:val="0090443D"/>
    <w:rsid w:val="00904C44"/>
    <w:rsid w:val="00905577"/>
    <w:rsid w:val="009060FA"/>
    <w:rsid w:val="0090681E"/>
    <w:rsid w:val="009074CA"/>
    <w:rsid w:val="00910E06"/>
    <w:rsid w:val="00910F80"/>
    <w:rsid w:val="0091176A"/>
    <w:rsid w:val="009127EF"/>
    <w:rsid w:val="00912AC0"/>
    <w:rsid w:val="00913690"/>
    <w:rsid w:val="0091407F"/>
    <w:rsid w:val="00914207"/>
    <w:rsid w:val="00915AC1"/>
    <w:rsid w:val="009170C0"/>
    <w:rsid w:val="00917430"/>
    <w:rsid w:val="00920135"/>
    <w:rsid w:val="00920CDF"/>
    <w:rsid w:val="00923124"/>
    <w:rsid w:val="00923576"/>
    <w:rsid w:val="00930B0D"/>
    <w:rsid w:val="00933260"/>
    <w:rsid w:val="00933EDB"/>
    <w:rsid w:val="009345E9"/>
    <w:rsid w:val="009352D0"/>
    <w:rsid w:val="00935A72"/>
    <w:rsid w:val="00936142"/>
    <w:rsid w:val="009405A7"/>
    <w:rsid w:val="00942259"/>
    <w:rsid w:val="00945733"/>
    <w:rsid w:val="00945CA7"/>
    <w:rsid w:val="00945E23"/>
    <w:rsid w:val="009461E3"/>
    <w:rsid w:val="00946906"/>
    <w:rsid w:val="009472F3"/>
    <w:rsid w:val="009473A3"/>
    <w:rsid w:val="00950EB7"/>
    <w:rsid w:val="009515E2"/>
    <w:rsid w:val="0095247A"/>
    <w:rsid w:val="00953005"/>
    <w:rsid w:val="00953D43"/>
    <w:rsid w:val="00953DB7"/>
    <w:rsid w:val="00954462"/>
    <w:rsid w:val="009558C0"/>
    <w:rsid w:val="00955EA2"/>
    <w:rsid w:val="0095610C"/>
    <w:rsid w:val="00957281"/>
    <w:rsid w:val="0095772F"/>
    <w:rsid w:val="0095789A"/>
    <w:rsid w:val="0096070A"/>
    <w:rsid w:val="00960AC8"/>
    <w:rsid w:val="00960C6C"/>
    <w:rsid w:val="00961004"/>
    <w:rsid w:val="009621CD"/>
    <w:rsid w:val="009625BF"/>
    <w:rsid w:val="00962E9C"/>
    <w:rsid w:val="00964561"/>
    <w:rsid w:val="00966A63"/>
    <w:rsid w:val="00967A3D"/>
    <w:rsid w:val="009704C1"/>
    <w:rsid w:val="009707FF"/>
    <w:rsid w:val="00970D73"/>
    <w:rsid w:val="009727F9"/>
    <w:rsid w:val="00974533"/>
    <w:rsid w:val="00975915"/>
    <w:rsid w:val="009760AD"/>
    <w:rsid w:val="00976104"/>
    <w:rsid w:val="009822AB"/>
    <w:rsid w:val="009826BF"/>
    <w:rsid w:val="009848CF"/>
    <w:rsid w:val="00985217"/>
    <w:rsid w:val="0098645F"/>
    <w:rsid w:val="00986529"/>
    <w:rsid w:val="00990A41"/>
    <w:rsid w:val="009910D7"/>
    <w:rsid w:val="009923F0"/>
    <w:rsid w:val="00992742"/>
    <w:rsid w:val="00992850"/>
    <w:rsid w:val="00996B22"/>
    <w:rsid w:val="00997047"/>
    <w:rsid w:val="009975BF"/>
    <w:rsid w:val="009A0C76"/>
    <w:rsid w:val="009A0FEE"/>
    <w:rsid w:val="009A12AC"/>
    <w:rsid w:val="009A1F8B"/>
    <w:rsid w:val="009A2504"/>
    <w:rsid w:val="009A290E"/>
    <w:rsid w:val="009A3CF3"/>
    <w:rsid w:val="009A4269"/>
    <w:rsid w:val="009A4725"/>
    <w:rsid w:val="009A4793"/>
    <w:rsid w:val="009A6A92"/>
    <w:rsid w:val="009A6BF7"/>
    <w:rsid w:val="009A6EAE"/>
    <w:rsid w:val="009A7565"/>
    <w:rsid w:val="009B012C"/>
    <w:rsid w:val="009B0305"/>
    <w:rsid w:val="009B0C81"/>
    <w:rsid w:val="009B13FF"/>
    <w:rsid w:val="009B2044"/>
    <w:rsid w:val="009B4765"/>
    <w:rsid w:val="009B4CDB"/>
    <w:rsid w:val="009B5562"/>
    <w:rsid w:val="009B572C"/>
    <w:rsid w:val="009B5CF5"/>
    <w:rsid w:val="009B5F6A"/>
    <w:rsid w:val="009C1F28"/>
    <w:rsid w:val="009C4274"/>
    <w:rsid w:val="009C43B2"/>
    <w:rsid w:val="009C5E5D"/>
    <w:rsid w:val="009C7E28"/>
    <w:rsid w:val="009D2B81"/>
    <w:rsid w:val="009D4AB4"/>
    <w:rsid w:val="009D6692"/>
    <w:rsid w:val="009D6BFB"/>
    <w:rsid w:val="009D6CD9"/>
    <w:rsid w:val="009D6E43"/>
    <w:rsid w:val="009D77A2"/>
    <w:rsid w:val="009E0010"/>
    <w:rsid w:val="009E07AB"/>
    <w:rsid w:val="009E44E3"/>
    <w:rsid w:val="009E60B2"/>
    <w:rsid w:val="009E6777"/>
    <w:rsid w:val="009F1DBC"/>
    <w:rsid w:val="009F555C"/>
    <w:rsid w:val="009F56E0"/>
    <w:rsid w:val="009F59E0"/>
    <w:rsid w:val="009F6E6D"/>
    <w:rsid w:val="009F7028"/>
    <w:rsid w:val="009F7122"/>
    <w:rsid w:val="009F725E"/>
    <w:rsid w:val="00A00456"/>
    <w:rsid w:val="00A00627"/>
    <w:rsid w:val="00A00C49"/>
    <w:rsid w:val="00A0138F"/>
    <w:rsid w:val="00A013F0"/>
    <w:rsid w:val="00A01A02"/>
    <w:rsid w:val="00A01D52"/>
    <w:rsid w:val="00A02F3B"/>
    <w:rsid w:val="00A0381C"/>
    <w:rsid w:val="00A039E2"/>
    <w:rsid w:val="00A040EA"/>
    <w:rsid w:val="00A04333"/>
    <w:rsid w:val="00A04389"/>
    <w:rsid w:val="00A047D8"/>
    <w:rsid w:val="00A07BEC"/>
    <w:rsid w:val="00A07D02"/>
    <w:rsid w:val="00A1061A"/>
    <w:rsid w:val="00A12166"/>
    <w:rsid w:val="00A12670"/>
    <w:rsid w:val="00A128BA"/>
    <w:rsid w:val="00A130F3"/>
    <w:rsid w:val="00A152BC"/>
    <w:rsid w:val="00A15913"/>
    <w:rsid w:val="00A15929"/>
    <w:rsid w:val="00A1598F"/>
    <w:rsid w:val="00A16B42"/>
    <w:rsid w:val="00A16F82"/>
    <w:rsid w:val="00A17D66"/>
    <w:rsid w:val="00A2061A"/>
    <w:rsid w:val="00A21757"/>
    <w:rsid w:val="00A24600"/>
    <w:rsid w:val="00A2483A"/>
    <w:rsid w:val="00A24AB7"/>
    <w:rsid w:val="00A25D18"/>
    <w:rsid w:val="00A25FDC"/>
    <w:rsid w:val="00A30D68"/>
    <w:rsid w:val="00A30DBC"/>
    <w:rsid w:val="00A314F5"/>
    <w:rsid w:val="00A3330D"/>
    <w:rsid w:val="00A3363B"/>
    <w:rsid w:val="00A3540F"/>
    <w:rsid w:val="00A356C9"/>
    <w:rsid w:val="00A35F94"/>
    <w:rsid w:val="00A36FD7"/>
    <w:rsid w:val="00A37B5B"/>
    <w:rsid w:val="00A41EA9"/>
    <w:rsid w:val="00A453F5"/>
    <w:rsid w:val="00A464C2"/>
    <w:rsid w:val="00A46CEF"/>
    <w:rsid w:val="00A516CE"/>
    <w:rsid w:val="00A51B7F"/>
    <w:rsid w:val="00A52379"/>
    <w:rsid w:val="00A52409"/>
    <w:rsid w:val="00A5351E"/>
    <w:rsid w:val="00A54F32"/>
    <w:rsid w:val="00A55064"/>
    <w:rsid w:val="00A6138C"/>
    <w:rsid w:val="00A62B95"/>
    <w:rsid w:val="00A64C7F"/>
    <w:rsid w:val="00A671B0"/>
    <w:rsid w:val="00A67312"/>
    <w:rsid w:val="00A67824"/>
    <w:rsid w:val="00A714F4"/>
    <w:rsid w:val="00A71CBE"/>
    <w:rsid w:val="00A74724"/>
    <w:rsid w:val="00A750DC"/>
    <w:rsid w:val="00A75AAD"/>
    <w:rsid w:val="00A76E15"/>
    <w:rsid w:val="00A7751D"/>
    <w:rsid w:val="00A8081D"/>
    <w:rsid w:val="00A810FE"/>
    <w:rsid w:val="00A81741"/>
    <w:rsid w:val="00A81F15"/>
    <w:rsid w:val="00A82673"/>
    <w:rsid w:val="00A82727"/>
    <w:rsid w:val="00A827C6"/>
    <w:rsid w:val="00A841F9"/>
    <w:rsid w:val="00A84262"/>
    <w:rsid w:val="00A842AE"/>
    <w:rsid w:val="00A85A77"/>
    <w:rsid w:val="00A86A59"/>
    <w:rsid w:val="00A87739"/>
    <w:rsid w:val="00A879D7"/>
    <w:rsid w:val="00A9171E"/>
    <w:rsid w:val="00A9184D"/>
    <w:rsid w:val="00A92121"/>
    <w:rsid w:val="00A966DC"/>
    <w:rsid w:val="00A97792"/>
    <w:rsid w:val="00AA0318"/>
    <w:rsid w:val="00AA26F1"/>
    <w:rsid w:val="00AA30CA"/>
    <w:rsid w:val="00AA38EC"/>
    <w:rsid w:val="00AA412D"/>
    <w:rsid w:val="00AA4AC9"/>
    <w:rsid w:val="00AA596B"/>
    <w:rsid w:val="00AA5A6F"/>
    <w:rsid w:val="00AA6BC8"/>
    <w:rsid w:val="00AB07DE"/>
    <w:rsid w:val="00AB0A95"/>
    <w:rsid w:val="00AB1B77"/>
    <w:rsid w:val="00AB2DAE"/>
    <w:rsid w:val="00AB3DD4"/>
    <w:rsid w:val="00AB5004"/>
    <w:rsid w:val="00AB6006"/>
    <w:rsid w:val="00AB63DC"/>
    <w:rsid w:val="00AC0E9F"/>
    <w:rsid w:val="00AC61B7"/>
    <w:rsid w:val="00AC6A63"/>
    <w:rsid w:val="00AC701B"/>
    <w:rsid w:val="00AC7D66"/>
    <w:rsid w:val="00AD00E3"/>
    <w:rsid w:val="00AD1049"/>
    <w:rsid w:val="00AD1DE5"/>
    <w:rsid w:val="00AD2A0E"/>
    <w:rsid w:val="00AD2D1E"/>
    <w:rsid w:val="00AD3C48"/>
    <w:rsid w:val="00AD48D7"/>
    <w:rsid w:val="00AD5855"/>
    <w:rsid w:val="00AD7244"/>
    <w:rsid w:val="00AD79E4"/>
    <w:rsid w:val="00AE01C0"/>
    <w:rsid w:val="00AE031F"/>
    <w:rsid w:val="00AE14A3"/>
    <w:rsid w:val="00AE1534"/>
    <w:rsid w:val="00AE1D90"/>
    <w:rsid w:val="00AE2E1C"/>
    <w:rsid w:val="00AE328F"/>
    <w:rsid w:val="00AE358A"/>
    <w:rsid w:val="00AE3677"/>
    <w:rsid w:val="00AE3A34"/>
    <w:rsid w:val="00AE3BB3"/>
    <w:rsid w:val="00AE3DF9"/>
    <w:rsid w:val="00AE4F5D"/>
    <w:rsid w:val="00AE5886"/>
    <w:rsid w:val="00AE7BCD"/>
    <w:rsid w:val="00AF0623"/>
    <w:rsid w:val="00AF0BE5"/>
    <w:rsid w:val="00AF0F20"/>
    <w:rsid w:val="00AF1690"/>
    <w:rsid w:val="00AF25AA"/>
    <w:rsid w:val="00AF40C0"/>
    <w:rsid w:val="00AF6489"/>
    <w:rsid w:val="00AF665F"/>
    <w:rsid w:val="00AF6757"/>
    <w:rsid w:val="00AF7D32"/>
    <w:rsid w:val="00B005FB"/>
    <w:rsid w:val="00B0085B"/>
    <w:rsid w:val="00B01ABB"/>
    <w:rsid w:val="00B022F1"/>
    <w:rsid w:val="00B0278F"/>
    <w:rsid w:val="00B0520C"/>
    <w:rsid w:val="00B054BB"/>
    <w:rsid w:val="00B057F2"/>
    <w:rsid w:val="00B05FD9"/>
    <w:rsid w:val="00B068DB"/>
    <w:rsid w:val="00B06B37"/>
    <w:rsid w:val="00B12873"/>
    <w:rsid w:val="00B131E5"/>
    <w:rsid w:val="00B15508"/>
    <w:rsid w:val="00B155E8"/>
    <w:rsid w:val="00B15C36"/>
    <w:rsid w:val="00B1789B"/>
    <w:rsid w:val="00B215CA"/>
    <w:rsid w:val="00B25085"/>
    <w:rsid w:val="00B25325"/>
    <w:rsid w:val="00B25909"/>
    <w:rsid w:val="00B2659E"/>
    <w:rsid w:val="00B277BD"/>
    <w:rsid w:val="00B30452"/>
    <w:rsid w:val="00B305AA"/>
    <w:rsid w:val="00B305C1"/>
    <w:rsid w:val="00B315D9"/>
    <w:rsid w:val="00B326F2"/>
    <w:rsid w:val="00B337DC"/>
    <w:rsid w:val="00B33895"/>
    <w:rsid w:val="00B3398B"/>
    <w:rsid w:val="00B342F0"/>
    <w:rsid w:val="00B3487B"/>
    <w:rsid w:val="00B35FF2"/>
    <w:rsid w:val="00B36028"/>
    <w:rsid w:val="00B36BA4"/>
    <w:rsid w:val="00B37508"/>
    <w:rsid w:val="00B37BDE"/>
    <w:rsid w:val="00B411A6"/>
    <w:rsid w:val="00B4520D"/>
    <w:rsid w:val="00B475FA"/>
    <w:rsid w:val="00B47E0A"/>
    <w:rsid w:val="00B50972"/>
    <w:rsid w:val="00B50DC1"/>
    <w:rsid w:val="00B50EE3"/>
    <w:rsid w:val="00B515D5"/>
    <w:rsid w:val="00B53B62"/>
    <w:rsid w:val="00B53DD2"/>
    <w:rsid w:val="00B54C22"/>
    <w:rsid w:val="00B55487"/>
    <w:rsid w:val="00B57A40"/>
    <w:rsid w:val="00B6187B"/>
    <w:rsid w:val="00B6242F"/>
    <w:rsid w:val="00B64148"/>
    <w:rsid w:val="00B64F7A"/>
    <w:rsid w:val="00B6557F"/>
    <w:rsid w:val="00B65862"/>
    <w:rsid w:val="00B66C8D"/>
    <w:rsid w:val="00B6731F"/>
    <w:rsid w:val="00B677D0"/>
    <w:rsid w:val="00B67CC4"/>
    <w:rsid w:val="00B713ED"/>
    <w:rsid w:val="00B71511"/>
    <w:rsid w:val="00B71E8D"/>
    <w:rsid w:val="00B7299C"/>
    <w:rsid w:val="00B72EBA"/>
    <w:rsid w:val="00B732FF"/>
    <w:rsid w:val="00B741F3"/>
    <w:rsid w:val="00B751DC"/>
    <w:rsid w:val="00B75CA7"/>
    <w:rsid w:val="00B75D7D"/>
    <w:rsid w:val="00B774D7"/>
    <w:rsid w:val="00B8085F"/>
    <w:rsid w:val="00B839C8"/>
    <w:rsid w:val="00B8515D"/>
    <w:rsid w:val="00B85897"/>
    <w:rsid w:val="00B86979"/>
    <w:rsid w:val="00B86C5E"/>
    <w:rsid w:val="00B9079D"/>
    <w:rsid w:val="00B91263"/>
    <w:rsid w:val="00B914D7"/>
    <w:rsid w:val="00B92413"/>
    <w:rsid w:val="00B954A5"/>
    <w:rsid w:val="00B954BA"/>
    <w:rsid w:val="00B964B8"/>
    <w:rsid w:val="00B976D8"/>
    <w:rsid w:val="00B97D45"/>
    <w:rsid w:val="00BA00BD"/>
    <w:rsid w:val="00BA08B0"/>
    <w:rsid w:val="00BA08D3"/>
    <w:rsid w:val="00BA1073"/>
    <w:rsid w:val="00BA1690"/>
    <w:rsid w:val="00BA2285"/>
    <w:rsid w:val="00BA3439"/>
    <w:rsid w:val="00BA35D3"/>
    <w:rsid w:val="00BA4C72"/>
    <w:rsid w:val="00BA4FFA"/>
    <w:rsid w:val="00BB4BB9"/>
    <w:rsid w:val="00BB5B9D"/>
    <w:rsid w:val="00BB5D32"/>
    <w:rsid w:val="00BB796F"/>
    <w:rsid w:val="00BB7B96"/>
    <w:rsid w:val="00BB7E8B"/>
    <w:rsid w:val="00BC014C"/>
    <w:rsid w:val="00BC02BF"/>
    <w:rsid w:val="00BC2C7E"/>
    <w:rsid w:val="00BC4C95"/>
    <w:rsid w:val="00BC5190"/>
    <w:rsid w:val="00BC60F0"/>
    <w:rsid w:val="00BC6AA2"/>
    <w:rsid w:val="00BC6BC3"/>
    <w:rsid w:val="00BC7595"/>
    <w:rsid w:val="00BD16D3"/>
    <w:rsid w:val="00BD3C9A"/>
    <w:rsid w:val="00BD503E"/>
    <w:rsid w:val="00BD5451"/>
    <w:rsid w:val="00BE38F0"/>
    <w:rsid w:val="00BE495E"/>
    <w:rsid w:val="00BE6922"/>
    <w:rsid w:val="00BE6B86"/>
    <w:rsid w:val="00BF0FC6"/>
    <w:rsid w:val="00BF2203"/>
    <w:rsid w:val="00BF230D"/>
    <w:rsid w:val="00BF2AA7"/>
    <w:rsid w:val="00BF41BA"/>
    <w:rsid w:val="00BF54F9"/>
    <w:rsid w:val="00BF5E60"/>
    <w:rsid w:val="00BF65AB"/>
    <w:rsid w:val="00BF7190"/>
    <w:rsid w:val="00BF7E5A"/>
    <w:rsid w:val="00C018DA"/>
    <w:rsid w:val="00C04F4F"/>
    <w:rsid w:val="00C04F5F"/>
    <w:rsid w:val="00C050BA"/>
    <w:rsid w:val="00C057E0"/>
    <w:rsid w:val="00C07326"/>
    <w:rsid w:val="00C07E5F"/>
    <w:rsid w:val="00C12879"/>
    <w:rsid w:val="00C14B7F"/>
    <w:rsid w:val="00C150D0"/>
    <w:rsid w:val="00C155C7"/>
    <w:rsid w:val="00C15C6D"/>
    <w:rsid w:val="00C16501"/>
    <w:rsid w:val="00C16AB3"/>
    <w:rsid w:val="00C16D71"/>
    <w:rsid w:val="00C17233"/>
    <w:rsid w:val="00C176B6"/>
    <w:rsid w:val="00C2006C"/>
    <w:rsid w:val="00C20886"/>
    <w:rsid w:val="00C22E8A"/>
    <w:rsid w:val="00C25CC6"/>
    <w:rsid w:val="00C27741"/>
    <w:rsid w:val="00C27DF9"/>
    <w:rsid w:val="00C309ED"/>
    <w:rsid w:val="00C31673"/>
    <w:rsid w:val="00C31BC3"/>
    <w:rsid w:val="00C33048"/>
    <w:rsid w:val="00C33503"/>
    <w:rsid w:val="00C346CD"/>
    <w:rsid w:val="00C349F6"/>
    <w:rsid w:val="00C35DBA"/>
    <w:rsid w:val="00C36467"/>
    <w:rsid w:val="00C37A95"/>
    <w:rsid w:val="00C37EFE"/>
    <w:rsid w:val="00C4084C"/>
    <w:rsid w:val="00C4320F"/>
    <w:rsid w:val="00C440AD"/>
    <w:rsid w:val="00C44549"/>
    <w:rsid w:val="00C45BF9"/>
    <w:rsid w:val="00C47CA9"/>
    <w:rsid w:val="00C47F7C"/>
    <w:rsid w:val="00C50ABD"/>
    <w:rsid w:val="00C51781"/>
    <w:rsid w:val="00C51C00"/>
    <w:rsid w:val="00C5272A"/>
    <w:rsid w:val="00C5376B"/>
    <w:rsid w:val="00C544CB"/>
    <w:rsid w:val="00C54DAC"/>
    <w:rsid w:val="00C559A6"/>
    <w:rsid w:val="00C5621D"/>
    <w:rsid w:val="00C578C7"/>
    <w:rsid w:val="00C603D6"/>
    <w:rsid w:val="00C61504"/>
    <w:rsid w:val="00C63B30"/>
    <w:rsid w:val="00C67BFF"/>
    <w:rsid w:val="00C719AB"/>
    <w:rsid w:val="00C720A3"/>
    <w:rsid w:val="00C73300"/>
    <w:rsid w:val="00C742F8"/>
    <w:rsid w:val="00C7506C"/>
    <w:rsid w:val="00C75A80"/>
    <w:rsid w:val="00C77E46"/>
    <w:rsid w:val="00C80A46"/>
    <w:rsid w:val="00C82059"/>
    <w:rsid w:val="00C834B1"/>
    <w:rsid w:val="00C8497C"/>
    <w:rsid w:val="00C903FA"/>
    <w:rsid w:val="00C9154F"/>
    <w:rsid w:val="00C91E93"/>
    <w:rsid w:val="00C92B3F"/>
    <w:rsid w:val="00C92D6B"/>
    <w:rsid w:val="00C94A36"/>
    <w:rsid w:val="00C94E92"/>
    <w:rsid w:val="00C974CD"/>
    <w:rsid w:val="00CA005F"/>
    <w:rsid w:val="00CA0F8F"/>
    <w:rsid w:val="00CA25FB"/>
    <w:rsid w:val="00CA28E1"/>
    <w:rsid w:val="00CA320C"/>
    <w:rsid w:val="00CA4F9E"/>
    <w:rsid w:val="00CA6DB4"/>
    <w:rsid w:val="00CA7DA3"/>
    <w:rsid w:val="00CB08B3"/>
    <w:rsid w:val="00CB3F61"/>
    <w:rsid w:val="00CB443A"/>
    <w:rsid w:val="00CB49B8"/>
    <w:rsid w:val="00CB7B6F"/>
    <w:rsid w:val="00CC00C2"/>
    <w:rsid w:val="00CC0254"/>
    <w:rsid w:val="00CC1AD5"/>
    <w:rsid w:val="00CC1C76"/>
    <w:rsid w:val="00CC1EFC"/>
    <w:rsid w:val="00CC2232"/>
    <w:rsid w:val="00CC28DB"/>
    <w:rsid w:val="00CC2F38"/>
    <w:rsid w:val="00CC33A3"/>
    <w:rsid w:val="00CC48BC"/>
    <w:rsid w:val="00CC509C"/>
    <w:rsid w:val="00CC5C73"/>
    <w:rsid w:val="00CC696E"/>
    <w:rsid w:val="00CC6B1A"/>
    <w:rsid w:val="00CC6B1D"/>
    <w:rsid w:val="00CC7B6C"/>
    <w:rsid w:val="00CD2573"/>
    <w:rsid w:val="00CD4E9A"/>
    <w:rsid w:val="00CD661B"/>
    <w:rsid w:val="00CD6C1A"/>
    <w:rsid w:val="00CD77D6"/>
    <w:rsid w:val="00CE0CA7"/>
    <w:rsid w:val="00CE1800"/>
    <w:rsid w:val="00CE1878"/>
    <w:rsid w:val="00CE51C7"/>
    <w:rsid w:val="00CE5473"/>
    <w:rsid w:val="00CE5A5A"/>
    <w:rsid w:val="00CE5C32"/>
    <w:rsid w:val="00CE7D66"/>
    <w:rsid w:val="00CE7F93"/>
    <w:rsid w:val="00CF071C"/>
    <w:rsid w:val="00CF154B"/>
    <w:rsid w:val="00CF1D8C"/>
    <w:rsid w:val="00CF331D"/>
    <w:rsid w:val="00CF350D"/>
    <w:rsid w:val="00CF3798"/>
    <w:rsid w:val="00CF408F"/>
    <w:rsid w:val="00CF452E"/>
    <w:rsid w:val="00CF4DFF"/>
    <w:rsid w:val="00CF6B41"/>
    <w:rsid w:val="00CF71A5"/>
    <w:rsid w:val="00D004F2"/>
    <w:rsid w:val="00D00972"/>
    <w:rsid w:val="00D00C04"/>
    <w:rsid w:val="00D02579"/>
    <w:rsid w:val="00D0366C"/>
    <w:rsid w:val="00D03E26"/>
    <w:rsid w:val="00D04102"/>
    <w:rsid w:val="00D064F0"/>
    <w:rsid w:val="00D103C4"/>
    <w:rsid w:val="00D118DD"/>
    <w:rsid w:val="00D11C9D"/>
    <w:rsid w:val="00D127B0"/>
    <w:rsid w:val="00D1291E"/>
    <w:rsid w:val="00D13B1D"/>
    <w:rsid w:val="00D14240"/>
    <w:rsid w:val="00D14FDF"/>
    <w:rsid w:val="00D152AB"/>
    <w:rsid w:val="00D170BD"/>
    <w:rsid w:val="00D2267D"/>
    <w:rsid w:val="00D22C67"/>
    <w:rsid w:val="00D23826"/>
    <w:rsid w:val="00D24694"/>
    <w:rsid w:val="00D24BF7"/>
    <w:rsid w:val="00D26DCB"/>
    <w:rsid w:val="00D301F2"/>
    <w:rsid w:val="00D30A0A"/>
    <w:rsid w:val="00D30E1C"/>
    <w:rsid w:val="00D313DC"/>
    <w:rsid w:val="00D31582"/>
    <w:rsid w:val="00D31964"/>
    <w:rsid w:val="00D31C78"/>
    <w:rsid w:val="00D32171"/>
    <w:rsid w:val="00D32400"/>
    <w:rsid w:val="00D33D42"/>
    <w:rsid w:val="00D356DD"/>
    <w:rsid w:val="00D356F4"/>
    <w:rsid w:val="00D35761"/>
    <w:rsid w:val="00D41269"/>
    <w:rsid w:val="00D44CFA"/>
    <w:rsid w:val="00D45B51"/>
    <w:rsid w:val="00D45BB0"/>
    <w:rsid w:val="00D46146"/>
    <w:rsid w:val="00D46204"/>
    <w:rsid w:val="00D46294"/>
    <w:rsid w:val="00D46E4D"/>
    <w:rsid w:val="00D51401"/>
    <w:rsid w:val="00D51580"/>
    <w:rsid w:val="00D52004"/>
    <w:rsid w:val="00D52DD0"/>
    <w:rsid w:val="00D54359"/>
    <w:rsid w:val="00D54FC7"/>
    <w:rsid w:val="00D60937"/>
    <w:rsid w:val="00D61093"/>
    <w:rsid w:val="00D62399"/>
    <w:rsid w:val="00D63090"/>
    <w:rsid w:val="00D63CF0"/>
    <w:rsid w:val="00D64EA7"/>
    <w:rsid w:val="00D652D0"/>
    <w:rsid w:val="00D67FE8"/>
    <w:rsid w:val="00D707C1"/>
    <w:rsid w:val="00D71722"/>
    <w:rsid w:val="00D71F4D"/>
    <w:rsid w:val="00D72129"/>
    <w:rsid w:val="00D72612"/>
    <w:rsid w:val="00D726A1"/>
    <w:rsid w:val="00D7348C"/>
    <w:rsid w:val="00D737B2"/>
    <w:rsid w:val="00D7389A"/>
    <w:rsid w:val="00D740A4"/>
    <w:rsid w:val="00D748AB"/>
    <w:rsid w:val="00D74FB9"/>
    <w:rsid w:val="00D753FA"/>
    <w:rsid w:val="00D75922"/>
    <w:rsid w:val="00D75EBE"/>
    <w:rsid w:val="00D75F23"/>
    <w:rsid w:val="00D76B0C"/>
    <w:rsid w:val="00D77187"/>
    <w:rsid w:val="00D77705"/>
    <w:rsid w:val="00D80B7B"/>
    <w:rsid w:val="00D80C0C"/>
    <w:rsid w:val="00D813FD"/>
    <w:rsid w:val="00D82084"/>
    <w:rsid w:val="00D825EC"/>
    <w:rsid w:val="00D8260D"/>
    <w:rsid w:val="00D82C51"/>
    <w:rsid w:val="00D82C6F"/>
    <w:rsid w:val="00D83BE6"/>
    <w:rsid w:val="00D84198"/>
    <w:rsid w:val="00D86219"/>
    <w:rsid w:val="00D86252"/>
    <w:rsid w:val="00D86D9A"/>
    <w:rsid w:val="00D873D5"/>
    <w:rsid w:val="00D90757"/>
    <w:rsid w:val="00D90D46"/>
    <w:rsid w:val="00D9176F"/>
    <w:rsid w:val="00D91915"/>
    <w:rsid w:val="00D943BF"/>
    <w:rsid w:val="00D94965"/>
    <w:rsid w:val="00D9520D"/>
    <w:rsid w:val="00D97202"/>
    <w:rsid w:val="00D97A6C"/>
    <w:rsid w:val="00DA161F"/>
    <w:rsid w:val="00DA39AC"/>
    <w:rsid w:val="00DA3D5B"/>
    <w:rsid w:val="00DA47B7"/>
    <w:rsid w:val="00DA5143"/>
    <w:rsid w:val="00DA521D"/>
    <w:rsid w:val="00DA5858"/>
    <w:rsid w:val="00DA5E8F"/>
    <w:rsid w:val="00DA734B"/>
    <w:rsid w:val="00DB04F0"/>
    <w:rsid w:val="00DB2147"/>
    <w:rsid w:val="00DB37B4"/>
    <w:rsid w:val="00DB6452"/>
    <w:rsid w:val="00DB6A67"/>
    <w:rsid w:val="00DB7CED"/>
    <w:rsid w:val="00DC1743"/>
    <w:rsid w:val="00DC27AB"/>
    <w:rsid w:val="00DC3C64"/>
    <w:rsid w:val="00DC42E7"/>
    <w:rsid w:val="00DC4EB5"/>
    <w:rsid w:val="00DC7107"/>
    <w:rsid w:val="00DD06E2"/>
    <w:rsid w:val="00DD0D5F"/>
    <w:rsid w:val="00DD34D4"/>
    <w:rsid w:val="00DD3A74"/>
    <w:rsid w:val="00DD3AFA"/>
    <w:rsid w:val="00DD4D83"/>
    <w:rsid w:val="00DD5020"/>
    <w:rsid w:val="00DE03FA"/>
    <w:rsid w:val="00DE131E"/>
    <w:rsid w:val="00DE32BA"/>
    <w:rsid w:val="00DE44CC"/>
    <w:rsid w:val="00DE68F6"/>
    <w:rsid w:val="00DE7584"/>
    <w:rsid w:val="00DE7790"/>
    <w:rsid w:val="00DF1458"/>
    <w:rsid w:val="00DF34EF"/>
    <w:rsid w:val="00DF3FA2"/>
    <w:rsid w:val="00DF459D"/>
    <w:rsid w:val="00DF48DC"/>
    <w:rsid w:val="00DF4B9A"/>
    <w:rsid w:val="00DF62FE"/>
    <w:rsid w:val="00DF69B5"/>
    <w:rsid w:val="00DF756E"/>
    <w:rsid w:val="00DF7769"/>
    <w:rsid w:val="00E003BC"/>
    <w:rsid w:val="00E008FA"/>
    <w:rsid w:val="00E01B91"/>
    <w:rsid w:val="00E02214"/>
    <w:rsid w:val="00E02357"/>
    <w:rsid w:val="00E028E0"/>
    <w:rsid w:val="00E03C9A"/>
    <w:rsid w:val="00E04DB2"/>
    <w:rsid w:val="00E05CFA"/>
    <w:rsid w:val="00E06B0A"/>
    <w:rsid w:val="00E07C6F"/>
    <w:rsid w:val="00E10E5E"/>
    <w:rsid w:val="00E12F68"/>
    <w:rsid w:val="00E13FBE"/>
    <w:rsid w:val="00E14EC0"/>
    <w:rsid w:val="00E168F1"/>
    <w:rsid w:val="00E169D2"/>
    <w:rsid w:val="00E17C49"/>
    <w:rsid w:val="00E21064"/>
    <w:rsid w:val="00E21922"/>
    <w:rsid w:val="00E226BC"/>
    <w:rsid w:val="00E24323"/>
    <w:rsid w:val="00E249E4"/>
    <w:rsid w:val="00E25CDC"/>
    <w:rsid w:val="00E26026"/>
    <w:rsid w:val="00E260B4"/>
    <w:rsid w:val="00E27360"/>
    <w:rsid w:val="00E30319"/>
    <w:rsid w:val="00E30FB1"/>
    <w:rsid w:val="00E31B42"/>
    <w:rsid w:val="00E32DA4"/>
    <w:rsid w:val="00E32ED8"/>
    <w:rsid w:val="00E33EC3"/>
    <w:rsid w:val="00E3406E"/>
    <w:rsid w:val="00E355F4"/>
    <w:rsid w:val="00E35CF2"/>
    <w:rsid w:val="00E3784F"/>
    <w:rsid w:val="00E4060A"/>
    <w:rsid w:val="00E41FB1"/>
    <w:rsid w:val="00E43672"/>
    <w:rsid w:val="00E43798"/>
    <w:rsid w:val="00E43BC1"/>
    <w:rsid w:val="00E453FC"/>
    <w:rsid w:val="00E45EBB"/>
    <w:rsid w:val="00E467E0"/>
    <w:rsid w:val="00E4735C"/>
    <w:rsid w:val="00E51184"/>
    <w:rsid w:val="00E55298"/>
    <w:rsid w:val="00E556D9"/>
    <w:rsid w:val="00E57505"/>
    <w:rsid w:val="00E5780D"/>
    <w:rsid w:val="00E61453"/>
    <w:rsid w:val="00E61702"/>
    <w:rsid w:val="00E627FA"/>
    <w:rsid w:val="00E628C1"/>
    <w:rsid w:val="00E63DC1"/>
    <w:rsid w:val="00E642C3"/>
    <w:rsid w:val="00E64A29"/>
    <w:rsid w:val="00E64E51"/>
    <w:rsid w:val="00E668B3"/>
    <w:rsid w:val="00E66906"/>
    <w:rsid w:val="00E67B52"/>
    <w:rsid w:val="00E715E8"/>
    <w:rsid w:val="00E71910"/>
    <w:rsid w:val="00E721A0"/>
    <w:rsid w:val="00E7593D"/>
    <w:rsid w:val="00E76063"/>
    <w:rsid w:val="00E80AA2"/>
    <w:rsid w:val="00E80F63"/>
    <w:rsid w:val="00E81F76"/>
    <w:rsid w:val="00E821AD"/>
    <w:rsid w:val="00E84EE8"/>
    <w:rsid w:val="00E852A9"/>
    <w:rsid w:val="00E859CB"/>
    <w:rsid w:val="00E86187"/>
    <w:rsid w:val="00E92A70"/>
    <w:rsid w:val="00E93E6B"/>
    <w:rsid w:val="00E93F4C"/>
    <w:rsid w:val="00E942F0"/>
    <w:rsid w:val="00E94722"/>
    <w:rsid w:val="00E95A67"/>
    <w:rsid w:val="00E95AB5"/>
    <w:rsid w:val="00E96A52"/>
    <w:rsid w:val="00EA0929"/>
    <w:rsid w:val="00EA0F64"/>
    <w:rsid w:val="00EA16A7"/>
    <w:rsid w:val="00EA1AA6"/>
    <w:rsid w:val="00EA1CB9"/>
    <w:rsid w:val="00EA3F33"/>
    <w:rsid w:val="00EA4064"/>
    <w:rsid w:val="00EA48CE"/>
    <w:rsid w:val="00EA5299"/>
    <w:rsid w:val="00EB17E1"/>
    <w:rsid w:val="00EB2209"/>
    <w:rsid w:val="00EB3480"/>
    <w:rsid w:val="00EB44BC"/>
    <w:rsid w:val="00EB44E6"/>
    <w:rsid w:val="00EB5A4E"/>
    <w:rsid w:val="00EC0901"/>
    <w:rsid w:val="00EC1710"/>
    <w:rsid w:val="00EC1D11"/>
    <w:rsid w:val="00EC216C"/>
    <w:rsid w:val="00EC22DE"/>
    <w:rsid w:val="00EC276D"/>
    <w:rsid w:val="00EC42CE"/>
    <w:rsid w:val="00EC44B2"/>
    <w:rsid w:val="00EC55C2"/>
    <w:rsid w:val="00EC5718"/>
    <w:rsid w:val="00EC6E16"/>
    <w:rsid w:val="00EC736A"/>
    <w:rsid w:val="00ED1049"/>
    <w:rsid w:val="00ED158D"/>
    <w:rsid w:val="00ED1758"/>
    <w:rsid w:val="00ED1E50"/>
    <w:rsid w:val="00ED1FE4"/>
    <w:rsid w:val="00ED2558"/>
    <w:rsid w:val="00ED3586"/>
    <w:rsid w:val="00EE245F"/>
    <w:rsid w:val="00EE33FC"/>
    <w:rsid w:val="00EE4280"/>
    <w:rsid w:val="00EE4402"/>
    <w:rsid w:val="00EE72D3"/>
    <w:rsid w:val="00EE7FD1"/>
    <w:rsid w:val="00EF089A"/>
    <w:rsid w:val="00EF12F5"/>
    <w:rsid w:val="00EF2C32"/>
    <w:rsid w:val="00F00A3F"/>
    <w:rsid w:val="00F01812"/>
    <w:rsid w:val="00F019D2"/>
    <w:rsid w:val="00F0294B"/>
    <w:rsid w:val="00F03BEF"/>
    <w:rsid w:val="00F051DA"/>
    <w:rsid w:val="00F0575C"/>
    <w:rsid w:val="00F05DE7"/>
    <w:rsid w:val="00F05EAF"/>
    <w:rsid w:val="00F064E4"/>
    <w:rsid w:val="00F06A89"/>
    <w:rsid w:val="00F10517"/>
    <w:rsid w:val="00F106A4"/>
    <w:rsid w:val="00F10941"/>
    <w:rsid w:val="00F1140C"/>
    <w:rsid w:val="00F123F2"/>
    <w:rsid w:val="00F127A5"/>
    <w:rsid w:val="00F13B8D"/>
    <w:rsid w:val="00F14800"/>
    <w:rsid w:val="00F14C57"/>
    <w:rsid w:val="00F15207"/>
    <w:rsid w:val="00F156E9"/>
    <w:rsid w:val="00F15E8C"/>
    <w:rsid w:val="00F1619C"/>
    <w:rsid w:val="00F1686A"/>
    <w:rsid w:val="00F17A2A"/>
    <w:rsid w:val="00F17A73"/>
    <w:rsid w:val="00F20EED"/>
    <w:rsid w:val="00F21768"/>
    <w:rsid w:val="00F21AEF"/>
    <w:rsid w:val="00F22114"/>
    <w:rsid w:val="00F23533"/>
    <w:rsid w:val="00F24B02"/>
    <w:rsid w:val="00F2602D"/>
    <w:rsid w:val="00F278E2"/>
    <w:rsid w:val="00F30718"/>
    <w:rsid w:val="00F31A1C"/>
    <w:rsid w:val="00F31C55"/>
    <w:rsid w:val="00F3421A"/>
    <w:rsid w:val="00F3525F"/>
    <w:rsid w:val="00F352EE"/>
    <w:rsid w:val="00F361F8"/>
    <w:rsid w:val="00F36E38"/>
    <w:rsid w:val="00F36FB7"/>
    <w:rsid w:val="00F37D6C"/>
    <w:rsid w:val="00F40D48"/>
    <w:rsid w:val="00F42363"/>
    <w:rsid w:val="00F42C58"/>
    <w:rsid w:val="00F42D47"/>
    <w:rsid w:val="00F44BA2"/>
    <w:rsid w:val="00F44F97"/>
    <w:rsid w:val="00F45568"/>
    <w:rsid w:val="00F45C7B"/>
    <w:rsid w:val="00F47588"/>
    <w:rsid w:val="00F50F98"/>
    <w:rsid w:val="00F52041"/>
    <w:rsid w:val="00F52345"/>
    <w:rsid w:val="00F52989"/>
    <w:rsid w:val="00F5409A"/>
    <w:rsid w:val="00F55361"/>
    <w:rsid w:val="00F55388"/>
    <w:rsid w:val="00F55E6A"/>
    <w:rsid w:val="00F56693"/>
    <w:rsid w:val="00F6008B"/>
    <w:rsid w:val="00F611E7"/>
    <w:rsid w:val="00F61444"/>
    <w:rsid w:val="00F63499"/>
    <w:rsid w:val="00F64CB9"/>
    <w:rsid w:val="00F66AC1"/>
    <w:rsid w:val="00F7112F"/>
    <w:rsid w:val="00F716C1"/>
    <w:rsid w:val="00F727DF"/>
    <w:rsid w:val="00F72F16"/>
    <w:rsid w:val="00F73C90"/>
    <w:rsid w:val="00F74063"/>
    <w:rsid w:val="00F75228"/>
    <w:rsid w:val="00F7607D"/>
    <w:rsid w:val="00F772BC"/>
    <w:rsid w:val="00F80C83"/>
    <w:rsid w:val="00F8262D"/>
    <w:rsid w:val="00F83D43"/>
    <w:rsid w:val="00F86FA6"/>
    <w:rsid w:val="00F91A5B"/>
    <w:rsid w:val="00F92525"/>
    <w:rsid w:val="00F937E1"/>
    <w:rsid w:val="00F94F37"/>
    <w:rsid w:val="00F95347"/>
    <w:rsid w:val="00F95983"/>
    <w:rsid w:val="00FA1BB2"/>
    <w:rsid w:val="00FA5A7E"/>
    <w:rsid w:val="00FA6F10"/>
    <w:rsid w:val="00FA76BF"/>
    <w:rsid w:val="00FA7BE5"/>
    <w:rsid w:val="00FA7F89"/>
    <w:rsid w:val="00FB0342"/>
    <w:rsid w:val="00FB0F91"/>
    <w:rsid w:val="00FB1DDE"/>
    <w:rsid w:val="00FB2017"/>
    <w:rsid w:val="00FB3075"/>
    <w:rsid w:val="00FB72DF"/>
    <w:rsid w:val="00FB78C8"/>
    <w:rsid w:val="00FC02C4"/>
    <w:rsid w:val="00FC076B"/>
    <w:rsid w:val="00FC0B5B"/>
    <w:rsid w:val="00FC263F"/>
    <w:rsid w:val="00FC3836"/>
    <w:rsid w:val="00FC39DB"/>
    <w:rsid w:val="00FC39E5"/>
    <w:rsid w:val="00FC3D0A"/>
    <w:rsid w:val="00FC4501"/>
    <w:rsid w:val="00FC4730"/>
    <w:rsid w:val="00FC5D0E"/>
    <w:rsid w:val="00FC6392"/>
    <w:rsid w:val="00FC6CBF"/>
    <w:rsid w:val="00FC791F"/>
    <w:rsid w:val="00FD074B"/>
    <w:rsid w:val="00FD1666"/>
    <w:rsid w:val="00FD17EE"/>
    <w:rsid w:val="00FD1D36"/>
    <w:rsid w:val="00FD1E3F"/>
    <w:rsid w:val="00FD214D"/>
    <w:rsid w:val="00FD23BD"/>
    <w:rsid w:val="00FD46C5"/>
    <w:rsid w:val="00FD4DE4"/>
    <w:rsid w:val="00FD6403"/>
    <w:rsid w:val="00FD748A"/>
    <w:rsid w:val="00FE17C1"/>
    <w:rsid w:val="00FE1838"/>
    <w:rsid w:val="00FE2A9C"/>
    <w:rsid w:val="00FE2AF0"/>
    <w:rsid w:val="00FE6A09"/>
    <w:rsid w:val="00FE7D7E"/>
    <w:rsid w:val="00FF157E"/>
    <w:rsid w:val="00FF17A3"/>
    <w:rsid w:val="00FF1C33"/>
    <w:rsid w:val="00FF2140"/>
    <w:rsid w:val="00FF27B1"/>
    <w:rsid w:val="00FF2C4E"/>
    <w:rsid w:val="00FF536D"/>
    <w:rsid w:val="00FF62E3"/>
    <w:rsid w:val="00FF68EE"/>
    <w:rsid w:val="00FF73F3"/>
    <w:rsid w:val="00FF7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4">
    <w:name w:val="Table Grid4"/>
    <w:basedOn w:val="TableNormal"/>
    <w:next w:val="TableGrid"/>
    <w:uiPriority w:val="59"/>
    <w:rsid w:val="00362378"/>
    <w:pPr>
      <w:spacing w:after="0" w:line="240" w:lineRule="auto"/>
    </w:pPr>
    <w:rPr>
      <w:rFonts w:ascii="Times New Roman" w:eastAsia="Arial" w:hAnsi="Times New Roman"/>
      <w:sz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38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7389A"/>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MLPreformatted">
    <w:name w:val="HTML Preformatted"/>
    <w:basedOn w:val="Normal"/>
    <w:link w:val="HTMLPreformattedChar"/>
    <w:uiPriority w:val="99"/>
    <w:unhideWhenUsed/>
    <w:rsid w:val="00A8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081D"/>
    <w:rPr>
      <w:rFonts w:ascii="Courier New" w:eastAsia="Times New Roman" w:hAnsi="Courier New" w:cs="Courier New"/>
      <w:sz w:val="20"/>
      <w:szCs w:val="20"/>
    </w:rPr>
  </w:style>
  <w:style w:type="table" w:customStyle="1" w:styleId="LightGrid1">
    <w:name w:val="Light Grid1"/>
    <w:basedOn w:val="TableNormal"/>
    <w:uiPriority w:val="62"/>
    <w:rsid w:val="001B0B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6">
    <w:name w:val="Table Grid6"/>
    <w:basedOn w:val="TableNormal"/>
    <w:next w:val="TableGrid"/>
    <w:uiPriority w:val="59"/>
    <w:rsid w:val="007639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
    <w:basedOn w:val="DefaultParagraphFont"/>
    <w:rsid w:val="004C4B64"/>
  </w:style>
  <w:style w:type="character" w:customStyle="1" w:styleId="style10">
    <w:name w:val="style1"/>
    <w:basedOn w:val="DefaultParagraphFont"/>
    <w:rsid w:val="004C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4">
    <w:name w:val="Table Grid4"/>
    <w:basedOn w:val="TableNormal"/>
    <w:next w:val="TableGrid"/>
    <w:uiPriority w:val="59"/>
    <w:rsid w:val="00362378"/>
    <w:pPr>
      <w:spacing w:after="0" w:line="240" w:lineRule="auto"/>
    </w:pPr>
    <w:rPr>
      <w:rFonts w:ascii="Times New Roman" w:eastAsia="Arial" w:hAnsi="Times New Roman"/>
      <w:sz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38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7389A"/>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MLPreformatted">
    <w:name w:val="HTML Preformatted"/>
    <w:basedOn w:val="Normal"/>
    <w:link w:val="HTMLPreformattedChar"/>
    <w:uiPriority w:val="99"/>
    <w:unhideWhenUsed/>
    <w:rsid w:val="00A8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081D"/>
    <w:rPr>
      <w:rFonts w:ascii="Courier New" w:eastAsia="Times New Roman" w:hAnsi="Courier New" w:cs="Courier New"/>
      <w:sz w:val="20"/>
      <w:szCs w:val="20"/>
    </w:rPr>
  </w:style>
  <w:style w:type="table" w:customStyle="1" w:styleId="LightGrid1">
    <w:name w:val="Light Grid1"/>
    <w:basedOn w:val="TableNormal"/>
    <w:uiPriority w:val="62"/>
    <w:rsid w:val="001B0B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6">
    <w:name w:val="Table Grid6"/>
    <w:basedOn w:val="TableNormal"/>
    <w:next w:val="TableGrid"/>
    <w:uiPriority w:val="59"/>
    <w:rsid w:val="007639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
    <w:basedOn w:val="DefaultParagraphFont"/>
    <w:rsid w:val="004C4B64"/>
  </w:style>
  <w:style w:type="character" w:customStyle="1" w:styleId="style10">
    <w:name w:val="style1"/>
    <w:basedOn w:val="DefaultParagraphFont"/>
    <w:rsid w:val="004C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158">
      <w:bodyDiv w:val="1"/>
      <w:marLeft w:val="0"/>
      <w:marRight w:val="0"/>
      <w:marTop w:val="0"/>
      <w:marBottom w:val="0"/>
      <w:divBdr>
        <w:top w:val="none" w:sz="0" w:space="0" w:color="auto"/>
        <w:left w:val="none" w:sz="0" w:space="0" w:color="auto"/>
        <w:bottom w:val="none" w:sz="0" w:space="0" w:color="auto"/>
        <w:right w:val="none" w:sz="0" w:space="0" w:color="auto"/>
      </w:divBdr>
    </w:div>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787048127">
      <w:bodyDiv w:val="1"/>
      <w:marLeft w:val="0"/>
      <w:marRight w:val="0"/>
      <w:marTop w:val="0"/>
      <w:marBottom w:val="0"/>
      <w:divBdr>
        <w:top w:val="none" w:sz="0" w:space="0" w:color="auto"/>
        <w:left w:val="none" w:sz="0" w:space="0" w:color="auto"/>
        <w:bottom w:val="none" w:sz="0" w:space="0" w:color="auto"/>
        <w:right w:val="none" w:sz="0" w:space="0" w:color="auto"/>
      </w:divBdr>
    </w:div>
    <w:div w:id="911161950">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415853561">
      <w:bodyDiv w:val="1"/>
      <w:marLeft w:val="0"/>
      <w:marRight w:val="0"/>
      <w:marTop w:val="0"/>
      <w:marBottom w:val="0"/>
      <w:divBdr>
        <w:top w:val="none" w:sz="0" w:space="0" w:color="auto"/>
        <w:left w:val="none" w:sz="0" w:space="0" w:color="auto"/>
        <w:bottom w:val="none" w:sz="0" w:space="0" w:color="auto"/>
        <w:right w:val="none" w:sz="0" w:space="0" w:color="auto"/>
      </w:divBdr>
    </w:div>
    <w:div w:id="1437670482">
      <w:bodyDiv w:val="1"/>
      <w:marLeft w:val="0"/>
      <w:marRight w:val="0"/>
      <w:marTop w:val="0"/>
      <w:marBottom w:val="0"/>
      <w:divBdr>
        <w:top w:val="none" w:sz="0" w:space="0" w:color="auto"/>
        <w:left w:val="none" w:sz="0" w:space="0" w:color="auto"/>
        <w:bottom w:val="none" w:sz="0" w:space="0" w:color="auto"/>
        <w:right w:val="none" w:sz="0" w:space="0" w:color="auto"/>
      </w:divBdr>
    </w:div>
    <w:div w:id="1468814790">
      <w:bodyDiv w:val="1"/>
      <w:marLeft w:val="0"/>
      <w:marRight w:val="0"/>
      <w:marTop w:val="0"/>
      <w:marBottom w:val="0"/>
      <w:divBdr>
        <w:top w:val="none" w:sz="0" w:space="0" w:color="auto"/>
        <w:left w:val="none" w:sz="0" w:space="0" w:color="auto"/>
        <w:bottom w:val="none" w:sz="0" w:space="0" w:color="auto"/>
        <w:right w:val="none" w:sz="0" w:space="0" w:color="auto"/>
      </w:divBdr>
    </w:div>
    <w:div w:id="1503735226">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E:\Dropbox\BCTC%20tu&#7847;n\Data\Data%20v&#7869;%20bi&#7875;u%20&#273;&#7891;\D&#7919;%20li&#7879;u%20v&#7869;%20bi&#7875;u%20&#273;&#7891;%20-%20chu&#7849;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Dropbox\BCTC%20tu&#7847;n\Data\Data%20v&#7869;%20bi&#7875;u%20&#273;&#7891;\D&#7919;%20li&#7879;u%20v&#7869;%20bi&#7875;u%20&#273;&#7891;%20-%20chu&#7849;n.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huongNTM\Desktop\baivietkttg\tocdotanggiamgiahangho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Nh&#243;m%20ch&#7881;%20ti&#234;u%20CPI%20update%2008.14\T&#237;nh%20to&#225;n%20l&#7841;m%20ph&#225;t%20c&#417;%20b&#7843;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Econometric\Th&#225;ng%208.2016\Full%20version_lam%20phat%202005%20-%208.2016_x12_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oleObject" Target="file:///E:\So%20lieu%20&amp;%20Bang%20bieu\2016_Bieu%20do%20BCCSTK%20hang%20tha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o%20lieu%20&amp;%20Bang%20bieu\2016_Bieu%20do%20BCCSTK%20hang%20th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14957134058031338"/>
          <c:y val="5.6395795949756605E-2"/>
          <c:w val="0.82135889197782597"/>
          <c:h val="0.82733924473232157"/>
        </c:manualLayout>
      </c:layout>
      <c:barChart>
        <c:barDir val="bar"/>
        <c:grouping val="clustered"/>
        <c:varyColors val="0"/>
        <c:ser>
          <c:idx val="0"/>
          <c:order val="0"/>
          <c:tx>
            <c:strRef>
              <c:f>Sheet1!$B$1</c:f>
              <c:strCache>
                <c:ptCount val="1"/>
                <c:pt idx="0">
                  <c:v>So với đầu tháng 1/2016</c:v>
                </c:pt>
              </c:strCache>
            </c:strRef>
          </c:tx>
          <c:invertIfNegative val="0"/>
          <c:dLbls>
            <c:numFmt formatCode="0.00%" sourceLinked="0"/>
            <c:txPr>
              <a:bodyPr/>
              <a:lstStyle/>
              <a:p>
                <a:pPr>
                  <a:defRPr lang="en-US"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Sheet1!$A$2:$A$13</c:f>
              <c:strCache>
                <c:ptCount val="12"/>
                <c:pt idx="0">
                  <c:v>Dow Jones</c:v>
                </c:pt>
                <c:pt idx="1">
                  <c:v>S&amp;P 500</c:v>
                </c:pt>
                <c:pt idx="2">
                  <c:v>NASDAQ</c:v>
                </c:pt>
                <c:pt idx="3">
                  <c:v>EURO STOXX</c:v>
                </c:pt>
                <c:pt idx="4">
                  <c:v>FTSE 100</c:v>
                </c:pt>
                <c:pt idx="5">
                  <c:v>DAX</c:v>
                </c:pt>
                <c:pt idx="6">
                  <c:v>CAC</c:v>
                </c:pt>
                <c:pt idx="7">
                  <c:v>Nikkei</c:v>
                </c:pt>
                <c:pt idx="8">
                  <c:v>TOPIX</c:v>
                </c:pt>
                <c:pt idx="9">
                  <c:v>Hang Seng</c:v>
                </c:pt>
                <c:pt idx="10">
                  <c:v>Shanghai</c:v>
                </c:pt>
                <c:pt idx="11">
                  <c:v>MSCI</c:v>
                </c:pt>
              </c:strCache>
            </c:strRef>
          </c:cat>
          <c:val>
            <c:numRef>
              <c:f>Sheet1!$B$2:$B$13</c:f>
              <c:numCache>
                <c:formatCode>0.00%</c:formatCode>
                <c:ptCount val="12"/>
                <c:pt idx="0">
                  <c:v>8.0499436116751213E-2</c:v>
                </c:pt>
                <c:pt idx="1">
                  <c:v>6.7678111881953384E-2</c:v>
                </c:pt>
                <c:pt idx="2">
                  <c:v>4.7367800919038236E-2</c:v>
                </c:pt>
                <c:pt idx="3">
                  <c:v>-9.5564832043874406E-2</c:v>
                </c:pt>
                <c:pt idx="4">
                  <c:v>9.3378743800381928E-2</c:v>
                </c:pt>
                <c:pt idx="5">
                  <c:v>-2.6363188715266894E-2</c:v>
                </c:pt>
                <c:pt idx="6">
                  <c:v>-5.310261243115269E-2</c:v>
                </c:pt>
                <c:pt idx="7">
                  <c:v>-0.12795823830456599</c:v>
                </c:pt>
                <c:pt idx="8">
                  <c:v>-0.15744845860531273</c:v>
                </c:pt>
                <c:pt idx="9">
                  <c:v>4.9442832110393041E-2</c:v>
                </c:pt>
                <c:pt idx="10">
                  <c:v>-0.10565919906298704</c:v>
                </c:pt>
                <c:pt idx="11">
                  <c:v>5.3497006895506578E-2</c:v>
                </c:pt>
              </c:numCache>
            </c:numRef>
          </c:val>
        </c:ser>
        <c:ser>
          <c:idx val="1"/>
          <c:order val="1"/>
          <c:tx>
            <c:strRef>
              <c:f>Sheet1!$C$1</c:f>
              <c:strCache>
                <c:ptCount val="1"/>
                <c:pt idx="0">
                  <c:v>So với đầu tháng 7/2016</c:v>
                </c:pt>
              </c:strCache>
            </c:strRef>
          </c:tx>
          <c:invertIfNegative val="0"/>
          <c:dLbls>
            <c:numFmt formatCode="0.00%" sourceLinked="0"/>
            <c:txPr>
              <a:bodyPr/>
              <a:lstStyle/>
              <a:p>
                <a:pPr>
                  <a:defRPr lang="en-US"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Sheet1!$A$2:$A$13</c:f>
              <c:strCache>
                <c:ptCount val="12"/>
                <c:pt idx="0">
                  <c:v>Dow Jones</c:v>
                </c:pt>
                <c:pt idx="1">
                  <c:v>S&amp;P 500</c:v>
                </c:pt>
                <c:pt idx="2">
                  <c:v>NASDAQ</c:v>
                </c:pt>
                <c:pt idx="3">
                  <c:v>EURO STOXX</c:v>
                </c:pt>
                <c:pt idx="4">
                  <c:v>FTSE 100</c:v>
                </c:pt>
                <c:pt idx="5">
                  <c:v>DAX</c:v>
                </c:pt>
                <c:pt idx="6">
                  <c:v>CAC</c:v>
                </c:pt>
                <c:pt idx="7">
                  <c:v>Nikkei</c:v>
                </c:pt>
                <c:pt idx="8">
                  <c:v>TOPIX</c:v>
                </c:pt>
                <c:pt idx="9">
                  <c:v>Hang Seng</c:v>
                </c:pt>
                <c:pt idx="10">
                  <c:v>Shanghai</c:v>
                </c:pt>
                <c:pt idx="11">
                  <c:v>MSCI</c:v>
                </c:pt>
              </c:strCache>
            </c:strRef>
          </c:cat>
          <c:val>
            <c:numRef>
              <c:f>Sheet1!$C$2:$C$13</c:f>
              <c:numCache>
                <c:formatCode>0.00%</c:formatCode>
                <c:ptCount val="12"/>
                <c:pt idx="0">
                  <c:v>3.2315897438182993E-2</c:v>
                </c:pt>
                <c:pt idx="1">
                  <c:v>3.7718443139399552E-2</c:v>
                </c:pt>
                <c:pt idx="2">
                  <c:v>7.8565449957532868E-2</c:v>
                </c:pt>
                <c:pt idx="3">
                  <c:v>2.5042836430736914E-2</c:v>
                </c:pt>
                <c:pt idx="4">
                  <c:v>3.7609667625949708E-2</c:v>
                </c:pt>
                <c:pt idx="5">
                  <c:v>6.9932652217853428E-2</c:v>
                </c:pt>
                <c:pt idx="6">
                  <c:v>2.7342324214545632E-2</c:v>
                </c:pt>
                <c:pt idx="7">
                  <c:v>5.8390637195137596E-2</c:v>
                </c:pt>
                <c:pt idx="8">
                  <c:v>3.925257485411815E-2</c:v>
                </c:pt>
                <c:pt idx="9">
                  <c:v>9.2060002279288872E-2</c:v>
                </c:pt>
                <c:pt idx="10">
                  <c:v>0.13787306307289393</c:v>
                </c:pt>
                <c:pt idx="11">
                  <c:v>0.10044324837739427</c:v>
                </c:pt>
              </c:numCache>
            </c:numRef>
          </c:val>
        </c:ser>
        <c:dLbls>
          <c:showLegendKey val="0"/>
          <c:showVal val="0"/>
          <c:showCatName val="0"/>
          <c:showSerName val="0"/>
          <c:showPercent val="0"/>
          <c:showBubbleSize val="0"/>
        </c:dLbls>
        <c:gapWidth val="75"/>
        <c:overlap val="-25"/>
        <c:axId val="94917376"/>
        <c:axId val="94918912"/>
      </c:barChart>
      <c:catAx>
        <c:axId val="94917376"/>
        <c:scaling>
          <c:orientation val="minMax"/>
        </c:scaling>
        <c:delete val="0"/>
        <c:axPos val="l"/>
        <c:majorTickMark val="none"/>
        <c:minorTickMark val="none"/>
        <c:tickLblPos val="low"/>
        <c:txPr>
          <a:bodyPr/>
          <a:lstStyle/>
          <a:p>
            <a:pPr>
              <a:defRPr lang="en-US" sz="1100" b="1">
                <a:latin typeface="Times New Roman" pitchFamily="18" charset="0"/>
                <a:cs typeface="Times New Roman" pitchFamily="18" charset="0"/>
              </a:defRPr>
            </a:pPr>
            <a:endParaRPr lang="en-US"/>
          </a:p>
        </c:txPr>
        <c:crossAx val="94918912"/>
        <c:crosses val="autoZero"/>
        <c:auto val="1"/>
        <c:lblAlgn val="ctr"/>
        <c:lblOffset val="100"/>
        <c:noMultiLvlLbl val="0"/>
      </c:catAx>
      <c:valAx>
        <c:axId val="94918912"/>
        <c:scaling>
          <c:orientation val="minMax"/>
        </c:scaling>
        <c:delete val="1"/>
        <c:axPos val="b"/>
        <c:numFmt formatCode="0.00%" sourceLinked="1"/>
        <c:majorTickMark val="none"/>
        <c:minorTickMark val="none"/>
        <c:tickLblPos val="none"/>
        <c:crossAx val="94917376"/>
        <c:crosses val="autoZero"/>
        <c:crossBetween val="between"/>
        <c:majorUnit val="5.0000000000000037E-2"/>
      </c:valAx>
    </c:plotArea>
    <c:legend>
      <c:legendPos val="b"/>
      <c:layout>
        <c:manualLayout>
          <c:xMode val="edge"/>
          <c:yMode val="edge"/>
          <c:x val="0.18344519359720501"/>
          <c:y val="0.90022460565832763"/>
          <c:w val="0.63310931817810512"/>
          <c:h val="8.4969562876766755E-2"/>
        </c:manualLayout>
      </c:layout>
      <c:overlay val="0"/>
      <c:txPr>
        <a:bodyPr/>
        <a:lstStyle/>
        <a:p>
          <a:pPr>
            <a:defRPr lang="en-US" b="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'OMO theo tháng'!$D$1</c:f>
              <c:strCache>
                <c:ptCount val="1"/>
                <c:pt idx="0">
                  <c:v>Bơm (hút) ròng</c:v>
                </c:pt>
              </c:strCache>
            </c:strRef>
          </c:tx>
          <c:spPr>
            <a:solidFill>
              <a:schemeClr val="accent5">
                <a:lumMod val="50000"/>
              </a:schemeClr>
            </a:solidFill>
          </c:spPr>
          <c:invertIfNegative val="0"/>
          <c:dLbls>
            <c:dLbl>
              <c:idx val="5"/>
              <c:layout>
                <c:manualLayout>
                  <c:x val="-1.4124293785310734E-2"/>
                  <c:y val="0.11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4745762711864441E-3"/>
                  <c:y val="0.12962962962962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'OMO theo tháng'!$A$26:$A$34</c:f>
              <c:strCache>
                <c:ptCount val="9"/>
                <c:pt idx="0">
                  <c:v>T1/2016</c:v>
                </c:pt>
                <c:pt idx="1">
                  <c:v>T2/2016</c:v>
                </c:pt>
                <c:pt idx="2">
                  <c:v>T3/2016</c:v>
                </c:pt>
                <c:pt idx="3">
                  <c:v>T4/2016</c:v>
                </c:pt>
                <c:pt idx="4">
                  <c:v>T5/2016</c:v>
                </c:pt>
                <c:pt idx="5">
                  <c:v>T6/2016</c:v>
                </c:pt>
                <c:pt idx="6">
                  <c:v>T7/2016</c:v>
                </c:pt>
                <c:pt idx="7">
                  <c:v>1-18/8/2016</c:v>
                </c:pt>
                <c:pt idx="8">
                  <c:v>Tổng</c:v>
                </c:pt>
              </c:strCache>
            </c:strRef>
          </c:cat>
          <c:val>
            <c:numRef>
              <c:f>'OMO theo tháng'!$D$26:$D$34</c:f>
              <c:numCache>
                <c:formatCode>_(* #,##0_);_(* \(#,##0\);_(* "-"??_);_(@_)</c:formatCode>
                <c:ptCount val="9"/>
                <c:pt idx="0">
                  <c:v>74116</c:v>
                </c:pt>
                <c:pt idx="1">
                  <c:v>-34840</c:v>
                </c:pt>
                <c:pt idx="2">
                  <c:v>-127976</c:v>
                </c:pt>
                <c:pt idx="3">
                  <c:v>20847</c:v>
                </c:pt>
                <c:pt idx="4">
                  <c:v>-35467</c:v>
                </c:pt>
                <c:pt idx="5">
                  <c:v>5988.699999999998</c:v>
                </c:pt>
                <c:pt idx="6">
                  <c:v>-31000.299999999996</c:v>
                </c:pt>
                <c:pt idx="7">
                  <c:v>0</c:v>
                </c:pt>
                <c:pt idx="8">
                  <c:v>-128331.6</c:v>
                </c:pt>
              </c:numCache>
            </c:numRef>
          </c:val>
        </c:ser>
        <c:dLbls>
          <c:showLegendKey val="0"/>
          <c:showVal val="0"/>
          <c:showCatName val="0"/>
          <c:showSerName val="0"/>
          <c:showPercent val="0"/>
          <c:showBubbleSize val="0"/>
        </c:dLbls>
        <c:gapWidth val="150"/>
        <c:axId val="95841280"/>
        <c:axId val="95863552"/>
      </c:barChart>
      <c:catAx>
        <c:axId val="95841280"/>
        <c:scaling>
          <c:orientation val="minMax"/>
        </c:scaling>
        <c:delete val="0"/>
        <c:axPos val="b"/>
        <c:numFmt formatCode="General" sourceLinked="0"/>
        <c:majorTickMark val="out"/>
        <c:minorTickMark val="none"/>
        <c:tickLblPos val="low"/>
        <c:txPr>
          <a:bodyPr/>
          <a:lstStyle/>
          <a:p>
            <a:pPr>
              <a:defRPr sz="700"/>
            </a:pPr>
            <a:endParaRPr lang="en-US"/>
          </a:p>
        </c:txPr>
        <c:crossAx val="95863552"/>
        <c:crosses val="autoZero"/>
        <c:auto val="1"/>
        <c:lblAlgn val="ctr"/>
        <c:lblOffset val="100"/>
        <c:noMultiLvlLbl val="0"/>
      </c:catAx>
      <c:valAx>
        <c:axId val="95863552"/>
        <c:scaling>
          <c:orientation val="minMax"/>
        </c:scaling>
        <c:delete val="0"/>
        <c:axPos val="l"/>
        <c:majorGridlines>
          <c:spPr>
            <a:ln>
              <a:noFill/>
              <a:prstDash val="sysDash"/>
            </a:ln>
          </c:spPr>
        </c:majorGridlines>
        <c:numFmt formatCode="_(* #,##0_);_(* \(#,##0\);_(* &quot;-&quot;??_);_(@_)" sourceLinked="1"/>
        <c:majorTickMark val="out"/>
        <c:minorTickMark val="none"/>
        <c:tickLblPos val="nextTo"/>
        <c:txPr>
          <a:bodyPr/>
          <a:lstStyle/>
          <a:p>
            <a:pPr>
              <a:defRPr sz="700"/>
            </a:pPr>
            <a:endParaRPr lang="en-US"/>
          </a:p>
        </c:txPr>
        <c:crossAx val="9584128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18974226582333"/>
          <c:y val="5.5975956373328979E-2"/>
          <c:w val="0.82159907060797732"/>
          <c:h val="0.68705207185889328"/>
        </c:manualLayout>
      </c:layout>
      <c:lineChart>
        <c:grouping val="standard"/>
        <c:varyColors val="0"/>
        <c:ser>
          <c:idx val="0"/>
          <c:order val="0"/>
          <c:tx>
            <c:strRef>
              <c:f>'Liên ngân hàng'!$B$2</c:f>
              <c:strCache>
                <c:ptCount val="1"/>
                <c:pt idx="0">
                  <c:v>Lãi suất qua đêm </c:v>
                </c:pt>
              </c:strCache>
            </c:strRef>
          </c:tx>
          <c:spPr>
            <a:ln w="25400">
              <a:solidFill>
                <a:schemeClr val="accent5">
                  <a:lumMod val="50000"/>
                </a:schemeClr>
              </a:solidFill>
            </a:ln>
          </c:spPr>
          <c:marker>
            <c:symbol val="none"/>
          </c:marker>
          <c:cat>
            <c:numRef>
              <c:f>'Liên ngân hàng'!$A$581:$A$805</c:f>
              <c:numCache>
                <c:formatCode>[$-1010000]d/m/yyyy;@</c:formatCode>
                <c:ptCount val="225"/>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pt idx="78">
                  <c:v>42448</c:v>
                </c:pt>
                <c:pt idx="79">
                  <c:v>42449</c:v>
                </c:pt>
                <c:pt idx="80">
                  <c:v>42450</c:v>
                </c:pt>
                <c:pt idx="81">
                  <c:v>42451</c:v>
                </c:pt>
                <c:pt idx="82">
                  <c:v>42452</c:v>
                </c:pt>
                <c:pt idx="83">
                  <c:v>42453</c:v>
                </c:pt>
                <c:pt idx="84">
                  <c:v>42454</c:v>
                </c:pt>
                <c:pt idx="85">
                  <c:v>42455</c:v>
                </c:pt>
                <c:pt idx="86">
                  <c:v>42456</c:v>
                </c:pt>
                <c:pt idx="87">
                  <c:v>42457</c:v>
                </c:pt>
                <c:pt idx="88">
                  <c:v>42458</c:v>
                </c:pt>
                <c:pt idx="89">
                  <c:v>42459</c:v>
                </c:pt>
                <c:pt idx="90">
                  <c:v>42460</c:v>
                </c:pt>
                <c:pt idx="91">
                  <c:v>42461</c:v>
                </c:pt>
                <c:pt idx="92">
                  <c:v>42462</c:v>
                </c:pt>
                <c:pt idx="93">
                  <c:v>42463</c:v>
                </c:pt>
                <c:pt idx="94">
                  <c:v>42464</c:v>
                </c:pt>
                <c:pt idx="95">
                  <c:v>42465</c:v>
                </c:pt>
                <c:pt idx="96">
                  <c:v>42466</c:v>
                </c:pt>
                <c:pt idx="97">
                  <c:v>42467</c:v>
                </c:pt>
                <c:pt idx="98">
                  <c:v>42468</c:v>
                </c:pt>
                <c:pt idx="99">
                  <c:v>42469</c:v>
                </c:pt>
                <c:pt idx="100">
                  <c:v>42470</c:v>
                </c:pt>
                <c:pt idx="101">
                  <c:v>42471</c:v>
                </c:pt>
                <c:pt idx="102">
                  <c:v>42472</c:v>
                </c:pt>
                <c:pt idx="103">
                  <c:v>42473</c:v>
                </c:pt>
                <c:pt idx="104">
                  <c:v>42474</c:v>
                </c:pt>
                <c:pt idx="105">
                  <c:v>42475</c:v>
                </c:pt>
                <c:pt idx="106">
                  <c:v>42476</c:v>
                </c:pt>
                <c:pt idx="107">
                  <c:v>42477</c:v>
                </c:pt>
                <c:pt idx="108">
                  <c:v>42478</c:v>
                </c:pt>
                <c:pt idx="109">
                  <c:v>42479</c:v>
                </c:pt>
                <c:pt idx="110">
                  <c:v>42480</c:v>
                </c:pt>
                <c:pt idx="111">
                  <c:v>42481</c:v>
                </c:pt>
                <c:pt idx="112">
                  <c:v>42482</c:v>
                </c:pt>
                <c:pt idx="113">
                  <c:v>42483</c:v>
                </c:pt>
                <c:pt idx="114">
                  <c:v>42484</c:v>
                </c:pt>
                <c:pt idx="115">
                  <c:v>42485</c:v>
                </c:pt>
                <c:pt idx="116">
                  <c:v>42486</c:v>
                </c:pt>
                <c:pt idx="117">
                  <c:v>42487</c:v>
                </c:pt>
                <c:pt idx="118">
                  <c:v>42488</c:v>
                </c:pt>
                <c:pt idx="119">
                  <c:v>42489</c:v>
                </c:pt>
                <c:pt idx="120">
                  <c:v>42490</c:v>
                </c:pt>
                <c:pt idx="121">
                  <c:v>42491</c:v>
                </c:pt>
                <c:pt idx="122">
                  <c:v>42492</c:v>
                </c:pt>
                <c:pt idx="123">
                  <c:v>42493</c:v>
                </c:pt>
                <c:pt idx="124">
                  <c:v>42494</c:v>
                </c:pt>
                <c:pt idx="125">
                  <c:v>42495</c:v>
                </c:pt>
                <c:pt idx="126">
                  <c:v>42496</c:v>
                </c:pt>
                <c:pt idx="127">
                  <c:v>42497</c:v>
                </c:pt>
                <c:pt idx="128">
                  <c:v>42498</c:v>
                </c:pt>
                <c:pt idx="129">
                  <c:v>42499</c:v>
                </c:pt>
                <c:pt idx="130">
                  <c:v>42500</c:v>
                </c:pt>
                <c:pt idx="131">
                  <c:v>42501</c:v>
                </c:pt>
                <c:pt idx="132">
                  <c:v>42502</c:v>
                </c:pt>
                <c:pt idx="133">
                  <c:v>42503</c:v>
                </c:pt>
                <c:pt idx="134">
                  <c:v>42504</c:v>
                </c:pt>
                <c:pt idx="135">
                  <c:v>42505</c:v>
                </c:pt>
                <c:pt idx="136">
                  <c:v>42506</c:v>
                </c:pt>
                <c:pt idx="137">
                  <c:v>42507</c:v>
                </c:pt>
                <c:pt idx="138">
                  <c:v>42508</c:v>
                </c:pt>
                <c:pt idx="139">
                  <c:v>42509</c:v>
                </c:pt>
                <c:pt idx="140">
                  <c:v>42510</c:v>
                </c:pt>
                <c:pt idx="141">
                  <c:v>42511</c:v>
                </c:pt>
                <c:pt idx="142">
                  <c:v>42512</c:v>
                </c:pt>
                <c:pt idx="143">
                  <c:v>42513</c:v>
                </c:pt>
                <c:pt idx="144">
                  <c:v>42514</c:v>
                </c:pt>
                <c:pt idx="145">
                  <c:v>42515</c:v>
                </c:pt>
                <c:pt idx="146">
                  <c:v>42516</c:v>
                </c:pt>
                <c:pt idx="147">
                  <c:v>42517</c:v>
                </c:pt>
                <c:pt idx="148">
                  <c:v>42518</c:v>
                </c:pt>
                <c:pt idx="149">
                  <c:v>42519</c:v>
                </c:pt>
                <c:pt idx="150">
                  <c:v>42520</c:v>
                </c:pt>
                <c:pt idx="151">
                  <c:v>42521</c:v>
                </c:pt>
                <c:pt idx="152">
                  <c:v>42522</c:v>
                </c:pt>
                <c:pt idx="153">
                  <c:v>42523</c:v>
                </c:pt>
                <c:pt idx="154">
                  <c:v>42524</c:v>
                </c:pt>
                <c:pt idx="155">
                  <c:v>42525</c:v>
                </c:pt>
                <c:pt idx="156">
                  <c:v>42526</c:v>
                </c:pt>
                <c:pt idx="157">
                  <c:v>42527</c:v>
                </c:pt>
                <c:pt idx="158">
                  <c:v>42528</c:v>
                </c:pt>
                <c:pt idx="159">
                  <c:v>42529</c:v>
                </c:pt>
                <c:pt idx="160">
                  <c:v>42530</c:v>
                </c:pt>
                <c:pt idx="161">
                  <c:v>42531</c:v>
                </c:pt>
                <c:pt idx="162">
                  <c:v>42532</c:v>
                </c:pt>
                <c:pt idx="163">
                  <c:v>42533</c:v>
                </c:pt>
                <c:pt idx="164">
                  <c:v>42534</c:v>
                </c:pt>
                <c:pt idx="165">
                  <c:v>42535</c:v>
                </c:pt>
                <c:pt idx="166">
                  <c:v>42536</c:v>
                </c:pt>
                <c:pt idx="167">
                  <c:v>42537</c:v>
                </c:pt>
                <c:pt idx="168">
                  <c:v>42538</c:v>
                </c:pt>
                <c:pt idx="169">
                  <c:v>42539</c:v>
                </c:pt>
                <c:pt idx="170">
                  <c:v>42540</c:v>
                </c:pt>
                <c:pt idx="171">
                  <c:v>42541</c:v>
                </c:pt>
                <c:pt idx="172">
                  <c:v>42542</c:v>
                </c:pt>
                <c:pt idx="173">
                  <c:v>42543</c:v>
                </c:pt>
                <c:pt idx="174">
                  <c:v>42544</c:v>
                </c:pt>
                <c:pt idx="175">
                  <c:v>42545</c:v>
                </c:pt>
                <c:pt idx="176">
                  <c:v>42546</c:v>
                </c:pt>
                <c:pt idx="177">
                  <c:v>42547</c:v>
                </c:pt>
                <c:pt idx="178">
                  <c:v>42548</c:v>
                </c:pt>
                <c:pt idx="179">
                  <c:v>42549</c:v>
                </c:pt>
                <c:pt idx="180">
                  <c:v>42550</c:v>
                </c:pt>
                <c:pt idx="181">
                  <c:v>42551</c:v>
                </c:pt>
                <c:pt idx="182">
                  <c:v>42552</c:v>
                </c:pt>
                <c:pt idx="183">
                  <c:v>42553</c:v>
                </c:pt>
                <c:pt idx="184">
                  <c:v>42554</c:v>
                </c:pt>
                <c:pt idx="185">
                  <c:v>42555</c:v>
                </c:pt>
                <c:pt idx="186">
                  <c:v>42556</c:v>
                </c:pt>
                <c:pt idx="187">
                  <c:v>42557</c:v>
                </c:pt>
                <c:pt idx="188">
                  <c:v>42558</c:v>
                </c:pt>
                <c:pt idx="189">
                  <c:v>42559</c:v>
                </c:pt>
                <c:pt idx="190">
                  <c:v>42560</c:v>
                </c:pt>
                <c:pt idx="191">
                  <c:v>42561</c:v>
                </c:pt>
                <c:pt idx="192">
                  <c:v>42562</c:v>
                </c:pt>
                <c:pt idx="193">
                  <c:v>42563</c:v>
                </c:pt>
                <c:pt idx="194">
                  <c:v>42564</c:v>
                </c:pt>
                <c:pt idx="195">
                  <c:v>42565</c:v>
                </c:pt>
                <c:pt idx="196">
                  <c:v>42566</c:v>
                </c:pt>
                <c:pt idx="197">
                  <c:v>42567</c:v>
                </c:pt>
                <c:pt idx="198">
                  <c:v>42568</c:v>
                </c:pt>
                <c:pt idx="199">
                  <c:v>42569</c:v>
                </c:pt>
                <c:pt idx="200">
                  <c:v>42570</c:v>
                </c:pt>
                <c:pt idx="201">
                  <c:v>42571</c:v>
                </c:pt>
                <c:pt idx="202">
                  <c:v>42572</c:v>
                </c:pt>
                <c:pt idx="203">
                  <c:v>42573</c:v>
                </c:pt>
                <c:pt idx="204">
                  <c:v>42574</c:v>
                </c:pt>
                <c:pt idx="205">
                  <c:v>42575</c:v>
                </c:pt>
                <c:pt idx="206">
                  <c:v>42576</c:v>
                </c:pt>
                <c:pt idx="207">
                  <c:v>42577</c:v>
                </c:pt>
                <c:pt idx="208">
                  <c:v>42578</c:v>
                </c:pt>
                <c:pt idx="209">
                  <c:v>42579</c:v>
                </c:pt>
                <c:pt idx="210">
                  <c:v>42580</c:v>
                </c:pt>
                <c:pt idx="211">
                  <c:v>42581</c:v>
                </c:pt>
                <c:pt idx="212">
                  <c:v>42582</c:v>
                </c:pt>
                <c:pt idx="213">
                  <c:v>42583</c:v>
                </c:pt>
                <c:pt idx="214">
                  <c:v>42584</c:v>
                </c:pt>
                <c:pt idx="215">
                  <c:v>42585</c:v>
                </c:pt>
                <c:pt idx="216">
                  <c:v>42586</c:v>
                </c:pt>
                <c:pt idx="217">
                  <c:v>42587</c:v>
                </c:pt>
                <c:pt idx="218">
                  <c:v>42588</c:v>
                </c:pt>
                <c:pt idx="219">
                  <c:v>42589</c:v>
                </c:pt>
                <c:pt idx="220">
                  <c:v>42590</c:v>
                </c:pt>
                <c:pt idx="221">
                  <c:v>42591</c:v>
                </c:pt>
                <c:pt idx="222">
                  <c:v>42592</c:v>
                </c:pt>
                <c:pt idx="223">
                  <c:v>42593</c:v>
                </c:pt>
                <c:pt idx="224">
                  <c:v>42594</c:v>
                </c:pt>
              </c:numCache>
            </c:numRef>
          </c:cat>
          <c:val>
            <c:numRef>
              <c:f>'Liên ngân hàng'!$B$581:$B$805</c:f>
              <c:numCache>
                <c:formatCode>General</c:formatCode>
                <c:ptCount val="225"/>
                <c:pt idx="0">
                  <c:v>4.9000000000000004</c:v>
                </c:pt>
                <c:pt idx="1">
                  <c:v>4.9000000000000004</c:v>
                </c:pt>
                <c:pt idx="2">
                  <c:v>4.9000000000000004</c:v>
                </c:pt>
                <c:pt idx="3">
                  <c:v>4.91</c:v>
                </c:pt>
                <c:pt idx="4">
                  <c:v>4.8099999999999996</c:v>
                </c:pt>
                <c:pt idx="5">
                  <c:v>4.87</c:v>
                </c:pt>
                <c:pt idx="6">
                  <c:v>4.84</c:v>
                </c:pt>
                <c:pt idx="7">
                  <c:v>4.71</c:v>
                </c:pt>
                <c:pt idx="8">
                  <c:v>4.71</c:v>
                </c:pt>
                <c:pt idx="9">
                  <c:v>4.71</c:v>
                </c:pt>
                <c:pt idx="10">
                  <c:v>4.6599999999999993</c:v>
                </c:pt>
                <c:pt idx="11">
                  <c:v>4.68</c:v>
                </c:pt>
                <c:pt idx="12">
                  <c:v>4.6499999999999995</c:v>
                </c:pt>
                <c:pt idx="13">
                  <c:v>4.71</c:v>
                </c:pt>
                <c:pt idx="14">
                  <c:v>4.71</c:v>
                </c:pt>
                <c:pt idx="15">
                  <c:v>4.71</c:v>
                </c:pt>
                <c:pt idx="16">
                  <c:v>4.71</c:v>
                </c:pt>
                <c:pt idx="17">
                  <c:v>4.6399999999999997</c:v>
                </c:pt>
                <c:pt idx="18">
                  <c:v>4.7300000000000004</c:v>
                </c:pt>
                <c:pt idx="19">
                  <c:v>4.7699999999999996</c:v>
                </c:pt>
                <c:pt idx="20">
                  <c:v>4.75</c:v>
                </c:pt>
                <c:pt idx="21">
                  <c:v>4.8199999999999994</c:v>
                </c:pt>
                <c:pt idx="22">
                  <c:v>4.8199999999999994</c:v>
                </c:pt>
                <c:pt idx="23">
                  <c:v>4.8199999999999994</c:v>
                </c:pt>
                <c:pt idx="24">
                  <c:v>4.9700000000000006</c:v>
                </c:pt>
                <c:pt idx="25">
                  <c:v>5.04</c:v>
                </c:pt>
                <c:pt idx="26">
                  <c:v>5.04</c:v>
                </c:pt>
                <c:pt idx="27">
                  <c:v>5.09</c:v>
                </c:pt>
                <c:pt idx="28">
                  <c:v>5.35</c:v>
                </c:pt>
                <c:pt idx="29">
                  <c:v>5.35</c:v>
                </c:pt>
                <c:pt idx="30">
                  <c:v>5.35</c:v>
                </c:pt>
                <c:pt idx="31">
                  <c:v>5.38</c:v>
                </c:pt>
                <c:pt idx="32">
                  <c:v>5.67</c:v>
                </c:pt>
                <c:pt idx="33">
                  <c:v>5.56</c:v>
                </c:pt>
                <c:pt idx="34">
                  <c:v>5.6099999999999994</c:v>
                </c:pt>
                <c:pt idx="35">
                  <c:v>5.6099999999999994</c:v>
                </c:pt>
                <c:pt idx="36">
                  <c:v>5.6099999999999994</c:v>
                </c:pt>
                <c:pt idx="37">
                  <c:v>5.6099999999999994</c:v>
                </c:pt>
                <c:pt idx="38">
                  <c:v>5.6099999999999994</c:v>
                </c:pt>
                <c:pt idx="39">
                  <c:v>5.6099999999999994</c:v>
                </c:pt>
                <c:pt idx="40">
                  <c:v>5.6099999999999994</c:v>
                </c:pt>
                <c:pt idx="41">
                  <c:v>5.6099999999999994</c:v>
                </c:pt>
                <c:pt idx="42">
                  <c:v>5.6099999999999994</c:v>
                </c:pt>
                <c:pt idx="43">
                  <c:v>5.6099999999999994</c:v>
                </c:pt>
                <c:pt idx="44">
                  <c:v>5.6099999999999994</c:v>
                </c:pt>
                <c:pt idx="45">
                  <c:v>5.2</c:v>
                </c:pt>
                <c:pt idx="46">
                  <c:v>4.72</c:v>
                </c:pt>
                <c:pt idx="47">
                  <c:v>3.88</c:v>
                </c:pt>
                <c:pt idx="48">
                  <c:v>3.24</c:v>
                </c:pt>
                <c:pt idx="49">
                  <c:v>2.38</c:v>
                </c:pt>
                <c:pt idx="50">
                  <c:v>2.38</c:v>
                </c:pt>
                <c:pt idx="51">
                  <c:v>2.38</c:v>
                </c:pt>
                <c:pt idx="52">
                  <c:v>2.14</c:v>
                </c:pt>
                <c:pt idx="53">
                  <c:v>1.8</c:v>
                </c:pt>
                <c:pt idx="54">
                  <c:v>1.57</c:v>
                </c:pt>
                <c:pt idx="55">
                  <c:v>1.59</c:v>
                </c:pt>
                <c:pt idx="56">
                  <c:v>1.31</c:v>
                </c:pt>
                <c:pt idx="57">
                  <c:v>1.31</c:v>
                </c:pt>
                <c:pt idx="58">
                  <c:v>1.31</c:v>
                </c:pt>
                <c:pt idx="59">
                  <c:v>1.22</c:v>
                </c:pt>
                <c:pt idx="60">
                  <c:v>2.4</c:v>
                </c:pt>
                <c:pt idx="61">
                  <c:v>2.84</c:v>
                </c:pt>
                <c:pt idx="62">
                  <c:v>3.25</c:v>
                </c:pt>
                <c:pt idx="63">
                  <c:v>4.0599999999999996</c:v>
                </c:pt>
                <c:pt idx="64">
                  <c:v>4.0599999999999996</c:v>
                </c:pt>
                <c:pt idx="65">
                  <c:v>4.0599999999999996</c:v>
                </c:pt>
                <c:pt idx="66">
                  <c:v>4.6099999999999994</c:v>
                </c:pt>
                <c:pt idx="67">
                  <c:v>4.76</c:v>
                </c:pt>
                <c:pt idx="68">
                  <c:v>4.67</c:v>
                </c:pt>
                <c:pt idx="69">
                  <c:v>4.4300000000000006</c:v>
                </c:pt>
                <c:pt idx="70">
                  <c:v>4.1899999999999995</c:v>
                </c:pt>
                <c:pt idx="71">
                  <c:v>4.1899999999999995</c:v>
                </c:pt>
                <c:pt idx="72">
                  <c:v>4.1899999999999995</c:v>
                </c:pt>
                <c:pt idx="73">
                  <c:v>4.2300000000000004</c:v>
                </c:pt>
                <c:pt idx="74">
                  <c:v>4.29</c:v>
                </c:pt>
                <c:pt idx="75">
                  <c:v>4.3</c:v>
                </c:pt>
                <c:pt idx="76">
                  <c:v>3.7</c:v>
                </c:pt>
                <c:pt idx="77">
                  <c:v>3.69</c:v>
                </c:pt>
                <c:pt idx="78">
                  <c:v>3.69</c:v>
                </c:pt>
                <c:pt idx="79">
                  <c:v>3.69</c:v>
                </c:pt>
                <c:pt idx="80">
                  <c:v>3.63</c:v>
                </c:pt>
                <c:pt idx="81">
                  <c:v>3.71</c:v>
                </c:pt>
                <c:pt idx="82">
                  <c:v>3.3299999999999996</c:v>
                </c:pt>
                <c:pt idx="83">
                  <c:v>2.96</c:v>
                </c:pt>
                <c:pt idx="84">
                  <c:v>2.88</c:v>
                </c:pt>
                <c:pt idx="85">
                  <c:v>2.88</c:v>
                </c:pt>
                <c:pt idx="86">
                  <c:v>2.88</c:v>
                </c:pt>
                <c:pt idx="87">
                  <c:v>2.86</c:v>
                </c:pt>
                <c:pt idx="88">
                  <c:v>2.9699999999999998</c:v>
                </c:pt>
                <c:pt idx="89">
                  <c:v>3.07</c:v>
                </c:pt>
                <c:pt idx="90">
                  <c:v>3.7</c:v>
                </c:pt>
                <c:pt idx="91">
                  <c:v>4.03</c:v>
                </c:pt>
                <c:pt idx="92">
                  <c:v>4.03</c:v>
                </c:pt>
                <c:pt idx="93">
                  <c:v>4.03</c:v>
                </c:pt>
                <c:pt idx="94">
                  <c:v>4.3499999999999996</c:v>
                </c:pt>
                <c:pt idx="95">
                  <c:v>4.33</c:v>
                </c:pt>
                <c:pt idx="96">
                  <c:v>4.4700000000000006</c:v>
                </c:pt>
                <c:pt idx="97">
                  <c:v>4.6599999999999993</c:v>
                </c:pt>
                <c:pt idx="98">
                  <c:v>4.74</c:v>
                </c:pt>
                <c:pt idx="99">
                  <c:v>4.74</c:v>
                </c:pt>
                <c:pt idx="100">
                  <c:v>4.74</c:v>
                </c:pt>
                <c:pt idx="101">
                  <c:v>4.8499999999999996</c:v>
                </c:pt>
                <c:pt idx="102">
                  <c:v>4.8599999999999994</c:v>
                </c:pt>
                <c:pt idx="103">
                  <c:v>4.74</c:v>
                </c:pt>
                <c:pt idx="104">
                  <c:v>4.68</c:v>
                </c:pt>
                <c:pt idx="105">
                  <c:v>4.6499999999999995</c:v>
                </c:pt>
                <c:pt idx="106">
                  <c:v>4.6499999999999995</c:v>
                </c:pt>
                <c:pt idx="107">
                  <c:v>4.6499999999999995</c:v>
                </c:pt>
                <c:pt idx="108">
                  <c:v>4.6499999999999995</c:v>
                </c:pt>
                <c:pt idx="109">
                  <c:v>4.7</c:v>
                </c:pt>
                <c:pt idx="110">
                  <c:v>4.8</c:v>
                </c:pt>
                <c:pt idx="111">
                  <c:v>4.8599999999999994</c:v>
                </c:pt>
                <c:pt idx="112">
                  <c:v>4.8</c:v>
                </c:pt>
                <c:pt idx="113">
                  <c:v>4.8</c:v>
                </c:pt>
                <c:pt idx="114">
                  <c:v>4.8</c:v>
                </c:pt>
                <c:pt idx="115">
                  <c:v>4.49</c:v>
                </c:pt>
                <c:pt idx="116">
                  <c:v>3.64</c:v>
                </c:pt>
                <c:pt idx="117">
                  <c:v>2.5299999999999998</c:v>
                </c:pt>
                <c:pt idx="118">
                  <c:v>2.09</c:v>
                </c:pt>
                <c:pt idx="119">
                  <c:v>3.8</c:v>
                </c:pt>
                <c:pt idx="120">
                  <c:v>3.8</c:v>
                </c:pt>
                <c:pt idx="121">
                  <c:v>3.8</c:v>
                </c:pt>
                <c:pt idx="122">
                  <c:v>3.8</c:v>
                </c:pt>
                <c:pt idx="123">
                  <c:v>3.8</c:v>
                </c:pt>
                <c:pt idx="124">
                  <c:v>4.05</c:v>
                </c:pt>
                <c:pt idx="125">
                  <c:v>4.17</c:v>
                </c:pt>
                <c:pt idx="126">
                  <c:v>4.04</c:v>
                </c:pt>
                <c:pt idx="127">
                  <c:v>4.04</c:v>
                </c:pt>
                <c:pt idx="128">
                  <c:v>4.04</c:v>
                </c:pt>
                <c:pt idx="129">
                  <c:v>3.61</c:v>
                </c:pt>
                <c:pt idx="130">
                  <c:v>3.07</c:v>
                </c:pt>
                <c:pt idx="131">
                  <c:v>2.9</c:v>
                </c:pt>
                <c:pt idx="132">
                  <c:v>2.6</c:v>
                </c:pt>
                <c:pt idx="133">
                  <c:v>2.4499999999999997</c:v>
                </c:pt>
                <c:pt idx="134">
                  <c:v>2.4499999999999997</c:v>
                </c:pt>
                <c:pt idx="135">
                  <c:v>2.4499999999999997</c:v>
                </c:pt>
                <c:pt idx="136">
                  <c:v>1.9200000000000002</c:v>
                </c:pt>
                <c:pt idx="137">
                  <c:v>1.53</c:v>
                </c:pt>
                <c:pt idx="138">
                  <c:v>1.26</c:v>
                </c:pt>
                <c:pt idx="139">
                  <c:v>0.97000000000000008</c:v>
                </c:pt>
                <c:pt idx="140">
                  <c:v>0.83000000000000007</c:v>
                </c:pt>
                <c:pt idx="141">
                  <c:v>0.83000000000000007</c:v>
                </c:pt>
                <c:pt idx="142">
                  <c:v>0.83000000000000007</c:v>
                </c:pt>
                <c:pt idx="143">
                  <c:v>0.82000000000000006</c:v>
                </c:pt>
                <c:pt idx="144">
                  <c:v>0.7400000000000001</c:v>
                </c:pt>
                <c:pt idx="145">
                  <c:v>0.64000000000000012</c:v>
                </c:pt>
                <c:pt idx="146">
                  <c:v>0.60000000000000009</c:v>
                </c:pt>
                <c:pt idx="147">
                  <c:v>0.51</c:v>
                </c:pt>
                <c:pt idx="148">
                  <c:v>0.51</c:v>
                </c:pt>
                <c:pt idx="149">
                  <c:v>0.51</c:v>
                </c:pt>
                <c:pt idx="150">
                  <c:v>0.73000000000000009</c:v>
                </c:pt>
                <c:pt idx="151">
                  <c:v>0.78</c:v>
                </c:pt>
                <c:pt idx="152">
                  <c:v>1.35</c:v>
                </c:pt>
                <c:pt idx="153">
                  <c:v>1.61</c:v>
                </c:pt>
                <c:pt idx="154">
                  <c:v>2.0099999999999998</c:v>
                </c:pt>
                <c:pt idx="155">
                  <c:v>2.0099999999999998</c:v>
                </c:pt>
                <c:pt idx="156">
                  <c:v>2.0099999999999998</c:v>
                </c:pt>
                <c:pt idx="157">
                  <c:v>2.15</c:v>
                </c:pt>
                <c:pt idx="158">
                  <c:v>1.71</c:v>
                </c:pt>
                <c:pt idx="159">
                  <c:v>1.1599999999999997</c:v>
                </c:pt>
                <c:pt idx="160">
                  <c:v>0.78</c:v>
                </c:pt>
                <c:pt idx="161">
                  <c:v>1.29</c:v>
                </c:pt>
                <c:pt idx="162">
                  <c:v>1.29</c:v>
                </c:pt>
                <c:pt idx="163">
                  <c:v>1.29</c:v>
                </c:pt>
                <c:pt idx="164">
                  <c:v>1.43</c:v>
                </c:pt>
                <c:pt idx="165">
                  <c:v>1.36</c:v>
                </c:pt>
                <c:pt idx="166">
                  <c:v>1.27</c:v>
                </c:pt>
                <c:pt idx="167">
                  <c:v>1.01</c:v>
                </c:pt>
                <c:pt idx="168">
                  <c:v>0.92</c:v>
                </c:pt>
                <c:pt idx="169">
                  <c:v>0.92</c:v>
                </c:pt>
                <c:pt idx="170">
                  <c:v>0.92</c:v>
                </c:pt>
                <c:pt idx="171">
                  <c:v>1.1800000000000002</c:v>
                </c:pt>
                <c:pt idx="172">
                  <c:v>1.05</c:v>
                </c:pt>
                <c:pt idx="173">
                  <c:v>0.96000000000000008</c:v>
                </c:pt>
                <c:pt idx="174">
                  <c:v>0.88</c:v>
                </c:pt>
                <c:pt idx="175">
                  <c:v>0.83000000000000007</c:v>
                </c:pt>
                <c:pt idx="176">
                  <c:v>0.83000000000000007</c:v>
                </c:pt>
                <c:pt idx="177">
                  <c:v>0.83000000000000007</c:v>
                </c:pt>
                <c:pt idx="178">
                  <c:v>1.26</c:v>
                </c:pt>
                <c:pt idx="179">
                  <c:v>1.31</c:v>
                </c:pt>
                <c:pt idx="180">
                  <c:v>1.21</c:v>
                </c:pt>
                <c:pt idx="181">
                  <c:v>1.22</c:v>
                </c:pt>
                <c:pt idx="182">
                  <c:v>1.57</c:v>
                </c:pt>
                <c:pt idx="183">
                  <c:v>1.57</c:v>
                </c:pt>
                <c:pt idx="184">
                  <c:v>1.57</c:v>
                </c:pt>
                <c:pt idx="185">
                  <c:v>1.45</c:v>
                </c:pt>
                <c:pt idx="186">
                  <c:v>1.35</c:v>
                </c:pt>
                <c:pt idx="187">
                  <c:v>1.1299999999999997</c:v>
                </c:pt>
                <c:pt idx="188">
                  <c:v>0.95000000000000007</c:v>
                </c:pt>
                <c:pt idx="189">
                  <c:v>0.98</c:v>
                </c:pt>
                <c:pt idx="190">
                  <c:v>0.98</c:v>
                </c:pt>
                <c:pt idx="191">
                  <c:v>0.98</c:v>
                </c:pt>
                <c:pt idx="192">
                  <c:v>0.97000000000000008</c:v>
                </c:pt>
                <c:pt idx="193">
                  <c:v>1.02</c:v>
                </c:pt>
                <c:pt idx="194">
                  <c:v>0.98</c:v>
                </c:pt>
                <c:pt idx="195">
                  <c:v>1.03</c:v>
                </c:pt>
                <c:pt idx="196">
                  <c:v>1.03</c:v>
                </c:pt>
                <c:pt idx="197">
                  <c:v>1.03</c:v>
                </c:pt>
                <c:pt idx="198">
                  <c:v>1.03</c:v>
                </c:pt>
                <c:pt idx="199">
                  <c:v>1.04</c:v>
                </c:pt>
                <c:pt idx="200">
                  <c:v>1.0900000000000001</c:v>
                </c:pt>
                <c:pt idx="201">
                  <c:v>1.1299999999999997</c:v>
                </c:pt>
                <c:pt idx="202">
                  <c:v>1.1499999999999997</c:v>
                </c:pt>
                <c:pt idx="203">
                  <c:v>1.1499999999999997</c:v>
                </c:pt>
                <c:pt idx="204">
                  <c:v>1.1499999999999997</c:v>
                </c:pt>
                <c:pt idx="205">
                  <c:v>1.1499999999999997</c:v>
                </c:pt>
                <c:pt idx="206">
                  <c:v>1.2</c:v>
                </c:pt>
                <c:pt idx="207">
                  <c:v>1.1700000000000002</c:v>
                </c:pt>
                <c:pt idx="208">
                  <c:v>1.1399999999999997</c:v>
                </c:pt>
                <c:pt idx="209">
                  <c:v>1.07</c:v>
                </c:pt>
                <c:pt idx="210">
                  <c:v>1.28</c:v>
                </c:pt>
                <c:pt idx="211">
                  <c:v>1.28</c:v>
                </c:pt>
                <c:pt idx="212">
                  <c:v>1.28</c:v>
                </c:pt>
                <c:pt idx="213">
                  <c:v>1.49</c:v>
                </c:pt>
                <c:pt idx="214">
                  <c:v>1.37</c:v>
                </c:pt>
                <c:pt idx="215">
                  <c:v>1.24</c:v>
                </c:pt>
                <c:pt idx="216">
                  <c:v>1.1900000000000002</c:v>
                </c:pt>
                <c:pt idx="217">
                  <c:v>1.1499999999999997</c:v>
                </c:pt>
                <c:pt idx="218">
                  <c:v>1.1499999999999997</c:v>
                </c:pt>
                <c:pt idx="219">
                  <c:v>1.1499999999999997</c:v>
                </c:pt>
                <c:pt idx="220">
                  <c:v>1.1399999999999997</c:v>
                </c:pt>
                <c:pt idx="221">
                  <c:v>1.07</c:v>
                </c:pt>
                <c:pt idx="222">
                  <c:v>1.1000000000000001</c:v>
                </c:pt>
                <c:pt idx="223">
                  <c:v>1.08</c:v>
                </c:pt>
                <c:pt idx="224">
                  <c:v>1.02</c:v>
                </c:pt>
              </c:numCache>
            </c:numRef>
          </c:val>
          <c:smooth val="0"/>
        </c:ser>
        <c:dLbls>
          <c:showLegendKey val="0"/>
          <c:showVal val="0"/>
          <c:showCatName val="0"/>
          <c:showSerName val="0"/>
          <c:showPercent val="0"/>
          <c:showBubbleSize val="0"/>
        </c:dLbls>
        <c:marker val="1"/>
        <c:smooth val="0"/>
        <c:axId val="97230848"/>
        <c:axId val="97232384"/>
      </c:lineChart>
      <c:dateAx>
        <c:axId val="97230848"/>
        <c:scaling>
          <c:orientation val="minMax"/>
        </c:scaling>
        <c:delete val="0"/>
        <c:axPos val="b"/>
        <c:numFmt formatCode="[$-1010000]d/m/yyyy;@"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97232384"/>
        <c:crosses val="autoZero"/>
        <c:auto val="1"/>
        <c:lblOffset val="100"/>
        <c:baseTimeUnit val="days"/>
        <c:majorUnit val="14"/>
        <c:majorTimeUnit val="days"/>
      </c:dateAx>
      <c:valAx>
        <c:axId val="97232384"/>
        <c:scaling>
          <c:orientation val="minMax"/>
          <c:max val="6"/>
        </c:scaling>
        <c:delete val="0"/>
        <c:axPos val="l"/>
        <c:numFmt formatCode="General" sourceLinked="1"/>
        <c:majorTickMark val="out"/>
        <c:minorTickMark val="none"/>
        <c:tickLblPos val="nextTo"/>
        <c:crossAx val="9723084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79779899347426"/>
          <c:y val="5.0233632537681837E-2"/>
          <c:w val="0.74494081221488107"/>
          <c:h val="0.50119970665129043"/>
        </c:manualLayout>
      </c:layout>
      <c:lineChart>
        <c:grouping val="standard"/>
        <c:varyColors val="0"/>
        <c:ser>
          <c:idx val="0"/>
          <c:order val="0"/>
          <c:tx>
            <c:strRef>
              <c:f>Sheet1!$B$1</c:f>
              <c:strCache>
                <c:ptCount val="1"/>
                <c:pt idx="0">
                  <c:v>Tỷ giá trần (3%, SBV)</c:v>
                </c:pt>
              </c:strCache>
            </c:strRef>
          </c:tx>
          <c:spPr>
            <a:ln>
              <a:solidFill>
                <a:schemeClr val="tx1"/>
              </a:solidFill>
              <a:prstDash val="sysDot"/>
            </a:ln>
          </c:spPr>
          <c:marker>
            <c:symbol val="none"/>
          </c:marker>
          <c:cat>
            <c:numRef>
              <c:f>Sheet1!$A$2:$A$152</c:f>
              <c:numCache>
                <c:formatCode>[$-1010000]d/m/yy;@</c:formatCode>
                <c:ptCount val="1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pt idx="51">
                  <c:v>42452</c:v>
                </c:pt>
                <c:pt idx="52">
                  <c:v>42453</c:v>
                </c:pt>
                <c:pt idx="53">
                  <c:v>42454</c:v>
                </c:pt>
                <c:pt idx="54">
                  <c:v>42457</c:v>
                </c:pt>
                <c:pt idx="55">
                  <c:v>42458</c:v>
                </c:pt>
                <c:pt idx="56">
                  <c:v>42460</c:v>
                </c:pt>
                <c:pt idx="57">
                  <c:v>42461</c:v>
                </c:pt>
                <c:pt idx="58">
                  <c:v>42464</c:v>
                </c:pt>
                <c:pt idx="59">
                  <c:v>42465</c:v>
                </c:pt>
                <c:pt idx="60">
                  <c:v>42466</c:v>
                </c:pt>
                <c:pt idx="61">
                  <c:v>42467</c:v>
                </c:pt>
                <c:pt idx="62">
                  <c:v>42468</c:v>
                </c:pt>
                <c:pt idx="63">
                  <c:v>42471</c:v>
                </c:pt>
                <c:pt idx="64">
                  <c:v>42472</c:v>
                </c:pt>
                <c:pt idx="65">
                  <c:v>42473</c:v>
                </c:pt>
                <c:pt idx="66">
                  <c:v>42474</c:v>
                </c:pt>
                <c:pt idx="67">
                  <c:v>42475</c:v>
                </c:pt>
                <c:pt idx="68">
                  <c:v>42479</c:v>
                </c:pt>
                <c:pt idx="69">
                  <c:v>42480</c:v>
                </c:pt>
                <c:pt idx="70">
                  <c:v>42481</c:v>
                </c:pt>
                <c:pt idx="71">
                  <c:v>42482</c:v>
                </c:pt>
                <c:pt idx="72">
                  <c:v>42485</c:v>
                </c:pt>
                <c:pt idx="73">
                  <c:v>42486</c:v>
                </c:pt>
                <c:pt idx="74">
                  <c:v>42487</c:v>
                </c:pt>
                <c:pt idx="75">
                  <c:v>42488</c:v>
                </c:pt>
                <c:pt idx="76">
                  <c:v>42489</c:v>
                </c:pt>
                <c:pt idx="77">
                  <c:v>42494</c:v>
                </c:pt>
                <c:pt idx="78">
                  <c:v>42495</c:v>
                </c:pt>
                <c:pt idx="79">
                  <c:v>42496</c:v>
                </c:pt>
                <c:pt idx="80">
                  <c:v>42499</c:v>
                </c:pt>
                <c:pt idx="81">
                  <c:v>42500</c:v>
                </c:pt>
                <c:pt idx="82">
                  <c:v>42501</c:v>
                </c:pt>
                <c:pt idx="83">
                  <c:v>42502</c:v>
                </c:pt>
                <c:pt idx="84">
                  <c:v>42503</c:v>
                </c:pt>
                <c:pt idx="85">
                  <c:v>42506</c:v>
                </c:pt>
                <c:pt idx="86">
                  <c:v>42507</c:v>
                </c:pt>
                <c:pt idx="87">
                  <c:v>42508</c:v>
                </c:pt>
                <c:pt idx="88">
                  <c:v>42509</c:v>
                </c:pt>
                <c:pt idx="89">
                  <c:v>42510</c:v>
                </c:pt>
                <c:pt idx="90">
                  <c:v>42513</c:v>
                </c:pt>
                <c:pt idx="91">
                  <c:v>42514</c:v>
                </c:pt>
                <c:pt idx="92">
                  <c:v>42515</c:v>
                </c:pt>
                <c:pt idx="93">
                  <c:v>42516</c:v>
                </c:pt>
                <c:pt idx="94">
                  <c:v>42517</c:v>
                </c:pt>
                <c:pt idx="95">
                  <c:v>42520</c:v>
                </c:pt>
                <c:pt idx="96">
                  <c:v>42521</c:v>
                </c:pt>
                <c:pt idx="97">
                  <c:v>42522</c:v>
                </c:pt>
                <c:pt idx="98">
                  <c:v>42523</c:v>
                </c:pt>
                <c:pt idx="99">
                  <c:v>42527</c:v>
                </c:pt>
                <c:pt idx="100">
                  <c:v>42528</c:v>
                </c:pt>
                <c:pt idx="101">
                  <c:v>42529</c:v>
                </c:pt>
                <c:pt idx="102">
                  <c:v>42530</c:v>
                </c:pt>
                <c:pt idx="103">
                  <c:v>42531</c:v>
                </c:pt>
                <c:pt idx="104">
                  <c:v>42534</c:v>
                </c:pt>
                <c:pt idx="105">
                  <c:v>42536</c:v>
                </c:pt>
                <c:pt idx="106">
                  <c:v>42537</c:v>
                </c:pt>
                <c:pt idx="107">
                  <c:v>42538</c:v>
                </c:pt>
                <c:pt idx="108">
                  <c:v>42541</c:v>
                </c:pt>
                <c:pt idx="109">
                  <c:v>42542</c:v>
                </c:pt>
                <c:pt idx="110">
                  <c:v>42543</c:v>
                </c:pt>
                <c:pt idx="111">
                  <c:v>42544</c:v>
                </c:pt>
                <c:pt idx="112">
                  <c:v>42545</c:v>
                </c:pt>
                <c:pt idx="113">
                  <c:v>42548</c:v>
                </c:pt>
                <c:pt idx="114">
                  <c:v>42549</c:v>
                </c:pt>
                <c:pt idx="115">
                  <c:v>42550</c:v>
                </c:pt>
                <c:pt idx="116">
                  <c:v>42551</c:v>
                </c:pt>
                <c:pt idx="117">
                  <c:v>42552</c:v>
                </c:pt>
                <c:pt idx="118">
                  <c:v>42555</c:v>
                </c:pt>
                <c:pt idx="119">
                  <c:v>42556</c:v>
                </c:pt>
                <c:pt idx="120">
                  <c:v>42557</c:v>
                </c:pt>
                <c:pt idx="121">
                  <c:v>42558</c:v>
                </c:pt>
                <c:pt idx="122">
                  <c:v>42559</c:v>
                </c:pt>
                <c:pt idx="123">
                  <c:v>42562</c:v>
                </c:pt>
                <c:pt idx="124">
                  <c:v>42563</c:v>
                </c:pt>
                <c:pt idx="125">
                  <c:v>42564</c:v>
                </c:pt>
                <c:pt idx="126">
                  <c:v>42565</c:v>
                </c:pt>
                <c:pt idx="127">
                  <c:v>42566</c:v>
                </c:pt>
                <c:pt idx="128">
                  <c:v>42569</c:v>
                </c:pt>
                <c:pt idx="129">
                  <c:v>42570</c:v>
                </c:pt>
                <c:pt idx="130">
                  <c:v>42571</c:v>
                </c:pt>
                <c:pt idx="131">
                  <c:v>42572</c:v>
                </c:pt>
                <c:pt idx="132">
                  <c:v>42573</c:v>
                </c:pt>
                <c:pt idx="133">
                  <c:v>42576</c:v>
                </c:pt>
                <c:pt idx="134">
                  <c:v>42577</c:v>
                </c:pt>
                <c:pt idx="135">
                  <c:v>42578</c:v>
                </c:pt>
                <c:pt idx="136">
                  <c:v>42579</c:v>
                </c:pt>
                <c:pt idx="137">
                  <c:v>42580</c:v>
                </c:pt>
                <c:pt idx="138">
                  <c:v>42583</c:v>
                </c:pt>
                <c:pt idx="139">
                  <c:v>42584</c:v>
                </c:pt>
                <c:pt idx="140">
                  <c:v>42585</c:v>
                </c:pt>
                <c:pt idx="141">
                  <c:v>42587</c:v>
                </c:pt>
                <c:pt idx="142">
                  <c:v>42590</c:v>
                </c:pt>
                <c:pt idx="143">
                  <c:v>42591</c:v>
                </c:pt>
                <c:pt idx="144">
                  <c:v>42592</c:v>
                </c:pt>
                <c:pt idx="145">
                  <c:v>42593</c:v>
                </c:pt>
                <c:pt idx="146">
                  <c:v>42594</c:v>
                </c:pt>
                <c:pt idx="147">
                  <c:v>42597</c:v>
                </c:pt>
                <c:pt idx="148">
                  <c:v>42598</c:v>
                </c:pt>
                <c:pt idx="149">
                  <c:v>42599</c:v>
                </c:pt>
                <c:pt idx="150">
                  <c:v>42600</c:v>
                </c:pt>
              </c:numCache>
            </c:numRef>
          </c:cat>
          <c:val>
            <c:numRef>
              <c:f>Sheet1!$B$2:$B$152</c:f>
              <c:numCache>
                <c:formatCode>_(* #,##0_);_(* \(#,##0\);_(* "-"??_);_(@_)</c:formatCode>
                <c:ptCount val="151"/>
                <c:pt idx="0">
                  <c:v>22552.880000000001</c:v>
                </c:pt>
                <c:pt idx="1">
                  <c:v>22564.21</c:v>
                </c:pt>
                <c:pt idx="2">
                  <c:v>22564</c:v>
                </c:pt>
                <c:pt idx="3">
                  <c:v>22577</c:v>
                </c:pt>
                <c:pt idx="4">
                  <c:v>22566</c:v>
                </c:pt>
                <c:pt idx="5">
                  <c:v>22566</c:v>
                </c:pt>
                <c:pt idx="6">
                  <c:v>22570</c:v>
                </c:pt>
                <c:pt idx="7">
                  <c:v>22566</c:v>
                </c:pt>
                <c:pt idx="8">
                  <c:v>22564</c:v>
                </c:pt>
                <c:pt idx="9">
                  <c:v>22575</c:v>
                </c:pt>
                <c:pt idx="10">
                  <c:v>22570</c:v>
                </c:pt>
                <c:pt idx="11">
                  <c:v>22563</c:v>
                </c:pt>
                <c:pt idx="12">
                  <c:v>22558</c:v>
                </c:pt>
                <c:pt idx="13">
                  <c:v>22567</c:v>
                </c:pt>
                <c:pt idx="14">
                  <c:v>22567</c:v>
                </c:pt>
                <c:pt idx="15">
                  <c:v>22567</c:v>
                </c:pt>
                <c:pt idx="16">
                  <c:v>22555</c:v>
                </c:pt>
                <c:pt idx="17">
                  <c:v>22549.79</c:v>
                </c:pt>
                <c:pt idx="18">
                  <c:v>22542.58</c:v>
                </c:pt>
                <c:pt idx="19">
                  <c:v>22537.43</c:v>
                </c:pt>
                <c:pt idx="20">
                  <c:v>22549</c:v>
                </c:pt>
                <c:pt idx="21">
                  <c:v>22550.82</c:v>
                </c:pt>
                <c:pt idx="22">
                  <c:v>22554</c:v>
                </c:pt>
                <c:pt idx="23">
                  <c:v>22532</c:v>
                </c:pt>
                <c:pt idx="24">
                  <c:v>22517</c:v>
                </c:pt>
                <c:pt idx="25">
                  <c:v>22529</c:v>
                </c:pt>
                <c:pt idx="26">
                  <c:v>22541</c:v>
                </c:pt>
                <c:pt idx="27">
                  <c:v>22552</c:v>
                </c:pt>
                <c:pt idx="28">
                  <c:v>22558</c:v>
                </c:pt>
                <c:pt idx="29">
                  <c:v>22551</c:v>
                </c:pt>
                <c:pt idx="30">
                  <c:v>22556</c:v>
                </c:pt>
                <c:pt idx="31">
                  <c:v>22558</c:v>
                </c:pt>
                <c:pt idx="32">
                  <c:v>22560</c:v>
                </c:pt>
                <c:pt idx="33">
                  <c:v>22556</c:v>
                </c:pt>
                <c:pt idx="34">
                  <c:v>22571</c:v>
                </c:pt>
                <c:pt idx="35">
                  <c:v>22564</c:v>
                </c:pt>
                <c:pt idx="36">
                  <c:v>22562</c:v>
                </c:pt>
                <c:pt idx="37">
                  <c:v>22561</c:v>
                </c:pt>
                <c:pt idx="38">
                  <c:v>22546</c:v>
                </c:pt>
                <c:pt idx="39">
                  <c:v>22529</c:v>
                </c:pt>
                <c:pt idx="40">
                  <c:v>22534</c:v>
                </c:pt>
                <c:pt idx="41">
                  <c:v>22533</c:v>
                </c:pt>
                <c:pt idx="42">
                  <c:v>22541</c:v>
                </c:pt>
                <c:pt idx="43">
                  <c:v>22530</c:v>
                </c:pt>
                <c:pt idx="44">
                  <c:v>22515</c:v>
                </c:pt>
                <c:pt idx="45">
                  <c:v>22528</c:v>
                </c:pt>
                <c:pt idx="46">
                  <c:v>22534</c:v>
                </c:pt>
                <c:pt idx="47">
                  <c:v>22519</c:v>
                </c:pt>
                <c:pt idx="48">
                  <c:v>22493</c:v>
                </c:pt>
                <c:pt idx="49">
                  <c:v>22503</c:v>
                </c:pt>
                <c:pt idx="50">
                  <c:v>22509</c:v>
                </c:pt>
                <c:pt idx="51">
                  <c:v>22517</c:v>
                </c:pt>
                <c:pt idx="52">
                  <c:v>22538</c:v>
                </c:pt>
                <c:pt idx="53">
                  <c:v>22535</c:v>
                </c:pt>
                <c:pt idx="54">
                  <c:v>22548</c:v>
                </c:pt>
                <c:pt idx="55">
                  <c:v>22546</c:v>
                </c:pt>
                <c:pt idx="56">
                  <c:v>22513</c:v>
                </c:pt>
                <c:pt idx="57">
                  <c:v>22506</c:v>
                </c:pt>
                <c:pt idx="58">
                  <c:v>22508</c:v>
                </c:pt>
                <c:pt idx="59">
                  <c:v>22509</c:v>
                </c:pt>
                <c:pt idx="60">
                  <c:v>22513</c:v>
                </c:pt>
                <c:pt idx="61">
                  <c:v>22508</c:v>
                </c:pt>
                <c:pt idx="62">
                  <c:v>22501</c:v>
                </c:pt>
                <c:pt idx="63">
                  <c:v>22497</c:v>
                </c:pt>
                <c:pt idx="64">
                  <c:v>22489</c:v>
                </c:pt>
                <c:pt idx="65">
                  <c:v>22493</c:v>
                </c:pt>
                <c:pt idx="66">
                  <c:v>22507</c:v>
                </c:pt>
                <c:pt idx="67">
                  <c:v>22518</c:v>
                </c:pt>
                <c:pt idx="68">
                  <c:v>22511</c:v>
                </c:pt>
                <c:pt idx="69">
                  <c:v>22493</c:v>
                </c:pt>
                <c:pt idx="70">
                  <c:v>22503</c:v>
                </c:pt>
                <c:pt idx="71">
                  <c:v>22507</c:v>
                </c:pt>
                <c:pt idx="72">
                  <c:v>22526</c:v>
                </c:pt>
                <c:pt idx="73">
                  <c:v>22531</c:v>
                </c:pt>
                <c:pt idx="74">
                  <c:v>22529</c:v>
                </c:pt>
                <c:pt idx="75">
                  <c:v>22528</c:v>
                </c:pt>
                <c:pt idx="76">
                  <c:v>22497</c:v>
                </c:pt>
                <c:pt idx="77">
                  <c:v>22483</c:v>
                </c:pt>
                <c:pt idx="78">
                  <c:v>22501</c:v>
                </c:pt>
                <c:pt idx="79">
                  <c:v>22513</c:v>
                </c:pt>
                <c:pt idx="80">
                  <c:v>22514</c:v>
                </c:pt>
                <c:pt idx="81">
                  <c:v>22530</c:v>
                </c:pt>
                <c:pt idx="82">
                  <c:v>22545</c:v>
                </c:pt>
                <c:pt idx="83">
                  <c:v>22526</c:v>
                </c:pt>
                <c:pt idx="84">
                  <c:v>22533</c:v>
                </c:pt>
                <c:pt idx="85">
                  <c:v>22546</c:v>
                </c:pt>
                <c:pt idx="86">
                  <c:v>22549</c:v>
                </c:pt>
                <c:pt idx="87">
                  <c:v>22547</c:v>
                </c:pt>
                <c:pt idx="88">
                  <c:v>22568</c:v>
                </c:pt>
                <c:pt idx="89">
                  <c:v>22576</c:v>
                </c:pt>
                <c:pt idx="90">
                  <c:v>22570</c:v>
                </c:pt>
                <c:pt idx="91">
                  <c:v>22567</c:v>
                </c:pt>
                <c:pt idx="92">
                  <c:v>22579</c:v>
                </c:pt>
                <c:pt idx="93">
                  <c:v>22582</c:v>
                </c:pt>
                <c:pt idx="94">
                  <c:v>22572</c:v>
                </c:pt>
                <c:pt idx="95">
                  <c:v>22585</c:v>
                </c:pt>
                <c:pt idx="96">
                  <c:v>22597</c:v>
                </c:pt>
                <c:pt idx="97">
                  <c:v>22604</c:v>
                </c:pt>
                <c:pt idx="98">
                  <c:v>22597</c:v>
                </c:pt>
                <c:pt idx="99">
                  <c:v>22571</c:v>
                </c:pt>
                <c:pt idx="100">
                  <c:v>22571</c:v>
                </c:pt>
                <c:pt idx="101">
                  <c:v>22532</c:v>
                </c:pt>
                <c:pt idx="102">
                  <c:v>22525</c:v>
                </c:pt>
                <c:pt idx="103">
                  <c:v>22530</c:v>
                </c:pt>
                <c:pt idx="104">
                  <c:v>22541</c:v>
                </c:pt>
                <c:pt idx="105">
                  <c:v>22544</c:v>
                </c:pt>
                <c:pt idx="106">
                  <c:v>22534</c:v>
                </c:pt>
                <c:pt idx="107">
                  <c:v>22518</c:v>
                </c:pt>
                <c:pt idx="108">
                  <c:v>22519</c:v>
                </c:pt>
                <c:pt idx="109">
                  <c:v>22503</c:v>
                </c:pt>
                <c:pt idx="110">
                  <c:v>22503</c:v>
                </c:pt>
                <c:pt idx="111">
                  <c:v>22502</c:v>
                </c:pt>
                <c:pt idx="112">
                  <c:v>22500</c:v>
                </c:pt>
                <c:pt idx="113">
                  <c:v>22543</c:v>
                </c:pt>
                <c:pt idx="114">
                  <c:v>22545</c:v>
                </c:pt>
                <c:pt idx="115">
                  <c:v>22545</c:v>
                </c:pt>
                <c:pt idx="116">
                  <c:v>22529</c:v>
                </c:pt>
                <c:pt idx="117">
                  <c:v>22521</c:v>
                </c:pt>
                <c:pt idx="118">
                  <c:v>22514</c:v>
                </c:pt>
                <c:pt idx="119">
                  <c:v>22514</c:v>
                </c:pt>
                <c:pt idx="120">
                  <c:v>22522</c:v>
                </c:pt>
                <c:pt idx="121">
                  <c:v>22525</c:v>
                </c:pt>
                <c:pt idx="122">
                  <c:v>22518</c:v>
                </c:pt>
                <c:pt idx="123">
                  <c:v>22511</c:v>
                </c:pt>
                <c:pt idx="124">
                  <c:v>22525</c:v>
                </c:pt>
                <c:pt idx="125">
                  <c:v>22535</c:v>
                </c:pt>
                <c:pt idx="126">
                  <c:v>22531</c:v>
                </c:pt>
                <c:pt idx="127">
                  <c:v>22520</c:v>
                </c:pt>
                <c:pt idx="128">
                  <c:v>22529</c:v>
                </c:pt>
                <c:pt idx="129">
                  <c:v>22539</c:v>
                </c:pt>
                <c:pt idx="130">
                  <c:v>22545</c:v>
                </c:pt>
                <c:pt idx="131">
                  <c:v>22552</c:v>
                </c:pt>
                <c:pt idx="132">
                  <c:v>22537</c:v>
                </c:pt>
                <c:pt idx="133">
                  <c:v>22545</c:v>
                </c:pt>
                <c:pt idx="134">
                  <c:v>22547</c:v>
                </c:pt>
                <c:pt idx="135">
                  <c:v>22534</c:v>
                </c:pt>
                <c:pt idx="136">
                  <c:v>22531</c:v>
                </c:pt>
                <c:pt idx="137">
                  <c:v>22518</c:v>
                </c:pt>
                <c:pt idx="138">
                  <c:v>22509</c:v>
                </c:pt>
                <c:pt idx="139">
                  <c:v>22500</c:v>
                </c:pt>
                <c:pt idx="140">
                  <c:v>22485</c:v>
                </c:pt>
                <c:pt idx="141">
                  <c:v>22483</c:v>
                </c:pt>
                <c:pt idx="142">
                  <c:v>22488</c:v>
                </c:pt>
                <c:pt idx="143">
                  <c:v>22495</c:v>
                </c:pt>
                <c:pt idx="144">
                  <c:v>22493</c:v>
                </c:pt>
                <c:pt idx="145">
                  <c:v>22488</c:v>
                </c:pt>
                <c:pt idx="146">
                  <c:v>22504</c:v>
                </c:pt>
                <c:pt idx="147">
                  <c:v>22502</c:v>
                </c:pt>
                <c:pt idx="148">
                  <c:v>22501</c:v>
                </c:pt>
                <c:pt idx="149">
                  <c:v>22497</c:v>
                </c:pt>
                <c:pt idx="150">
                  <c:v>22513</c:v>
                </c:pt>
              </c:numCache>
            </c:numRef>
          </c:val>
          <c:smooth val="0"/>
        </c:ser>
        <c:ser>
          <c:idx val="1"/>
          <c:order val="1"/>
          <c:tx>
            <c:strRef>
              <c:f>Sheet1!$C$1</c:f>
              <c:strCache>
                <c:ptCount val="1"/>
                <c:pt idx="0">
                  <c:v>Tỷ giá NHTM</c:v>
                </c:pt>
              </c:strCache>
            </c:strRef>
          </c:tx>
          <c:marker>
            <c:symbol val="none"/>
          </c:marker>
          <c:cat>
            <c:numRef>
              <c:f>Sheet1!$A$2:$A$152</c:f>
              <c:numCache>
                <c:formatCode>[$-1010000]d/m/yy;@</c:formatCode>
                <c:ptCount val="1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pt idx="51">
                  <c:v>42452</c:v>
                </c:pt>
                <c:pt idx="52">
                  <c:v>42453</c:v>
                </c:pt>
                <c:pt idx="53">
                  <c:v>42454</c:v>
                </c:pt>
                <c:pt idx="54">
                  <c:v>42457</c:v>
                </c:pt>
                <c:pt idx="55">
                  <c:v>42458</c:v>
                </c:pt>
                <c:pt idx="56">
                  <c:v>42460</c:v>
                </c:pt>
                <c:pt idx="57">
                  <c:v>42461</c:v>
                </c:pt>
                <c:pt idx="58">
                  <c:v>42464</c:v>
                </c:pt>
                <c:pt idx="59">
                  <c:v>42465</c:v>
                </c:pt>
                <c:pt idx="60">
                  <c:v>42466</c:v>
                </c:pt>
                <c:pt idx="61">
                  <c:v>42467</c:v>
                </c:pt>
                <c:pt idx="62">
                  <c:v>42468</c:v>
                </c:pt>
                <c:pt idx="63">
                  <c:v>42471</c:v>
                </c:pt>
                <c:pt idx="64">
                  <c:v>42472</c:v>
                </c:pt>
                <c:pt idx="65">
                  <c:v>42473</c:v>
                </c:pt>
                <c:pt idx="66">
                  <c:v>42474</c:v>
                </c:pt>
                <c:pt idx="67">
                  <c:v>42475</c:v>
                </c:pt>
                <c:pt idx="68">
                  <c:v>42479</c:v>
                </c:pt>
                <c:pt idx="69">
                  <c:v>42480</c:v>
                </c:pt>
                <c:pt idx="70">
                  <c:v>42481</c:v>
                </c:pt>
                <c:pt idx="71">
                  <c:v>42482</c:v>
                </c:pt>
                <c:pt idx="72">
                  <c:v>42485</c:v>
                </c:pt>
                <c:pt idx="73">
                  <c:v>42486</c:v>
                </c:pt>
                <c:pt idx="74">
                  <c:v>42487</c:v>
                </c:pt>
                <c:pt idx="75">
                  <c:v>42488</c:v>
                </c:pt>
                <c:pt idx="76">
                  <c:v>42489</c:v>
                </c:pt>
                <c:pt idx="77">
                  <c:v>42494</c:v>
                </c:pt>
                <c:pt idx="78">
                  <c:v>42495</c:v>
                </c:pt>
                <c:pt idx="79">
                  <c:v>42496</c:v>
                </c:pt>
                <c:pt idx="80">
                  <c:v>42499</c:v>
                </c:pt>
                <c:pt idx="81">
                  <c:v>42500</c:v>
                </c:pt>
                <c:pt idx="82">
                  <c:v>42501</c:v>
                </c:pt>
                <c:pt idx="83">
                  <c:v>42502</c:v>
                </c:pt>
                <c:pt idx="84">
                  <c:v>42503</c:v>
                </c:pt>
                <c:pt idx="85">
                  <c:v>42506</c:v>
                </c:pt>
                <c:pt idx="86">
                  <c:v>42507</c:v>
                </c:pt>
                <c:pt idx="87">
                  <c:v>42508</c:v>
                </c:pt>
                <c:pt idx="88">
                  <c:v>42509</c:v>
                </c:pt>
                <c:pt idx="89">
                  <c:v>42510</c:v>
                </c:pt>
                <c:pt idx="90">
                  <c:v>42513</c:v>
                </c:pt>
                <c:pt idx="91">
                  <c:v>42514</c:v>
                </c:pt>
                <c:pt idx="92">
                  <c:v>42515</c:v>
                </c:pt>
                <c:pt idx="93">
                  <c:v>42516</c:v>
                </c:pt>
                <c:pt idx="94">
                  <c:v>42517</c:v>
                </c:pt>
                <c:pt idx="95">
                  <c:v>42520</c:v>
                </c:pt>
                <c:pt idx="96">
                  <c:v>42521</c:v>
                </c:pt>
                <c:pt idx="97">
                  <c:v>42522</c:v>
                </c:pt>
                <c:pt idx="98">
                  <c:v>42523</c:v>
                </c:pt>
                <c:pt idx="99">
                  <c:v>42527</c:v>
                </c:pt>
                <c:pt idx="100">
                  <c:v>42528</c:v>
                </c:pt>
                <c:pt idx="101">
                  <c:v>42529</c:v>
                </c:pt>
                <c:pt idx="102">
                  <c:v>42530</c:v>
                </c:pt>
                <c:pt idx="103">
                  <c:v>42531</c:v>
                </c:pt>
                <c:pt idx="104">
                  <c:v>42534</c:v>
                </c:pt>
                <c:pt idx="105">
                  <c:v>42536</c:v>
                </c:pt>
                <c:pt idx="106">
                  <c:v>42537</c:v>
                </c:pt>
                <c:pt idx="107">
                  <c:v>42538</c:v>
                </c:pt>
                <c:pt idx="108">
                  <c:v>42541</c:v>
                </c:pt>
                <c:pt idx="109">
                  <c:v>42542</c:v>
                </c:pt>
                <c:pt idx="110">
                  <c:v>42543</c:v>
                </c:pt>
                <c:pt idx="111">
                  <c:v>42544</c:v>
                </c:pt>
                <c:pt idx="112">
                  <c:v>42545</c:v>
                </c:pt>
                <c:pt idx="113">
                  <c:v>42548</c:v>
                </c:pt>
                <c:pt idx="114">
                  <c:v>42549</c:v>
                </c:pt>
                <c:pt idx="115">
                  <c:v>42550</c:v>
                </c:pt>
                <c:pt idx="116">
                  <c:v>42551</c:v>
                </c:pt>
                <c:pt idx="117">
                  <c:v>42552</c:v>
                </c:pt>
                <c:pt idx="118">
                  <c:v>42555</c:v>
                </c:pt>
                <c:pt idx="119">
                  <c:v>42556</c:v>
                </c:pt>
                <c:pt idx="120">
                  <c:v>42557</c:v>
                </c:pt>
                <c:pt idx="121">
                  <c:v>42558</c:v>
                </c:pt>
                <c:pt idx="122">
                  <c:v>42559</c:v>
                </c:pt>
                <c:pt idx="123">
                  <c:v>42562</c:v>
                </c:pt>
                <c:pt idx="124">
                  <c:v>42563</c:v>
                </c:pt>
                <c:pt idx="125">
                  <c:v>42564</c:v>
                </c:pt>
                <c:pt idx="126">
                  <c:v>42565</c:v>
                </c:pt>
                <c:pt idx="127">
                  <c:v>42566</c:v>
                </c:pt>
                <c:pt idx="128">
                  <c:v>42569</c:v>
                </c:pt>
                <c:pt idx="129">
                  <c:v>42570</c:v>
                </c:pt>
                <c:pt idx="130">
                  <c:v>42571</c:v>
                </c:pt>
                <c:pt idx="131">
                  <c:v>42572</c:v>
                </c:pt>
                <c:pt idx="132">
                  <c:v>42573</c:v>
                </c:pt>
                <c:pt idx="133">
                  <c:v>42576</c:v>
                </c:pt>
                <c:pt idx="134">
                  <c:v>42577</c:v>
                </c:pt>
                <c:pt idx="135">
                  <c:v>42578</c:v>
                </c:pt>
                <c:pt idx="136">
                  <c:v>42579</c:v>
                </c:pt>
                <c:pt idx="137">
                  <c:v>42580</c:v>
                </c:pt>
                <c:pt idx="138">
                  <c:v>42583</c:v>
                </c:pt>
                <c:pt idx="139">
                  <c:v>42584</c:v>
                </c:pt>
                <c:pt idx="140">
                  <c:v>42585</c:v>
                </c:pt>
                <c:pt idx="141">
                  <c:v>42587</c:v>
                </c:pt>
                <c:pt idx="142">
                  <c:v>42590</c:v>
                </c:pt>
                <c:pt idx="143">
                  <c:v>42591</c:v>
                </c:pt>
                <c:pt idx="144">
                  <c:v>42592</c:v>
                </c:pt>
                <c:pt idx="145">
                  <c:v>42593</c:v>
                </c:pt>
                <c:pt idx="146">
                  <c:v>42594</c:v>
                </c:pt>
                <c:pt idx="147">
                  <c:v>42597</c:v>
                </c:pt>
                <c:pt idx="148">
                  <c:v>42598</c:v>
                </c:pt>
                <c:pt idx="149">
                  <c:v>42599</c:v>
                </c:pt>
                <c:pt idx="150">
                  <c:v>42600</c:v>
                </c:pt>
              </c:numCache>
            </c:numRef>
          </c:cat>
          <c:val>
            <c:numRef>
              <c:f>Sheet1!$C$2:$C$152</c:f>
              <c:numCache>
                <c:formatCode>_(* #,##0_);_(* \(#,##0\);_(* "-"??_);_(@_)</c:formatCode>
                <c:ptCount val="151"/>
                <c:pt idx="0">
                  <c:v>22510</c:v>
                </c:pt>
                <c:pt idx="1">
                  <c:v>22505</c:v>
                </c:pt>
                <c:pt idx="2">
                  <c:v>22475</c:v>
                </c:pt>
                <c:pt idx="3">
                  <c:v>22500</c:v>
                </c:pt>
                <c:pt idx="4">
                  <c:v>22478</c:v>
                </c:pt>
                <c:pt idx="5">
                  <c:v>22444</c:v>
                </c:pt>
                <c:pt idx="6">
                  <c:v>22422</c:v>
                </c:pt>
                <c:pt idx="7">
                  <c:v>22417</c:v>
                </c:pt>
                <c:pt idx="8">
                  <c:v>22440</c:v>
                </c:pt>
                <c:pt idx="9">
                  <c:v>22427</c:v>
                </c:pt>
                <c:pt idx="10">
                  <c:v>22409</c:v>
                </c:pt>
                <c:pt idx="11">
                  <c:v>22413</c:v>
                </c:pt>
                <c:pt idx="12">
                  <c:v>22430</c:v>
                </c:pt>
                <c:pt idx="13">
                  <c:v>22410</c:v>
                </c:pt>
                <c:pt idx="14">
                  <c:v>22395</c:v>
                </c:pt>
                <c:pt idx="15">
                  <c:v>22376</c:v>
                </c:pt>
                <c:pt idx="16">
                  <c:v>22343</c:v>
                </c:pt>
                <c:pt idx="17">
                  <c:v>22297</c:v>
                </c:pt>
                <c:pt idx="18">
                  <c:v>22260</c:v>
                </c:pt>
                <c:pt idx="19">
                  <c:v>22205</c:v>
                </c:pt>
                <c:pt idx="20">
                  <c:v>22278</c:v>
                </c:pt>
                <c:pt idx="21">
                  <c:v>22285</c:v>
                </c:pt>
                <c:pt idx="22">
                  <c:v>22290</c:v>
                </c:pt>
                <c:pt idx="23">
                  <c:v>22290</c:v>
                </c:pt>
                <c:pt idx="24">
                  <c:v>22290</c:v>
                </c:pt>
                <c:pt idx="25">
                  <c:v>22330</c:v>
                </c:pt>
                <c:pt idx="26">
                  <c:v>22380</c:v>
                </c:pt>
                <c:pt idx="27">
                  <c:v>22375</c:v>
                </c:pt>
                <c:pt idx="28">
                  <c:v>22363</c:v>
                </c:pt>
                <c:pt idx="29">
                  <c:v>22360</c:v>
                </c:pt>
                <c:pt idx="30">
                  <c:v>22373</c:v>
                </c:pt>
                <c:pt idx="31">
                  <c:v>22348</c:v>
                </c:pt>
                <c:pt idx="32">
                  <c:v>22310</c:v>
                </c:pt>
                <c:pt idx="33">
                  <c:v>22315</c:v>
                </c:pt>
                <c:pt idx="34">
                  <c:v>22299</c:v>
                </c:pt>
                <c:pt idx="35">
                  <c:v>22299</c:v>
                </c:pt>
                <c:pt idx="36">
                  <c:v>22302</c:v>
                </c:pt>
                <c:pt idx="37">
                  <c:v>22302</c:v>
                </c:pt>
                <c:pt idx="38">
                  <c:v>22287</c:v>
                </c:pt>
                <c:pt idx="39">
                  <c:v>22293</c:v>
                </c:pt>
                <c:pt idx="40">
                  <c:v>22298</c:v>
                </c:pt>
                <c:pt idx="41">
                  <c:v>22293</c:v>
                </c:pt>
                <c:pt idx="42">
                  <c:v>22299</c:v>
                </c:pt>
                <c:pt idx="43">
                  <c:v>22300</c:v>
                </c:pt>
                <c:pt idx="44">
                  <c:v>22294</c:v>
                </c:pt>
                <c:pt idx="45">
                  <c:v>22300</c:v>
                </c:pt>
                <c:pt idx="46">
                  <c:v>22294</c:v>
                </c:pt>
                <c:pt idx="47">
                  <c:v>22291</c:v>
                </c:pt>
                <c:pt idx="48">
                  <c:v>22291</c:v>
                </c:pt>
                <c:pt idx="49">
                  <c:v>22295</c:v>
                </c:pt>
                <c:pt idx="50">
                  <c:v>22348</c:v>
                </c:pt>
                <c:pt idx="51">
                  <c:v>22247</c:v>
                </c:pt>
                <c:pt idx="52">
                  <c:v>22222</c:v>
                </c:pt>
                <c:pt idx="53">
                  <c:v>22305</c:v>
                </c:pt>
                <c:pt idx="54">
                  <c:v>22312</c:v>
                </c:pt>
                <c:pt idx="55">
                  <c:v>22308</c:v>
                </c:pt>
                <c:pt idx="56">
                  <c:v>22297</c:v>
                </c:pt>
                <c:pt idx="57">
                  <c:v>22292</c:v>
                </c:pt>
                <c:pt idx="58">
                  <c:v>22296</c:v>
                </c:pt>
                <c:pt idx="59">
                  <c:v>22294</c:v>
                </c:pt>
                <c:pt idx="60">
                  <c:v>22293</c:v>
                </c:pt>
                <c:pt idx="61">
                  <c:v>22288</c:v>
                </c:pt>
                <c:pt idx="62">
                  <c:v>22298</c:v>
                </c:pt>
                <c:pt idx="63">
                  <c:v>22289</c:v>
                </c:pt>
                <c:pt idx="64">
                  <c:v>22291</c:v>
                </c:pt>
                <c:pt idx="65">
                  <c:v>22307</c:v>
                </c:pt>
                <c:pt idx="66">
                  <c:v>22325</c:v>
                </c:pt>
                <c:pt idx="67">
                  <c:v>22303</c:v>
                </c:pt>
                <c:pt idx="68">
                  <c:v>22294</c:v>
                </c:pt>
                <c:pt idx="69">
                  <c:v>22291</c:v>
                </c:pt>
                <c:pt idx="70">
                  <c:v>22288</c:v>
                </c:pt>
                <c:pt idx="71">
                  <c:v>22289</c:v>
                </c:pt>
                <c:pt idx="72">
                  <c:v>22300</c:v>
                </c:pt>
                <c:pt idx="73">
                  <c:v>22298</c:v>
                </c:pt>
                <c:pt idx="74">
                  <c:v>22297</c:v>
                </c:pt>
                <c:pt idx="75">
                  <c:v>22293</c:v>
                </c:pt>
                <c:pt idx="76">
                  <c:v>22287</c:v>
                </c:pt>
                <c:pt idx="77">
                  <c:v>22294</c:v>
                </c:pt>
                <c:pt idx="78">
                  <c:v>22289</c:v>
                </c:pt>
                <c:pt idx="79">
                  <c:v>22291</c:v>
                </c:pt>
                <c:pt idx="80">
                  <c:v>22296</c:v>
                </c:pt>
                <c:pt idx="81">
                  <c:v>22297</c:v>
                </c:pt>
                <c:pt idx="82">
                  <c:v>22294</c:v>
                </c:pt>
                <c:pt idx="83">
                  <c:v>22313</c:v>
                </c:pt>
                <c:pt idx="84">
                  <c:v>22309</c:v>
                </c:pt>
                <c:pt idx="85">
                  <c:v>22300</c:v>
                </c:pt>
                <c:pt idx="86">
                  <c:v>22305</c:v>
                </c:pt>
                <c:pt idx="87">
                  <c:v>22308</c:v>
                </c:pt>
                <c:pt idx="88">
                  <c:v>22314</c:v>
                </c:pt>
                <c:pt idx="89">
                  <c:v>22318</c:v>
                </c:pt>
                <c:pt idx="90">
                  <c:v>22318</c:v>
                </c:pt>
                <c:pt idx="91">
                  <c:v>22322</c:v>
                </c:pt>
                <c:pt idx="92">
                  <c:v>22322</c:v>
                </c:pt>
                <c:pt idx="93">
                  <c:v>22379</c:v>
                </c:pt>
                <c:pt idx="94">
                  <c:v>22391</c:v>
                </c:pt>
                <c:pt idx="95">
                  <c:v>22321</c:v>
                </c:pt>
                <c:pt idx="96">
                  <c:v>22307</c:v>
                </c:pt>
                <c:pt idx="97">
                  <c:v>22455</c:v>
                </c:pt>
                <c:pt idx="98">
                  <c:v>22340</c:v>
                </c:pt>
                <c:pt idx="99">
                  <c:v>22378</c:v>
                </c:pt>
                <c:pt idx="100">
                  <c:v>22334</c:v>
                </c:pt>
                <c:pt idx="101">
                  <c:v>22350</c:v>
                </c:pt>
                <c:pt idx="102">
                  <c:v>22335</c:v>
                </c:pt>
                <c:pt idx="103">
                  <c:v>22337</c:v>
                </c:pt>
                <c:pt idx="104">
                  <c:v>22315</c:v>
                </c:pt>
                <c:pt idx="105">
                  <c:v>22305</c:v>
                </c:pt>
                <c:pt idx="106">
                  <c:v>22300</c:v>
                </c:pt>
                <c:pt idx="107">
                  <c:v>22299</c:v>
                </c:pt>
                <c:pt idx="108">
                  <c:v>22301</c:v>
                </c:pt>
                <c:pt idx="109">
                  <c:v>22300</c:v>
                </c:pt>
                <c:pt idx="110">
                  <c:v>22305</c:v>
                </c:pt>
                <c:pt idx="111">
                  <c:v>22309</c:v>
                </c:pt>
                <c:pt idx="112">
                  <c:v>22336</c:v>
                </c:pt>
                <c:pt idx="113">
                  <c:v>22327</c:v>
                </c:pt>
                <c:pt idx="114">
                  <c:v>22311</c:v>
                </c:pt>
                <c:pt idx="115">
                  <c:v>22313</c:v>
                </c:pt>
                <c:pt idx="116">
                  <c:v>22306</c:v>
                </c:pt>
                <c:pt idx="117">
                  <c:v>22310</c:v>
                </c:pt>
                <c:pt idx="118">
                  <c:v>22305</c:v>
                </c:pt>
                <c:pt idx="119">
                  <c:v>22308</c:v>
                </c:pt>
                <c:pt idx="120">
                  <c:v>22312</c:v>
                </c:pt>
                <c:pt idx="121">
                  <c:v>22303</c:v>
                </c:pt>
                <c:pt idx="122">
                  <c:v>22301</c:v>
                </c:pt>
                <c:pt idx="123">
                  <c:v>22300</c:v>
                </c:pt>
                <c:pt idx="124">
                  <c:v>22302</c:v>
                </c:pt>
                <c:pt idx="125">
                  <c:v>22303</c:v>
                </c:pt>
                <c:pt idx="126">
                  <c:v>22305</c:v>
                </c:pt>
                <c:pt idx="127">
                  <c:v>22300</c:v>
                </c:pt>
                <c:pt idx="128">
                  <c:v>22301</c:v>
                </c:pt>
                <c:pt idx="129">
                  <c:v>22305</c:v>
                </c:pt>
                <c:pt idx="130">
                  <c:v>22304</c:v>
                </c:pt>
                <c:pt idx="131">
                  <c:v>22305</c:v>
                </c:pt>
                <c:pt idx="132">
                  <c:v>22304</c:v>
                </c:pt>
                <c:pt idx="133">
                  <c:v>22303</c:v>
                </c:pt>
                <c:pt idx="134">
                  <c:v>22301</c:v>
                </c:pt>
                <c:pt idx="135">
                  <c:v>22301</c:v>
                </c:pt>
                <c:pt idx="136">
                  <c:v>22299</c:v>
                </c:pt>
                <c:pt idx="137">
                  <c:v>22300</c:v>
                </c:pt>
                <c:pt idx="138">
                  <c:v>22299</c:v>
                </c:pt>
                <c:pt idx="139">
                  <c:v>22305</c:v>
                </c:pt>
                <c:pt idx="140">
                  <c:v>22305</c:v>
                </c:pt>
                <c:pt idx="141">
                  <c:v>22301</c:v>
                </c:pt>
                <c:pt idx="142">
                  <c:v>22300</c:v>
                </c:pt>
                <c:pt idx="143">
                  <c:v>22299</c:v>
                </c:pt>
                <c:pt idx="144">
                  <c:v>22299</c:v>
                </c:pt>
                <c:pt idx="145">
                  <c:v>22299</c:v>
                </c:pt>
                <c:pt idx="146">
                  <c:v>22299</c:v>
                </c:pt>
                <c:pt idx="147">
                  <c:v>22301</c:v>
                </c:pt>
                <c:pt idx="148">
                  <c:v>22301</c:v>
                </c:pt>
                <c:pt idx="149">
                  <c:v>22302</c:v>
                </c:pt>
                <c:pt idx="150">
                  <c:v>22301</c:v>
                </c:pt>
              </c:numCache>
            </c:numRef>
          </c:val>
          <c:smooth val="0"/>
        </c:ser>
        <c:ser>
          <c:idx val="2"/>
          <c:order val="2"/>
          <c:tx>
            <c:strRef>
              <c:f>Sheet1!$D$1</c:f>
              <c:strCache>
                <c:ptCount val="1"/>
                <c:pt idx="0">
                  <c:v>Tỷ giá không chính thức</c:v>
                </c:pt>
              </c:strCache>
            </c:strRef>
          </c:tx>
          <c:spPr>
            <a:ln>
              <a:solidFill>
                <a:schemeClr val="accent1"/>
              </a:solidFill>
              <a:prstDash val="dash"/>
            </a:ln>
          </c:spPr>
          <c:marker>
            <c:symbol val="none"/>
          </c:marker>
          <c:cat>
            <c:numRef>
              <c:f>Sheet1!$A$2:$A$152</c:f>
              <c:numCache>
                <c:formatCode>[$-1010000]d/m/yy;@</c:formatCode>
                <c:ptCount val="1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pt idx="51">
                  <c:v>42452</c:v>
                </c:pt>
                <c:pt idx="52">
                  <c:v>42453</c:v>
                </c:pt>
                <c:pt idx="53">
                  <c:v>42454</c:v>
                </c:pt>
                <c:pt idx="54">
                  <c:v>42457</c:v>
                </c:pt>
                <c:pt idx="55">
                  <c:v>42458</c:v>
                </c:pt>
                <c:pt idx="56">
                  <c:v>42460</c:v>
                </c:pt>
                <c:pt idx="57">
                  <c:v>42461</c:v>
                </c:pt>
                <c:pt idx="58">
                  <c:v>42464</c:v>
                </c:pt>
                <c:pt idx="59">
                  <c:v>42465</c:v>
                </c:pt>
                <c:pt idx="60">
                  <c:v>42466</c:v>
                </c:pt>
                <c:pt idx="61">
                  <c:v>42467</c:v>
                </c:pt>
                <c:pt idx="62">
                  <c:v>42468</c:v>
                </c:pt>
                <c:pt idx="63">
                  <c:v>42471</c:v>
                </c:pt>
                <c:pt idx="64">
                  <c:v>42472</c:v>
                </c:pt>
                <c:pt idx="65">
                  <c:v>42473</c:v>
                </c:pt>
                <c:pt idx="66">
                  <c:v>42474</c:v>
                </c:pt>
                <c:pt idx="67">
                  <c:v>42475</c:v>
                </c:pt>
                <c:pt idx="68">
                  <c:v>42479</c:v>
                </c:pt>
                <c:pt idx="69">
                  <c:v>42480</c:v>
                </c:pt>
                <c:pt idx="70">
                  <c:v>42481</c:v>
                </c:pt>
                <c:pt idx="71">
                  <c:v>42482</c:v>
                </c:pt>
                <c:pt idx="72">
                  <c:v>42485</c:v>
                </c:pt>
                <c:pt idx="73">
                  <c:v>42486</c:v>
                </c:pt>
                <c:pt idx="74">
                  <c:v>42487</c:v>
                </c:pt>
                <c:pt idx="75">
                  <c:v>42488</c:v>
                </c:pt>
                <c:pt idx="76">
                  <c:v>42489</c:v>
                </c:pt>
                <c:pt idx="77">
                  <c:v>42494</c:v>
                </c:pt>
                <c:pt idx="78">
                  <c:v>42495</c:v>
                </c:pt>
                <c:pt idx="79">
                  <c:v>42496</c:v>
                </c:pt>
                <c:pt idx="80">
                  <c:v>42499</c:v>
                </c:pt>
                <c:pt idx="81">
                  <c:v>42500</c:v>
                </c:pt>
                <c:pt idx="82">
                  <c:v>42501</c:v>
                </c:pt>
                <c:pt idx="83">
                  <c:v>42502</c:v>
                </c:pt>
                <c:pt idx="84">
                  <c:v>42503</c:v>
                </c:pt>
                <c:pt idx="85">
                  <c:v>42506</c:v>
                </c:pt>
                <c:pt idx="86">
                  <c:v>42507</c:v>
                </c:pt>
                <c:pt idx="87">
                  <c:v>42508</c:v>
                </c:pt>
                <c:pt idx="88">
                  <c:v>42509</c:v>
                </c:pt>
                <c:pt idx="89">
                  <c:v>42510</c:v>
                </c:pt>
                <c:pt idx="90">
                  <c:v>42513</c:v>
                </c:pt>
                <c:pt idx="91">
                  <c:v>42514</c:v>
                </c:pt>
                <c:pt idx="92">
                  <c:v>42515</c:v>
                </c:pt>
                <c:pt idx="93">
                  <c:v>42516</c:v>
                </c:pt>
                <c:pt idx="94">
                  <c:v>42517</c:v>
                </c:pt>
                <c:pt idx="95">
                  <c:v>42520</c:v>
                </c:pt>
                <c:pt idx="96">
                  <c:v>42521</c:v>
                </c:pt>
                <c:pt idx="97">
                  <c:v>42522</c:v>
                </c:pt>
                <c:pt idx="98">
                  <c:v>42523</c:v>
                </c:pt>
                <c:pt idx="99">
                  <c:v>42527</c:v>
                </c:pt>
                <c:pt idx="100">
                  <c:v>42528</c:v>
                </c:pt>
                <c:pt idx="101">
                  <c:v>42529</c:v>
                </c:pt>
                <c:pt idx="102">
                  <c:v>42530</c:v>
                </c:pt>
                <c:pt idx="103">
                  <c:v>42531</c:v>
                </c:pt>
                <c:pt idx="104">
                  <c:v>42534</c:v>
                </c:pt>
                <c:pt idx="105">
                  <c:v>42536</c:v>
                </c:pt>
                <c:pt idx="106">
                  <c:v>42537</c:v>
                </c:pt>
                <c:pt idx="107">
                  <c:v>42538</c:v>
                </c:pt>
                <c:pt idx="108">
                  <c:v>42541</c:v>
                </c:pt>
                <c:pt idx="109">
                  <c:v>42542</c:v>
                </c:pt>
                <c:pt idx="110">
                  <c:v>42543</c:v>
                </c:pt>
                <c:pt idx="111">
                  <c:v>42544</c:v>
                </c:pt>
                <c:pt idx="112">
                  <c:v>42545</c:v>
                </c:pt>
                <c:pt idx="113">
                  <c:v>42548</c:v>
                </c:pt>
                <c:pt idx="114">
                  <c:v>42549</c:v>
                </c:pt>
                <c:pt idx="115">
                  <c:v>42550</c:v>
                </c:pt>
                <c:pt idx="116">
                  <c:v>42551</c:v>
                </c:pt>
                <c:pt idx="117">
                  <c:v>42552</c:v>
                </c:pt>
                <c:pt idx="118">
                  <c:v>42555</c:v>
                </c:pt>
                <c:pt idx="119">
                  <c:v>42556</c:v>
                </c:pt>
                <c:pt idx="120">
                  <c:v>42557</c:v>
                </c:pt>
                <c:pt idx="121">
                  <c:v>42558</c:v>
                </c:pt>
                <c:pt idx="122">
                  <c:v>42559</c:v>
                </c:pt>
                <c:pt idx="123">
                  <c:v>42562</c:v>
                </c:pt>
                <c:pt idx="124">
                  <c:v>42563</c:v>
                </c:pt>
                <c:pt idx="125">
                  <c:v>42564</c:v>
                </c:pt>
                <c:pt idx="126">
                  <c:v>42565</c:v>
                </c:pt>
                <c:pt idx="127">
                  <c:v>42566</c:v>
                </c:pt>
                <c:pt idx="128">
                  <c:v>42569</c:v>
                </c:pt>
                <c:pt idx="129">
                  <c:v>42570</c:v>
                </c:pt>
                <c:pt idx="130">
                  <c:v>42571</c:v>
                </c:pt>
                <c:pt idx="131">
                  <c:v>42572</c:v>
                </c:pt>
                <c:pt idx="132">
                  <c:v>42573</c:v>
                </c:pt>
                <c:pt idx="133">
                  <c:v>42576</c:v>
                </c:pt>
                <c:pt idx="134">
                  <c:v>42577</c:v>
                </c:pt>
                <c:pt idx="135">
                  <c:v>42578</c:v>
                </c:pt>
                <c:pt idx="136">
                  <c:v>42579</c:v>
                </c:pt>
                <c:pt idx="137">
                  <c:v>42580</c:v>
                </c:pt>
                <c:pt idx="138">
                  <c:v>42583</c:v>
                </c:pt>
                <c:pt idx="139">
                  <c:v>42584</c:v>
                </c:pt>
                <c:pt idx="140">
                  <c:v>42585</c:v>
                </c:pt>
                <c:pt idx="141">
                  <c:v>42587</c:v>
                </c:pt>
                <c:pt idx="142">
                  <c:v>42590</c:v>
                </c:pt>
                <c:pt idx="143">
                  <c:v>42591</c:v>
                </c:pt>
                <c:pt idx="144">
                  <c:v>42592</c:v>
                </c:pt>
                <c:pt idx="145">
                  <c:v>42593</c:v>
                </c:pt>
                <c:pt idx="146">
                  <c:v>42594</c:v>
                </c:pt>
                <c:pt idx="147">
                  <c:v>42597</c:v>
                </c:pt>
                <c:pt idx="148">
                  <c:v>42598</c:v>
                </c:pt>
                <c:pt idx="149">
                  <c:v>42599</c:v>
                </c:pt>
                <c:pt idx="150">
                  <c:v>42600</c:v>
                </c:pt>
              </c:numCache>
            </c:numRef>
          </c:cat>
          <c:val>
            <c:numRef>
              <c:f>Sheet1!$D$2:$D$152</c:f>
              <c:numCache>
                <c:formatCode>_(* #,##0_);_(* \(#,##0\);_(* "-"??_);_(@_)</c:formatCode>
                <c:ptCount val="151"/>
                <c:pt idx="0">
                  <c:v>22670</c:v>
                </c:pt>
                <c:pt idx="1">
                  <c:v>22640</c:v>
                </c:pt>
                <c:pt idx="2">
                  <c:v>22610</c:v>
                </c:pt>
                <c:pt idx="3">
                  <c:v>22590</c:v>
                </c:pt>
                <c:pt idx="4">
                  <c:v>22590</c:v>
                </c:pt>
                <c:pt idx="5">
                  <c:v>22590</c:v>
                </c:pt>
                <c:pt idx="6">
                  <c:v>22580</c:v>
                </c:pt>
                <c:pt idx="7">
                  <c:v>22590</c:v>
                </c:pt>
                <c:pt idx="8">
                  <c:v>22590</c:v>
                </c:pt>
                <c:pt idx="9">
                  <c:v>22570</c:v>
                </c:pt>
                <c:pt idx="10">
                  <c:v>22550</c:v>
                </c:pt>
                <c:pt idx="11">
                  <c:v>22540</c:v>
                </c:pt>
                <c:pt idx="12">
                  <c:v>22530</c:v>
                </c:pt>
                <c:pt idx="13">
                  <c:v>22510</c:v>
                </c:pt>
                <c:pt idx="14">
                  <c:v>22530</c:v>
                </c:pt>
                <c:pt idx="15">
                  <c:v>22540</c:v>
                </c:pt>
                <c:pt idx="16">
                  <c:v>22500</c:v>
                </c:pt>
                <c:pt idx="17">
                  <c:v>22400</c:v>
                </c:pt>
                <c:pt idx="18">
                  <c:v>22390</c:v>
                </c:pt>
                <c:pt idx="19">
                  <c:v>22390</c:v>
                </c:pt>
                <c:pt idx="20">
                  <c:v>22390</c:v>
                </c:pt>
                <c:pt idx="21">
                  <c:v>22340</c:v>
                </c:pt>
                <c:pt idx="22">
                  <c:v>22340</c:v>
                </c:pt>
                <c:pt idx="23">
                  <c:v>22420</c:v>
                </c:pt>
                <c:pt idx="24">
                  <c:v>22420</c:v>
                </c:pt>
                <c:pt idx="25">
                  <c:v>22360</c:v>
                </c:pt>
                <c:pt idx="26">
                  <c:v>22400</c:v>
                </c:pt>
                <c:pt idx="27">
                  <c:v>22440</c:v>
                </c:pt>
                <c:pt idx="28">
                  <c:v>22420</c:v>
                </c:pt>
                <c:pt idx="29">
                  <c:v>22380</c:v>
                </c:pt>
                <c:pt idx="30">
                  <c:v>22380</c:v>
                </c:pt>
                <c:pt idx="31">
                  <c:v>22380</c:v>
                </c:pt>
                <c:pt idx="32">
                  <c:v>22380</c:v>
                </c:pt>
                <c:pt idx="33">
                  <c:v>22330</c:v>
                </c:pt>
                <c:pt idx="34">
                  <c:v>22330</c:v>
                </c:pt>
                <c:pt idx="35">
                  <c:v>22330</c:v>
                </c:pt>
                <c:pt idx="36">
                  <c:v>22310</c:v>
                </c:pt>
                <c:pt idx="37">
                  <c:v>22310</c:v>
                </c:pt>
                <c:pt idx="38">
                  <c:v>22310</c:v>
                </c:pt>
                <c:pt idx="39">
                  <c:v>22300</c:v>
                </c:pt>
                <c:pt idx="40">
                  <c:v>22300</c:v>
                </c:pt>
                <c:pt idx="41">
                  <c:v>22300</c:v>
                </c:pt>
                <c:pt idx="42">
                  <c:v>22300</c:v>
                </c:pt>
                <c:pt idx="43">
                  <c:v>22300</c:v>
                </c:pt>
                <c:pt idx="44">
                  <c:v>22300</c:v>
                </c:pt>
                <c:pt idx="45">
                  <c:v>22300</c:v>
                </c:pt>
                <c:pt idx="46">
                  <c:v>22300</c:v>
                </c:pt>
                <c:pt idx="47">
                  <c:v>22230</c:v>
                </c:pt>
                <c:pt idx="48">
                  <c:v>22300</c:v>
                </c:pt>
                <c:pt idx="49">
                  <c:v>22300</c:v>
                </c:pt>
                <c:pt idx="50">
                  <c:v>22300</c:v>
                </c:pt>
                <c:pt idx="51">
                  <c:v>22300</c:v>
                </c:pt>
                <c:pt idx="52">
                  <c:v>22300</c:v>
                </c:pt>
                <c:pt idx="53">
                  <c:v>22300</c:v>
                </c:pt>
                <c:pt idx="54">
                  <c:v>22300</c:v>
                </c:pt>
                <c:pt idx="55">
                  <c:v>22300</c:v>
                </c:pt>
                <c:pt idx="56">
                  <c:v>22300</c:v>
                </c:pt>
                <c:pt idx="57">
                  <c:v>22300</c:v>
                </c:pt>
                <c:pt idx="58">
                  <c:v>22300</c:v>
                </c:pt>
                <c:pt idx="59">
                  <c:v>22300</c:v>
                </c:pt>
                <c:pt idx="60">
                  <c:v>22300</c:v>
                </c:pt>
                <c:pt idx="61">
                  <c:v>22300</c:v>
                </c:pt>
                <c:pt idx="62">
                  <c:v>22300</c:v>
                </c:pt>
                <c:pt idx="63">
                  <c:v>22300</c:v>
                </c:pt>
                <c:pt idx="64">
                  <c:v>22300</c:v>
                </c:pt>
                <c:pt idx="65">
                  <c:v>22300</c:v>
                </c:pt>
                <c:pt idx="66">
                  <c:v>22300</c:v>
                </c:pt>
                <c:pt idx="67">
                  <c:v>22300</c:v>
                </c:pt>
                <c:pt idx="68">
                  <c:v>22300</c:v>
                </c:pt>
                <c:pt idx="69">
                  <c:v>22300</c:v>
                </c:pt>
                <c:pt idx="70">
                  <c:v>22300</c:v>
                </c:pt>
                <c:pt idx="71">
                  <c:v>22300</c:v>
                </c:pt>
                <c:pt idx="72">
                  <c:v>22300</c:v>
                </c:pt>
                <c:pt idx="73">
                  <c:v>22320</c:v>
                </c:pt>
                <c:pt idx="74">
                  <c:v>22300</c:v>
                </c:pt>
                <c:pt idx="75">
                  <c:v>22300</c:v>
                </c:pt>
                <c:pt idx="76">
                  <c:v>22300</c:v>
                </c:pt>
                <c:pt idx="77">
                  <c:v>22300</c:v>
                </c:pt>
                <c:pt idx="78">
                  <c:v>22300</c:v>
                </c:pt>
                <c:pt idx="79">
                  <c:v>22300</c:v>
                </c:pt>
                <c:pt idx="80">
                  <c:v>22300</c:v>
                </c:pt>
                <c:pt idx="81">
                  <c:v>22300</c:v>
                </c:pt>
                <c:pt idx="82">
                  <c:v>22300</c:v>
                </c:pt>
                <c:pt idx="83">
                  <c:v>22300</c:v>
                </c:pt>
                <c:pt idx="84">
                  <c:v>22300</c:v>
                </c:pt>
                <c:pt idx="85">
                  <c:v>22300</c:v>
                </c:pt>
                <c:pt idx="86">
                  <c:v>22300</c:v>
                </c:pt>
                <c:pt idx="87">
                  <c:v>22300</c:v>
                </c:pt>
                <c:pt idx="88">
                  <c:v>22300</c:v>
                </c:pt>
                <c:pt idx="89">
                  <c:v>22300</c:v>
                </c:pt>
                <c:pt idx="90">
                  <c:v>22300</c:v>
                </c:pt>
                <c:pt idx="91">
                  <c:v>22300</c:v>
                </c:pt>
                <c:pt idx="92">
                  <c:v>22300</c:v>
                </c:pt>
                <c:pt idx="93">
                  <c:v>22300</c:v>
                </c:pt>
                <c:pt idx="94">
                  <c:v>22300</c:v>
                </c:pt>
                <c:pt idx="95">
                  <c:v>22440</c:v>
                </c:pt>
                <c:pt idx="96">
                  <c:v>22410</c:v>
                </c:pt>
                <c:pt idx="97">
                  <c:v>22455</c:v>
                </c:pt>
                <c:pt idx="98">
                  <c:v>22470</c:v>
                </c:pt>
                <c:pt idx="99">
                  <c:v>22300</c:v>
                </c:pt>
                <c:pt idx="100">
                  <c:v>22300</c:v>
                </c:pt>
                <c:pt idx="101">
                  <c:v>22300</c:v>
                </c:pt>
                <c:pt idx="102">
                  <c:v>22300</c:v>
                </c:pt>
                <c:pt idx="103">
                  <c:v>22340</c:v>
                </c:pt>
                <c:pt idx="104">
                  <c:v>22300</c:v>
                </c:pt>
                <c:pt idx="105">
                  <c:v>22320</c:v>
                </c:pt>
                <c:pt idx="106">
                  <c:v>22310</c:v>
                </c:pt>
                <c:pt idx="107">
                  <c:v>22310</c:v>
                </c:pt>
                <c:pt idx="108">
                  <c:v>22310</c:v>
                </c:pt>
                <c:pt idx="109">
                  <c:v>22310</c:v>
                </c:pt>
                <c:pt idx="110">
                  <c:v>22310</c:v>
                </c:pt>
                <c:pt idx="111">
                  <c:v>22305</c:v>
                </c:pt>
                <c:pt idx="112">
                  <c:v>22340</c:v>
                </c:pt>
                <c:pt idx="113">
                  <c:v>22345</c:v>
                </c:pt>
                <c:pt idx="114">
                  <c:v>22335</c:v>
                </c:pt>
                <c:pt idx="115">
                  <c:v>22320</c:v>
                </c:pt>
                <c:pt idx="116">
                  <c:v>22320</c:v>
                </c:pt>
                <c:pt idx="117">
                  <c:v>22310</c:v>
                </c:pt>
                <c:pt idx="118">
                  <c:v>22310</c:v>
                </c:pt>
                <c:pt idx="119">
                  <c:v>22300</c:v>
                </c:pt>
                <c:pt idx="120">
                  <c:v>22300</c:v>
                </c:pt>
                <c:pt idx="121">
                  <c:v>22360</c:v>
                </c:pt>
                <c:pt idx="122">
                  <c:v>22320</c:v>
                </c:pt>
                <c:pt idx="123">
                  <c:v>22300</c:v>
                </c:pt>
                <c:pt idx="124">
                  <c:v>22310</c:v>
                </c:pt>
                <c:pt idx="125">
                  <c:v>22300</c:v>
                </c:pt>
                <c:pt idx="126">
                  <c:v>22310</c:v>
                </c:pt>
                <c:pt idx="127">
                  <c:v>22310</c:v>
                </c:pt>
                <c:pt idx="128">
                  <c:v>22310</c:v>
                </c:pt>
                <c:pt idx="129">
                  <c:v>22310</c:v>
                </c:pt>
                <c:pt idx="130">
                  <c:v>22310</c:v>
                </c:pt>
                <c:pt idx="131">
                  <c:v>22310</c:v>
                </c:pt>
                <c:pt idx="132">
                  <c:v>22305</c:v>
                </c:pt>
                <c:pt idx="133">
                  <c:v>22300</c:v>
                </c:pt>
                <c:pt idx="134">
                  <c:v>22295</c:v>
                </c:pt>
                <c:pt idx="135">
                  <c:v>22295</c:v>
                </c:pt>
                <c:pt idx="136">
                  <c:v>22295</c:v>
                </c:pt>
                <c:pt idx="137">
                  <c:v>22295</c:v>
                </c:pt>
                <c:pt idx="138">
                  <c:v>22295</c:v>
                </c:pt>
                <c:pt idx="139">
                  <c:v>22295</c:v>
                </c:pt>
                <c:pt idx="140">
                  <c:v>22295</c:v>
                </c:pt>
                <c:pt idx="141">
                  <c:v>22290</c:v>
                </c:pt>
                <c:pt idx="142">
                  <c:v>22290</c:v>
                </c:pt>
                <c:pt idx="143">
                  <c:v>22290</c:v>
                </c:pt>
                <c:pt idx="144">
                  <c:v>22290</c:v>
                </c:pt>
                <c:pt idx="145">
                  <c:v>22290</c:v>
                </c:pt>
                <c:pt idx="146">
                  <c:v>22290</c:v>
                </c:pt>
                <c:pt idx="147">
                  <c:v>22290</c:v>
                </c:pt>
                <c:pt idx="148">
                  <c:v>22290</c:v>
                </c:pt>
                <c:pt idx="149">
                  <c:v>22290</c:v>
                </c:pt>
                <c:pt idx="150">
                  <c:v>22290</c:v>
                </c:pt>
              </c:numCache>
            </c:numRef>
          </c:val>
          <c:smooth val="0"/>
        </c:ser>
        <c:dLbls>
          <c:showLegendKey val="0"/>
          <c:showVal val="0"/>
          <c:showCatName val="0"/>
          <c:showSerName val="0"/>
          <c:showPercent val="0"/>
          <c:showBubbleSize val="0"/>
        </c:dLbls>
        <c:marker val="1"/>
        <c:smooth val="0"/>
        <c:axId val="95885568"/>
        <c:axId val="95895552"/>
      </c:lineChart>
      <c:dateAx>
        <c:axId val="95885568"/>
        <c:scaling>
          <c:orientation val="minMax"/>
        </c:scaling>
        <c:delete val="0"/>
        <c:axPos val="b"/>
        <c:numFmt formatCode="[$-1010000]d/m/yy;@" sourceLinked="1"/>
        <c:majorTickMark val="out"/>
        <c:minorTickMark val="none"/>
        <c:tickLblPos val="nextTo"/>
        <c:crossAx val="95895552"/>
        <c:crosses val="autoZero"/>
        <c:auto val="1"/>
        <c:lblOffset val="100"/>
        <c:baseTimeUnit val="days"/>
      </c:dateAx>
      <c:valAx>
        <c:axId val="95895552"/>
        <c:scaling>
          <c:orientation val="minMax"/>
          <c:max val="22700"/>
          <c:min val="22200"/>
        </c:scaling>
        <c:delete val="0"/>
        <c:axPos val="l"/>
        <c:majorGridlines>
          <c:spPr>
            <a:ln>
              <a:noFill/>
              <a:prstDash val="dash"/>
            </a:ln>
          </c:spPr>
        </c:majorGridlines>
        <c:numFmt formatCode="_(* #,##0_);_(* \(#,##0\);_(* &quot;-&quot;??_);_(@_)" sourceLinked="1"/>
        <c:majorTickMark val="out"/>
        <c:minorTickMark val="none"/>
        <c:tickLblPos val="nextTo"/>
        <c:crossAx val="95885568"/>
        <c:crosses val="autoZero"/>
        <c:crossBetween val="between"/>
        <c:majorUnit val="150"/>
      </c:valAx>
    </c:plotArea>
    <c:legend>
      <c:legendPos val="b"/>
      <c:layout>
        <c:manualLayout>
          <c:xMode val="edge"/>
          <c:yMode val="edge"/>
          <c:x val="5.2414010195087485E-2"/>
          <c:y val="0.75867590005990171"/>
          <c:w val="0.89999998099137213"/>
          <c:h val="0.23769282661210189"/>
        </c:manualLayout>
      </c:layout>
      <c:overlay val="0"/>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07328357405471"/>
          <c:y val="3.9231174742902095E-2"/>
          <c:w val="0.89464038349373021"/>
          <c:h val="0.65373780908965329"/>
        </c:manualLayout>
      </c:layout>
      <c:barChart>
        <c:barDir val="col"/>
        <c:grouping val="clustered"/>
        <c:varyColors val="0"/>
        <c:ser>
          <c:idx val="0"/>
          <c:order val="0"/>
          <c:tx>
            <c:strRef>
              <c:f>Sheet1!$B$1</c:f>
              <c:strCache>
                <c:ptCount val="1"/>
                <c:pt idx="0">
                  <c:v>Cổ phiếu </c:v>
                </c:pt>
              </c:strCache>
            </c:strRef>
          </c:tx>
          <c:spPr>
            <a:solidFill>
              <a:schemeClr val="accent5">
                <a:lumMod val="60000"/>
                <a:lumOff val="40000"/>
              </a:schemeClr>
            </a:solidFill>
            <a:ln>
              <a:solidFill>
                <a:schemeClr val="tx1"/>
              </a:solidFill>
            </a:ln>
          </c:spPr>
          <c:invertIfNegative val="0"/>
          <c:dLbls>
            <c:dLbl>
              <c:idx val="4"/>
              <c:layout>
                <c:manualLayout>
                  <c:x val="-6.9444444444444475E-3"/>
                  <c:y val="0"/>
                </c:manualLayout>
              </c:layout>
              <c:showLegendKey val="0"/>
              <c:showVal val="1"/>
              <c:showCatName val="0"/>
              <c:showSerName val="0"/>
              <c:showPercent val="0"/>
              <c:showBubbleSize val="0"/>
            </c:dLbl>
            <c:dLbl>
              <c:idx val="6"/>
              <c:layout>
                <c:manualLayout>
                  <c:x val="-6.9444444444444475E-3"/>
                  <c:y val="2.072538860103627E-2"/>
                </c:manualLayout>
              </c:layout>
              <c:showLegendKey val="0"/>
              <c:showVal val="1"/>
              <c:showCatName val="0"/>
              <c:showSerName val="0"/>
              <c:showPercent val="0"/>
              <c:showBubbleSize val="0"/>
            </c:dLbl>
            <c:dLbl>
              <c:idx val="10"/>
              <c:layout>
                <c:manualLayout>
                  <c:x val="0"/>
                  <c:y val="2.7633851468048375E-2"/>
                </c:manualLayout>
              </c:layout>
              <c:showLegendKey val="0"/>
              <c:showVal val="1"/>
              <c:showCatName val="0"/>
              <c:showSerName val="0"/>
              <c:showPercent val="0"/>
              <c:showBubbleSize val="0"/>
            </c:dLbl>
            <c:numFmt formatCode="#,##0_);[Red]\(#,##0\)" sourceLinked="0"/>
            <c:showLegendKey val="0"/>
            <c:showVal val="1"/>
            <c:showCatName val="0"/>
            <c:showSerName val="0"/>
            <c:showPercent val="0"/>
            <c:showBubbleSize val="0"/>
            <c:showLeaderLines val="0"/>
          </c:dLbls>
          <c:cat>
            <c:strRef>
              <c:f>Sheet1!$A$2:$A$9</c:f>
              <c:strCache>
                <c:ptCount val="8"/>
                <c:pt idx="0">
                  <c:v>T1</c:v>
                </c:pt>
                <c:pt idx="1">
                  <c:v>T2</c:v>
                </c:pt>
                <c:pt idx="2">
                  <c:v>T3</c:v>
                </c:pt>
                <c:pt idx="3">
                  <c:v>T4</c:v>
                </c:pt>
                <c:pt idx="4">
                  <c:v>T5</c:v>
                </c:pt>
                <c:pt idx="5">
                  <c:v>T6</c:v>
                </c:pt>
                <c:pt idx="6">
                  <c:v>T7</c:v>
                </c:pt>
                <c:pt idx="7">
                  <c:v>T8  (23/8)</c:v>
                </c:pt>
              </c:strCache>
            </c:strRef>
          </c:cat>
          <c:val>
            <c:numRef>
              <c:f>Sheet1!$B$2:$B$9</c:f>
              <c:numCache>
                <c:formatCode>General</c:formatCode>
                <c:ptCount val="8"/>
                <c:pt idx="0">
                  <c:v>-1282</c:v>
                </c:pt>
                <c:pt idx="1">
                  <c:v>-180</c:v>
                </c:pt>
                <c:pt idx="2">
                  <c:v>674</c:v>
                </c:pt>
                <c:pt idx="3">
                  <c:v>-1405</c:v>
                </c:pt>
                <c:pt idx="4">
                  <c:v>918</c:v>
                </c:pt>
                <c:pt idx="5">
                  <c:v>394</c:v>
                </c:pt>
                <c:pt idx="6">
                  <c:v>1161</c:v>
                </c:pt>
                <c:pt idx="7">
                  <c:v>-1377</c:v>
                </c:pt>
              </c:numCache>
            </c:numRef>
          </c:val>
        </c:ser>
        <c:ser>
          <c:idx val="1"/>
          <c:order val="1"/>
          <c:tx>
            <c:strRef>
              <c:f>Sheet1!$C$1</c:f>
              <c:strCache>
                <c:ptCount val="1"/>
                <c:pt idx="0">
                  <c:v>Trái phiếu Chính phủ</c:v>
                </c:pt>
              </c:strCache>
            </c:strRef>
          </c:tx>
          <c:spPr>
            <a:solidFill>
              <a:schemeClr val="accent5">
                <a:lumMod val="50000"/>
              </a:schemeClr>
            </a:solidFill>
          </c:spPr>
          <c:invertIfNegative val="0"/>
          <c:dLbls>
            <c:dLbl>
              <c:idx val="4"/>
              <c:layout>
                <c:manualLayout>
                  <c:x val="0"/>
                  <c:y val="1.3816925734024163E-2"/>
                </c:manualLayout>
              </c:layout>
              <c:showLegendKey val="0"/>
              <c:showVal val="1"/>
              <c:showCatName val="0"/>
              <c:showSerName val="0"/>
              <c:showPercent val="0"/>
              <c:showBubbleSize val="0"/>
            </c:dLbl>
            <c:dLbl>
              <c:idx val="6"/>
              <c:layout>
                <c:manualLayout>
                  <c:x val="2.3148148148148147E-3"/>
                  <c:y val="2.7633851468048375E-2"/>
                </c:manualLayout>
              </c:layout>
              <c:showLegendKey val="0"/>
              <c:showVal val="1"/>
              <c:showCatName val="0"/>
              <c:showSerName val="0"/>
              <c:showPercent val="0"/>
              <c:showBubbleSize val="0"/>
            </c:dLbl>
            <c:dLbl>
              <c:idx val="10"/>
              <c:layout>
                <c:manualLayout>
                  <c:x val="2.3148148148148997E-3"/>
                  <c:y val="-4.145077720207254E-2"/>
                </c:manualLayout>
              </c:layout>
              <c:showLegendKey val="0"/>
              <c:showVal val="1"/>
              <c:showCatName val="0"/>
              <c:showSerName val="0"/>
              <c:showPercent val="0"/>
              <c:showBubbleSize val="0"/>
            </c:dLbl>
            <c:numFmt formatCode="#,##0_);[Red]\(#,##0\)" sourceLinked="0"/>
            <c:showLegendKey val="0"/>
            <c:showVal val="1"/>
            <c:showCatName val="0"/>
            <c:showSerName val="0"/>
            <c:showPercent val="0"/>
            <c:showBubbleSize val="0"/>
            <c:showLeaderLines val="0"/>
          </c:dLbls>
          <c:cat>
            <c:strRef>
              <c:f>Sheet1!$A$2:$A$9</c:f>
              <c:strCache>
                <c:ptCount val="8"/>
                <c:pt idx="0">
                  <c:v>T1</c:v>
                </c:pt>
                <c:pt idx="1">
                  <c:v>T2</c:v>
                </c:pt>
                <c:pt idx="2">
                  <c:v>T3</c:v>
                </c:pt>
                <c:pt idx="3">
                  <c:v>T4</c:v>
                </c:pt>
                <c:pt idx="4">
                  <c:v>T5</c:v>
                </c:pt>
                <c:pt idx="5">
                  <c:v>T6</c:v>
                </c:pt>
                <c:pt idx="6">
                  <c:v>T7</c:v>
                </c:pt>
                <c:pt idx="7">
                  <c:v>T8  (23/8)</c:v>
                </c:pt>
              </c:strCache>
            </c:strRef>
          </c:cat>
          <c:val>
            <c:numRef>
              <c:f>Sheet1!$C$2:$C$9</c:f>
              <c:numCache>
                <c:formatCode>General</c:formatCode>
                <c:ptCount val="8"/>
                <c:pt idx="0">
                  <c:v>1286</c:v>
                </c:pt>
                <c:pt idx="1">
                  <c:v>3389</c:v>
                </c:pt>
                <c:pt idx="2">
                  <c:v>2169</c:v>
                </c:pt>
                <c:pt idx="3">
                  <c:v>-168</c:v>
                </c:pt>
                <c:pt idx="4">
                  <c:v>3966</c:v>
                </c:pt>
                <c:pt idx="5">
                  <c:v>3730</c:v>
                </c:pt>
                <c:pt idx="6">
                  <c:v>3054</c:v>
                </c:pt>
                <c:pt idx="7">
                  <c:v>3865</c:v>
                </c:pt>
              </c:numCache>
            </c:numRef>
          </c:val>
        </c:ser>
        <c:dLbls>
          <c:showLegendKey val="0"/>
          <c:showVal val="0"/>
          <c:showCatName val="0"/>
          <c:showSerName val="0"/>
          <c:showPercent val="0"/>
          <c:showBubbleSize val="0"/>
        </c:dLbls>
        <c:gapWidth val="150"/>
        <c:axId val="95929472"/>
        <c:axId val="95931008"/>
      </c:barChart>
      <c:catAx>
        <c:axId val="95929472"/>
        <c:scaling>
          <c:orientation val="minMax"/>
        </c:scaling>
        <c:delete val="0"/>
        <c:axPos val="b"/>
        <c:majorTickMark val="out"/>
        <c:minorTickMark val="none"/>
        <c:tickLblPos val="low"/>
        <c:crossAx val="95931008"/>
        <c:crosses val="autoZero"/>
        <c:auto val="1"/>
        <c:lblAlgn val="ctr"/>
        <c:lblOffset val="100"/>
        <c:noMultiLvlLbl val="0"/>
      </c:catAx>
      <c:valAx>
        <c:axId val="95931008"/>
        <c:scaling>
          <c:orientation val="minMax"/>
        </c:scaling>
        <c:delete val="0"/>
        <c:axPos val="l"/>
        <c:numFmt formatCode="General" sourceLinked="1"/>
        <c:majorTickMark val="out"/>
        <c:minorTickMark val="none"/>
        <c:tickLblPos val="nextTo"/>
        <c:crossAx val="95929472"/>
        <c:crosses val="autoZero"/>
        <c:crossBetween val="between"/>
      </c:valAx>
    </c:plotArea>
    <c:legend>
      <c:legendPos val="r"/>
      <c:layout>
        <c:manualLayout>
          <c:xMode val="edge"/>
          <c:yMode val="edge"/>
          <c:x val="4.7005300807987281E-2"/>
          <c:y val="0.87375572872043861"/>
          <c:w val="0.9156451031856313"/>
          <c:h val="0.12202738906341372"/>
        </c:manualLayout>
      </c:layout>
      <c:overlay val="0"/>
      <c:txPr>
        <a:bodyPr/>
        <a:lstStyle/>
        <a:p>
          <a:pPr>
            <a:defRPr b="1"/>
          </a:pPr>
          <a:endParaRPr lang="en-US"/>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42713948487308"/>
          <c:y val="7.140699379622989E-2"/>
          <c:w val="0.76381850573763022"/>
          <c:h val="0.66991001124859395"/>
        </c:manualLayout>
      </c:layout>
      <c:areaChart>
        <c:grouping val="standard"/>
        <c:varyColors val="0"/>
        <c:ser>
          <c:idx val="0"/>
          <c:order val="0"/>
          <c:dLbls>
            <c:dLbl>
              <c:idx val="0"/>
              <c:layout>
                <c:manualLayout>
                  <c:x val="3.1962000111844122E-2"/>
                  <c:y val="-0.13149160878372473"/>
                </c:manualLayout>
              </c:layout>
              <c:showLegendKey val="0"/>
              <c:showVal val="1"/>
              <c:showCatName val="0"/>
              <c:showSerName val="0"/>
              <c:showPercent val="0"/>
              <c:showBubbleSize val="0"/>
            </c:dLbl>
            <c:dLbl>
              <c:idx val="1"/>
              <c:delete val="1"/>
            </c:dLbl>
            <c:dLbl>
              <c:idx val="2"/>
              <c:layout>
                <c:manualLayout>
                  <c:x val="2.1521520673369404E-2"/>
                  <c:y val="-9.0730840614171707E-2"/>
                </c:manualLayout>
              </c:layout>
              <c:showLegendKey val="0"/>
              <c:showVal val="1"/>
              <c:showCatName val="0"/>
              <c:showSerName val="0"/>
              <c:showPercent val="0"/>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1.2650221378874039E-2"/>
                  <c:y val="-0.31018518518518556"/>
                </c:manualLayout>
              </c:layout>
              <c:showLegendKey val="0"/>
              <c:showVal val="1"/>
              <c:showCatName val="0"/>
              <c:showSerName val="0"/>
              <c:showPercent val="0"/>
              <c:showBubbleSize val="0"/>
            </c:dLbl>
            <c:dLbl>
              <c:idx val="15"/>
              <c:delete val="1"/>
            </c:dLbl>
            <c:dLbl>
              <c:idx val="16"/>
              <c:layout>
                <c:manualLayout>
                  <c:x val="-1.7710309930423791E-2"/>
                  <c:y val="-0.28703703703703703"/>
                </c:manualLayout>
              </c:layout>
              <c:showLegendKey val="0"/>
              <c:showVal val="1"/>
              <c:showCatName val="0"/>
              <c:showSerName val="0"/>
              <c:showPercent val="0"/>
              <c:showBubbleSize val="0"/>
            </c:dLbl>
            <c:dLbl>
              <c:idx val="17"/>
              <c:delete val="1"/>
            </c:dLbl>
            <c:dLbl>
              <c:idx val="18"/>
              <c:layout>
                <c:manualLayout>
                  <c:x val="-1.265022137887413E-2"/>
                  <c:y val="-0.2129629629629632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'giá dầu'!$K$2:$K$20</c:f>
              <c:strCache>
                <c:ptCount val="19"/>
                <c:pt idx="0">
                  <c:v>1/8/16</c:v>
                </c:pt>
                <c:pt idx="1">
                  <c:v>2/8/16</c:v>
                </c:pt>
                <c:pt idx="2">
                  <c:v>3/8/16</c:v>
                </c:pt>
                <c:pt idx="3">
                  <c:v>4/8/16</c:v>
                </c:pt>
                <c:pt idx="4">
                  <c:v>5/8/16</c:v>
                </c:pt>
                <c:pt idx="5">
                  <c:v>8/8/16</c:v>
                </c:pt>
                <c:pt idx="6">
                  <c:v>9/8/16</c:v>
                </c:pt>
                <c:pt idx="7">
                  <c:v>10/8/16</c:v>
                </c:pt>
                <c:pt idx="8">
                  <c:v>11/8/16</c:v>
                </c:pt>
                <c:pt idx="9">
                  <c:v>12/8/16</c:v>
                </c:pt>
                <c:pt idx="10">
                  <c:v>15/8/16</c:v>
                </c:pt>
                <c:pt idx="11">
                  <c:v>16/8/16</c:v>
                </c:pt>
                <c:pt idx="12">
                  <c:v>17/8/16</c:v>
                </c:pt>
                <c:pt idx="13">
                  <c:v>18/8/16</c:v>
                </c:pt>
                <c:pt idx="14">
                  <c:v>19/8/16</c:v>
                </c:pt>
                <c:pt idx="15">
                  <c:v>22/8/16</c:v>
                </c:pt>
                <c:pt idx="16">
                  <c:v>23/8/16</c:v>
                </c:pt>
                <c:pt idx="17">
                  <c:v>24/8/16</c:v>
                </c:pt>
                <c:pt idx="18">
                  <c:v>25/8/16</c:v>
                </c:pt>
              </c:strCache>
            </c:strRef>
          </c:cat>
          <c:val>
            <c:numRef>
              <c:f>'giá dầu'!$L$2:$L$20</c:f>
              <c:numCache>
                <c:formatCode>General</c:formatCode>
                <c:ptCount val="19"/>
                <c:pt idx="0">
                  <c:v>40.700000000000003</c:v>
                </c:pt>
                <c:pt idx="1">
                  <c:v>41.39</c:v>
                </c:pt>
                <c:pt idx="2">
                  <c:v>40.730000000000011</c:v>
                </c:pt>
                <c:pt idx="3">
                  <c:v>41.349999999999994</c:v>
                </c:pt>
                <c:pt idx="4">
                  <c:v>42.58</c:v>
                </c:pt>
                <c:pt idx="5">
                  <c:v>43.24</c:v>
                </c:pt>
                <c:pt idx="6">
                  <c:v>43.57</c:v>
                </c:pt>
                <c:pt idx="7">
                  <c:v>43.620000000000005</c:v>
                </c:pt>
                <c:pt idx="8">
                  <c:v>43.93</c:v>
                </c:pt>
                <c:pt idx="9">
                  <c:v>44.36</c:v>
                </c:pt>
                <c:pt idx="10">
                  <c:v>45.68</c:v>
                </c:pt>
                <c:pt idx="11">
                  <c:v>46.41</c:v>
                </c:pt>
                <c:pt idx="12">
                  <c:v>47.41</c:v>
                </c:pt>
                <c:pt idx="13">
                  <c:v>48.56</c:v>
                </c:pt>
                <c:pt idx="14">
                  <c:v>49.160000000000004</c:v>
                </c:pt>
                <c:pt idx="15">
                  <c:v>48.75</c:v>
                </c:pt>
                <c:pt idx="16">
                  <c:v>47.41</c:v>
                </c:pt>
                <c:pt idx="17">
                  <c:v>47.43</c:v>
                </c:pt>
                <c:pt idx="18">
                  <c:v>46.75</c:v>
                </c:pt>
              </c:numCache>
            </c:numRef>
          </c:val>
        </c:ser>
        <c:dLbls>
          <c:showLegendKey val="0"/>
          <c:showVal val="0"/>
          <c:showCatName val="0"/>
          <c:showSerName val="0"/>
          <c:showPercent val="0"/>
          <c:showBubbleSize val="0"/>
        </c:dLbls>
        <c:axId val="94939392"/>
        <c:axId val="94957568"/>
      </c:areaChart>
      <c:catAx>
        <c:axId val="94939392"/>
        <c:scaling>
          <c:orientation val="minMax"/>
        </c:scaling>
        <c:delete val="0"/>
        <c:axPos val="b"/>
        <c:majorTickMark val="out"/>
        <c:minorTickMark val="none"/>
        <c:tickLblPos val="nextTo"/>
        <c:crossAx val="94957568"/>
        <c:crosses val="autoZero"/>
        <c:auto val="1"/>
        <c:lblAlgn val="ctr"/>
        <c:lblOffset val="100"/>
        <c:noMultiLvlLbl val="0"/>
      </c:catAx>
      <c:valAx>
        <c:axId val="94957568"/>
        <c:scaling>
          <c:orientation val="minMax"/>
          <c:max val="50"/>
          <c:min val="40"/>
        </c:scaling>
        <c:delete val="0"/>
        <c:axPos val="l"/>
        <c:numFmt formatCode="General" sourceLinked="1"/>
        <c:majorTickMark val="out"/>
        <c:minorTickMark val="none"/>
        <c:tickLblPos val="nextTo"/>
        <c:crossAx val="94939392"/>
        <c:crosses val="autoZero"/>
        <c:crossBetween val="midCat"/>
        <c:majorUnit val="2"/>
      </c:valAx>
    </c:plotArea>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4"/>
          <c:tx>
            <c:strRef>
              <c:f>'Biểu đồ so cùng kỳ'!$A$9</c:f>
              <c:strCache>
                <c:ptCount val="1"/>
                <c:pt idx="0">
                  <c:v>So với tháng trước (cột phải)</c:v>
                </c:pt>
              </c:strCache>
            </c:strRef>
          </c:tx>
          <c:spPr>
            <a:solidFill>
              <a:schemeClr val="accent5">
                <a:lumMod val="50000"/>
              </a:schemeClr>
            </a:solidFill>
            <a:ln w="25400">
              <a:solidFill>
                <a:schemeClr val="accent5">
                  <a:lumMod val="50000"/>
                </a:schemeClr>
              </a:solidFill>
              <a:prstDash val="solid"/>
            </a:ln>
          </c:spPr>
          <c:invertIfNegative val="0"/>
          <c:cat>
            <c:strRef>
              <c:f>'Biểu đồ so cùng kỳ'!$B$4:$AS$4</c:f>
              <c:strCache>
                <c:ptCount val="44"/>
                <c:pt idx="0">
                  <c:v>T1/13</c:v>
                </c:pt>
                <c:pt idx="1">
                  <c:v>T2/13</c:v>
                </c:pt>
                <c:pt idx="2">
                  <c:v>T3/13</c:v>
                </c:pt>
                <c:pt idx="3">
                  <c:v>T4/13</c:v>
                </c:pt>
                <c:pt idx="4">
                  <c:v>T5/13</c:v>
                </c:pt>
                <c:pt idx="5">
                  <c:v>T6/13</c:v>
                </c:pt>
                <c:pt idx="6">
                  <c:v>T7/13</c:v>
                </c:pt>
                <c:pt idx="7">
                  <c:v>T8/13</c:v>
                </c:pt>
                <c:pt idx="8">
                  <c:v>T9/13</c:v>
                </c:pt>
                <c:pt idx="9">
                  <c:v>T10/13</c:v>
                </c:pt>
                <c:pt idx="10">
                  <c:v>T11/13</c:v>
                </c:pt>
                <c:pt idx="11">
                  <c:v>T12/13</c:v>
                </c:pt>
                <c:pt idx="12">
                  <c:v>T1/14</c:v>
                </c:pt>
                <c:pt idx="13">
                  <c:v>T2/14</c:v>
                </c:pt>
                <c:pt idx="14">
                  <c:v>T3/14</c:v>
                </c:pt>
                <c:pt idx="15">
                  <c:v>T4/14</c:v>
                </c:pt>
                <c:pt idx="16">
                  <c:v>T5/14</c:v>
                </c:pt>
                <c:pt idx="17">
                  <c:v>T6/14</c:v>
                </c:pt>
                <c:pt idx="18">
                  <c:v>T7/14</c:v>
                </c:pt>
                <c:pt idx="19">
                  <c:v>T8/14</c:v>
                </c:pt>
                <c:pt idx="20">
                  <c:v>T9/14</c:v>
                </c:pt>
                <c:pt idx="21">
                  <c:v>T10/14</c:v>
                </c:pt>
                <c:pt idx="22">
                  <c:v>T11/14</c:v>
                </c:pt>
                <c:pt idx="23">
                  <c:v>T12/14</c:v>
                </c:pt>
                <c:pt idx="24">
                  <c:v>T1/15</c:v>
                </c:pt>
                <c:pt idx="25">
                  <c:v>T2/15</c:v>
                </c:pt>
                <c:pt idx="26">
                  <c:v>T3/15</c:v>
                </c:pt>
                <c:pt idx="27">
                  <c:v>T4/15</c:v>
                </c:pt>
                <c:pt idx="28">
                  <c:v>T5/15</c:v>
                </c:pt>
                <c:pt idx="29">
                  <c:v>T6/15</c:v>
                </c:pt>
                <c:pt idx="30">
                  <c:v>T7/15</c:v>
                </c:pt>
                <c:pt idx="31">
                  <c:v>T8/15</c:v>
                </c:pt>
                <c:pt idx="32">
                  <c:v>T9/15</c:v>
                </c:pt>
                <c:pt idx="33">
                  <c:v>T10/15</c:v>
                </c:pt>
                <c:pt idx="34">
                  <c:v>T11/15</c:v>
                </c:pt>
                <c:pt idx="35">
                  <c:v>T12/15</c:v>
                </c:pt>
                <c:pt idx="36">
                  <c:v>T1/16</c:v>
                </c:pt>
                <c:pt idx="37">
                  <c:v>T2/16</c:v>
                </c:pt>
                <c:pt idx="38">
                  <c:v>T3/16</c:v>
                </c:pt>
                <c:pt idx="39">
                  <c:v>T4/16</c:v>
                </c:pt>
                <c:pt idx="40">
                  <c:v>T5/16</c:v>
                </c:pt>
                <c:pt idx="41">
                  <c:v>T6/16</c:v>
                </c:pt>
                <c:pt idx="42">
                  <c:v>T7/16</c:v>
                </c:pt>
                <c:pt idx="43">
                  <c:v>T8/16</c:v>
                </c:pt>
              </c:strCache>
            </c:strRef>
          </c:cat>
          <c:val>
            <c:numRef>
              <c:f>'Biểu đồ so cùng kỳ'!$B$9:$AS$9</c:f>
              <c:numCache>
                <c:formatCode>0.00</c:formatCode>
                <c:ptCount val="44"/>
                <c:pt idx="0">
                  <c:v>1.25</c:v>
                </c:pt>
                <c:pt idx="1">
                  <c:v>1.3199999999999927</c:v>
                </c:pt>
                <c:pt idx="2">
                  <c:v>-0.18999999999999784</c:v>
                </c:pt>
                <c:pt idx="3">
                  <c:v>1.9999999999996021E-2</c:v>
                </c:pt>
                <c:pt idx="4">
                  <c:v>-6.0000000000002301E-2</c:v>
                </c:pt>
                <c:pt idx="5">
                  <c:v>4.9999999999997193E-2</c:v>
                </c:pt>
                <c:pt idx="6">
                  <c:v>0.26999999999999613</c:v>
                </c:pt>
                <c:pt idx="7">
                  <c:v>0.82999999999999852</c:v>
                </c:pt>
                <c:pt idx="8">
                  <c:v>1.0600000000000023</c:v>
                </c:pt>
                <c:pt idx="9">
                  <c:v>0.48999999999999505</c:v>
                </c:pt>
                <c:pt idx="10">
                  <c:v>0.34000000000000347</c:v>
                </c:pt>
                <c:pt idx="11">
                  <c:v>0.51000000000000512</c:v>
                </c:pt>
                <c:pt idx="12">
                  <c:v>0.68999999999999784</c:v>
                </c:pt>
                <c:pt idx="13">
                  <c:v>0.54999999999999738</c:v>
                </c:pt>
                <c:pt idx="14">
                  <c:v>-0.439999999999998</c:v>
                </c:pt>
                <c:pt idx="15">
                  <c:v>7.9999999999998336E-2</c:v>
                </c:pt>
                <c:pt idx="16">
                  <c:v>1.9999999999996021E-2</c:v>
                </c:pt>
                <c:pt idx="17">
                  <c:v>0.29999999999999738</c:v>
                </c:pt>
                <c:pt idx="18">
                  <c:v>0.23000000000000398</c:v>
                </c:pt>
                <c:pt idx="19">
                  <c:v>0.21999999999999897</c:v>
                </c:pt>
                <c:pt idx="20">
                  <c:v>0.40000000000000568</c:v>
                </c:pt>
                <c:pt idx="21">
                  <c:v>0.10999999999999943</c:v>
                </c:pt>
                <c:pt idx="22">
                  <c:v>-0.26999999999999613</c:v>
                </c:pt>
                <c:pt idx="23">
                  <c:v>-0.23999999999999497</c:v>
                </c:pt>
                <c:pt idx="24">
                  <c:v>-0.20000000000000284</c:v>
                </c:pt>
                <c:pt idx="25">
                  <c:v>-4.9999999999997193E-2</c:v>
                </c:pt>
                <c:pt idx="26">
                  <c:v>0.15000000000000571</c:v>
                </c:pt>
                <c:pt idx="27">
                  <c:v>0.14000000000000062</c:v>
                </c:pt>
                <c:pt idx="28">
                  <c:v>0.1599999999999967</c:v>
                </c:pt>
                <c:pt idx="29">
                  <c:v>0.34999999999999454</c:v>
                </c:pt>
                <c:pt idx="30">
                  <c:v>0.12999999999999551</c:v>
                </c:pt>
                <c:pt idx="31">
                  <c:v>-6.9999999999993234E-2</c:v>
                </c:pt>
                <c:pt idx="32">
                  <c:v>-0.20999999999999386</c:v>
                </c:pt>
                <c:pt idx="33">
                  <c:v>0.10999999999999943</c:v>
                </c:pt>
                <c:pt idx="34">
                  <c:v>6.9999999999993234E-2</c:v>
                </c:pt>
                <c:pt idx="35">
                  <c:v>2.0000000000000007E-2</c:v>
                </c:pt>
                <c:pt idx="36">
                  <c:v>0</c:v>
                </c:pt>
                <c:pt idx="37">
                  <c:v>0.4200000000000001</c:v>
                </c:pt>
                <c:pt idx="38">
                  <c:v>0.56999999999999995</c:v>
                </c:pt>
                <c:pt idx="39">
                  <c:v>0.33000000000000013</c:v>
                </c:pt>
                <c:pt idx="40">
                  <c:v>0.54</c:v>
                </c:pt>
                <c:pt idx="41">
                  <c:v>0.45999999999999391</c:v>
                </c:pt>
                <c:pt idx="42">
                  <c:v>0.12999999999999551</c:v>
                </c:pt>
                <c:pt idx="43">
                  <c:v>9.9999999999994385E-2</c:v>
                </c:pt>
              </c:numCache>
            </c:numRef>
          </c:val>
        </c:ser>
        <c:dLbls>
          <c:showLegendKey val="0"/>
          <c:showVal val="0"/>
          <c:showCatName val="0"/>
          <c:showSerName val="0"/>
          <c:showPercent val="0"/>
          <c:showBubbleSize val="0"/>
        </c:dLbls>
        <c:gapWidth val="500"/>
        <c:axId val="93947008"/>
        <c:axId val="93945216"/>
      </c:barChart>
      <c:lineChart>
        <c:grouping val="standard"/>
        <c:varyColors val="0"/>
        <c:ser>
          <c:idx val="0"/>
          <c:order val="0"/>
          <c:tx>
            <c:strRef>
              <c:f>'Biểu đồ so cùng kỳ'!$A$5</c:f>
              <c:strCache>
                <c:ptCount val="1"/>
                <c:pt idx="0">
                  <c:v>So với cùng kỳ (cột trái)</c:v>
                </c:pt>
              </c:strCache>
            </c:strRef>
          </c:tx>
          <c:spPr>
            <a:ln w="25400">
              <a:solidFill>
                <a:schemeClr val="accent5">
                  <a:lumMod val="75000"/>
                </a:schemeClr>
              </a:solidFill>
            </a:ln>
          </c:spPr>
          <c:marker>
            <c:symbol val="none"/>
          </c:marker>
          <c:cat>
            <c:strRef>
              <c:f>'Biểu đồ so cùng kỳ'!$B$4:$AS$4</c:f>
              <c:strCache>
                <c:ptCount val="44"/>
                <c:pt idx="0">
                  <c:v>T1/13</c:v>
                </c:pt>
                <c:pt idx="1">
                  <c:v>T2/13</c:v>
                </c:pt>
                <c:pt idx="2">
                  <c:v>T3/13</c:v>
                </c:pt>
                <c:pt idx="3">
                  <c:v>T4/13</c:v>
                </c:pt>
                <c:pt idx="4">
                  <c:v>T5/13</c:v>
                </c:pt>
                <c:pt idx="5">
                  <c:v>T6/13</c:v>
                </c:pt>
                <c:pt idx="6">
                  <c:v>T7/13</c:v>
                </c:pt>
                <c:pt idx="7">
                  <c:v>T8/13</c:v>
                </c:pt>
                <c:pt idx="8">
                  <c:v>T9/13</c:v>
                </c:pt>
                <c:pt idx="9">
                  <c:v>T10/13</c:v>
                </c:pt>
                <c:pt idx="10">
                  <c:v>T11/13</c:v>
                </c:pt>
                <c:pt idx="11">
                  <c:v>T12/13</c:v>
                </c:pt>
                <c:pt idx="12">
                  <c:v>T1/14</c:v>
                </c:pt>
                <c:pt idx="13">
                  <c:v>T2/14</c:v>
                </c:pt>
                <c:pt idx="14">
                  <c:v>T3/14</c:v>
                </c:pt>
                <c:pt idx="15">
                  <c:v>T4/14</c:v>
                </c:pt>
                <c:pt idx="16">
                  <c:v>T5/14</c:v>
                </c:pt>
                <c:pt idx="17">
                  <c:v>T6/14</c:v>
                </c:pt>
                <c:pt idx="18">
                  <c:v>T7/14</c:v>
                </c:pt>
                <c:pt idx="19">
                  <c:v>T8/14</c:v>
                </c:pt>
                <c:pt idx="20">
                  <c:v>T9/14</c:v>
                </c:pt>
                <c:pt idx="21">
                  <c:v>T10/14</c:v>
                </c:pt>
                <c:pt idx="22">
                  <c:v>T11/14</c:v>
                </c:pt>
                <c:pt idx="23">
                  <c:v>T12/14</c:v>
                </c:pt>
                <c:pt idx="24">
                  <c:v>T1/15</c:v>
                </c:pt>
                <c:pt idx="25">
                  <c:v>T2/15</c:v>
                </c:pt>
                <c:pt idx="26">
                  <c:v>T3/15</c:v>
                </c:pt>
                <c:pt idx="27">
                  <c:v>T4/15</c:v>
                </c:pt>
                <c:pt idx="28">
                  <c:v>T5/15</c:v>
                </c:pt>
                <c:pt idx="29">
                  <c:v>T6/15</c:v>
                </c:pt>
                <c:pt idx="30">
                  <c:v>T7/15</c:v>
                </c:pt>
                <c:pt idx="31">
                  <c:v>T8/15</c:v>
                </c:pt>
                <c:pt idx="32">
                  <c:v>T9/15</c:v>
                </c:pt>
                <c:pt idx="33">
                  <c:v>T10/15</c:v>
                </c:pt>
                <c:pt idx="34">
                  <c:v>T11/15</c:v>
                </c:pt>
                <c:pt idx="35">
                  <c:v>T12/15</c:v>
                </c:pt>
                <c:pt idx="36">
                  <c:v>T1/16</c:v>
                </c:pt>
                <c:pt idx="37">
                  <c:v>T2/16</c:v>
                </c:pt>
                <c:pt idx="38">
                  <c:v>T3/16</c:v>
                </c:pt>
                <c:pt idx="39">
                  <c:v>T4/16</c:v>
                </c:pt>
                <c:pt idx="40">
                  <c:v>T5/16</c:v>
                </c:pt>
                <c:pt idx="41">
                  <c:v>T6/16</c:v>
                </c:pt>
                <c:pt idx="42">
                  <c:v>T7/16</c:v>
                </c:pt>
                <c:pt idx="43">
                  <c:v>T8/16</c:v>
                </c:pt>
              </c:strCache>
            </c:strRef>
          </c:cat>
          <c:val>
            <c:numRef>
              <c:f>'Biểu đồ so cùng kỳ'!$B$5:$AS$5</c:f>
              <c:numCache>
                <c:formatCode>0.00</c:formatCode>
                <c:ptCount val="44"/>
                <c:pt idx="0">
                  <c:v>7.0699999999999914</c:v>
                </c:pt>
                <c:pt idx="1">
                  <c:v>7.019999999999996</c:v>
                </c:pt>
                <c:pt idx="2">
                  <c:v>6.64</c:v>
                </c:pt>
                <c:pt idx="3">
                  <c:v>6.6099999999999985</c:v>
                </c:pt>
                <c:pt idx="4">
                  <c:v>6.3599999999999985</c:v>
                </c:pt>
                <c:pt idx="5">
                  <c:v>6.6899999999999977</c:v>
                </c:pt>
                <c:pt idx="6">
                  <c:v>7.2900000000000063</c:v>
                </c:pt>
                <c:pt idx="7">
                  <c:v>7.5</c:v>
                </c:pt>
                <c:pt idx="8">
                  <c:v>6.2994341403784064</c:v>
                </c:pt>
                <c:pt idx="9">
                  <c:v>5.9200000000000017</c:v>
                </c:pt>
                <c:pt idx="10">
                  <c:v>5.7800000000000011</c:v>
                </c:pt>
                <c:pt idx="11">
                  <c:v>6.0400000000000063</c:v>
                </c:pt>
                <c:pt idx="12">
                  <c:v>5.4500000000000028</c:v>
                </c:pt>
                <c:pt idx="13">
                  <c:v>4.6500000000000057</c:v>
                </c:pt>
                <c:pt idx="14">
                  <c:v>4.3861509247230543</c:v>
                </c:pt>
                <c:pt idx="15">
                  <c:v>4.4500000000000028</c:v>
                </c:pt>
                <c:pt idx="16">
                  <c:v>4.7199999999999989</c:v>
                </c:pt>
                <c:pt idx="17">
                  <c:v>4.9800000000000058</c:v>
                </c:pt>
                <c:pt idx="18">
                  <c:v>4.9399999999999995</c:v>
                </c:pt>
                <c:pt idx="19">
                  <c:v>4.3100000000000005</c:v>
                </c:pt>
                <c:pt idx="20">
                  <c:v>3.6200000000000045</c:v>
                </c:pt>
                <c:pt idx="21">
                  <c:v>3.2300000000000035</c:v>
                </c:pt>
                <c:pt idx="22">
                  <c:v>2.5999999999999943</c:v>
                </c:pt>
                <c:pt idx="23">
                  <c:v>1.8400000000000039</c:v>
                </c:pt>
                <c:pt idx="24">
                  <c:v>0.93999999999999773</c:v>
                </c:pt>
                <c:pt idx="25">
                  <c:v>0.34000000000000347</c:v>
                </c:pt>
                <c:pt idx="26">
                  <c:v>0.93000000000000682</c:v>
                </c:pt>
                <c:pt idx="27">
                  <c:v>0.98999999999999488</c:v>
                </c:pt>
                <c:pt idx="28">
                  <c:v>0.95000000000000295</c:v>
                </c:pt>
                <c:pt idx="29">
                  <c:v>1</c:v>
                </c:pt>
                <c:pt idx="30">
                  <c:v>0.85999999999999965</c:v>
                </c:pt>
                <c:pt idx="31">
                  <c:v>0.82999999999999852</c:v>
                </c:pt>
                <c:pt idx="32">
                  <c:v>0</c:v>
                </c:pt>
                <c:pt idx="33">
                  <c:v>0</c:v>
                </c:pt>
                <c:pt idx="34">
                  <c:v>0.34000000000000347</c:v>
                </c:pt>
                <c:pt idx="35" formatCode="General">
                  <c:v>0.6000000000000002</c:v>
                </c:pt>
                <c:pt idx="36" formatCode="General">
                  <c:v>0.8</c:v>
                </c:pt>
                <c:pt idx="37" formatCode="General">
                  <c:v>1.27</c:v>
                </c:pt>
                <c:pt idx="38" formatCode="General">
                  <c:v>1.6900000000000004</c:v>
                </c:pt>
                <c:pt idx="39" formatCode="General">
                  <c:v>1.8900000000000001</c:v>
                </c:pt>
                <c:pt idx="40" formatCode="General">
                  <c:v>2.2799999999999998</c:v>
                </c:pt>
                <c:pt idx="41" formatCode="General">
                  <c:v>2.4</c:v>
                </c:pt>
                <c:pt idx="42" formatCode="General">
                  <c:v>2.3899999999999997</c:v>
                </c:pt>
                <c:pt idx="43" formatCode="General">
                  <c:v>2.57</c:v>
                </c:pt>
              </c:numCache>
            </c:numRef>
          </c:val>
          <c:smooth val="0"/>
        </c:ser>
        <c:ser>
          <c:idx val="1"/>
          <c:order val="1"/>
          <c:tx>
            <c:strRef>
              <c:f>'Biểu đồ so cùng kỳ'!$A$6</c:f>
              <c:strCache>
                <c:ptCount val="1"/>
                <c:pt idx="0">
                  <c:v>CPI trừ LTTP</c:v>
                </c:pt>
              </c:strCache>
            </c:strRef>
          </c:tx>
          <c:cat>
            <c:strRef>
              <c:f>'Biểu đồ so cùng kỳ'!$B$4:$AS$4</c:f>
              <c:strCache>
                <c:ptCount val="44"/>
                <c:pt idx="0">
                  <c:v>T1/13</c:v>
                </c:pt>
                <c:pt idx="1">
                  <c:v>T2/13</c:v>
                </c:pt>
                <c:pt idx="2">
                  <c:v>T3/13</c:v>
                </c:pt>
                <c:pt idx="3">
                  <c:v>T4/13</c:v>
                </c:pt>
                <c:pt idx="4">
                  <c:v>T5/13</c:v>
                </c:pt>
                <c:pt idx="5">
                  <c:v>T6/13</c:v>
                </c:pt>
                <c:pt idx="6">
                  <c:v>T7/13</c:v>
                </c:pt>
                <c:pt idx="7">
                  <c:v>T8/13</c:v>
                </c:pt>
                <c:pt idx="8">
                  <c:v>T9/13</c:v>
                </c:pt>
                <c:pt idx="9">
                  <c:v>T10/13</c:v>
                </c:pt>
                <c:pt idx="10">
                  <c:v>T11/13</c:v>
                </c:pt>
                <c:pt idx="11">
                  <c:v>T12/13</c:v>
                </c:pt>
                <c:pt idx="12">
                  <c:v>T1/14</c:v>
                </c:pt>
                <c:pt idx="13">
                  <c:v>T2/14</c:v>
                </c:pt>
                <c:pt idx="14">
                  <c:v>T3/14</c:v>
                </c:pt>
                <c:pt idx="15">
                  <c:v>T4/14</c:v>
                </c:pt>
                <c:pt idx="16">
                  <c:v>T5/14</c:v>
                </c:pt>
                <c:pt idx="17">
                  <c:v>T6/14</c:v>
                </c:pt>
                <c:pt idx="18">
                  <c:v>T7/14</c:v>
                </c:pt>
                <c:pt idx="19">
                  <c:v>T8/14</c:v>
                </c:pt>
                <c:pt idx="20">
                  <c:v>T9/14</c:v>
                </c:pt>
                <c:pt idx="21">
                  <c:v>T10/14</c:v>
                </c:pt>
                <c:pt idx="22">
                  <c:v>T11/14</c:v>
                </c:pt>
                <c:pt idx="23">
                  <c:v>T12/14</c:v>
                </c:pt>
                <c:pt idx="24">
                  <c:v>T1/15</c:v>
                </c:pt>
                <c:pt idx="25">
                  <c:v>T2/15</c:v>
                </c:pt>
                <c:pt idx="26">
                  <c:v>T3/15</c:v>
                </c:pt>
                <c:pt idx="27">
                  <c:v>T4/15</c:v>
                </c:pt>
                <c:pt idx="28">
                  <c:v>T5/15</c:v>
                </c:pt>
                <c:pt idx="29">
                  <c:v>T6/15</c:v>
                </c:pt>
                <c:pt idx="30">
                  <c:v>T7/15</c:v>
                </c:pt>
                <c:pt idx="31">
                  <c:v>T8/15</c:v>
                </c:pt>
                <c:pt idx="32">
                  <c:v>T9/15</c:v>
                </c:pt>
                <c:pt idx="33">
                  <c:v>T10/15</c:v>
                </c:pt>
                <c:pt idx="34">
                  <c:v>T11/15</c:v>
                </c:pt>
                <c:pt idx="35">
                  <c:v>T12/15</c:v>
                </c:pt>
                <c:pt idx="36">
                  <c:v>T1/16</c:v>
                </c:pt>
                <c:pt idx="37">
                  <c:v>T2/16</c:v>
                </c:pt>
                <c:pt idx="38">
                  <c:v>T3/16</c:v>
                </c:pt>
                <c:pt idx="39">
                  <c:v>T4/16</c:v>
                </c:pt>
                <c:pt idx="40">
                  <c:v>T5/16</c:v>
                </c:pt>
                <c:pt idx="41">
                  <c:v>T6/16</c:v>
                </c:pt>
                <c:pt idx="42">
                  <c:v>T7/16</c:v>
                </c:pt>
                <c:pt idx="43">
                  <c:v>T8/16</c:v>
                </c:pt>
              </c:strCache>
            </c:strRef>
          </c:cat>
          <c:val>
            <c:numRef>
              <c:f>'Biểu đồ so cùng kỳ'!$B$6:$AS$6</c:f>
            </c:numRef>
          </c:val>
          <c:smooth val="0"/>
        </c:ser>
        <c:ser>
          <c:idx val="2"/>
          <c:order val="2"/>
          <c:tx>
            <c:strRef>
              <c:f>'Biểu đồ so cùng kỳ'!$A$7</c:f>
              <c:strCache>
                <c:ptCount val="1"/>
                <c:pt idx="0">
                  <c:v>CPI trừ LTTP, xăng dầu</c:v>
                </c:pt>
              </c:strCache>
            </c:strRef>
          </c:tx>
          <c:cat>
            <c:strRef>
              <c:f>'Biểu đồ so cùng kỳ'!$B$4:$AS$4</c:f>
              <c:strCache>
                <c:ptCount val="44"/>
                <c:pt idx="0">
                  <c:v>T1/13</c:v>
                </c:pt>
                <c:pt idx="1">
                  <c:v>T2/13</c:v>
                </c:pt>
                <c:pt idx="2">
                  <c:v>T3/13</c:v>
                </c:pt>
                <c:pt idx="3">
                  <c:v>T4/13</c:v>
                </c:pt>
                <c:pt idx="4">
                  <c:v>T5/13</c:v>
                </c:pt>
                <c:pt idx="5">
                  <c:v>T6/13</c:v>
                </c:pt>
                <c:pt idx="6">
                  <c:v>T7/13</c:v>
                </c:pt>
                <c:pt idx="7">
                  <c:v>T8/13</c:v>
                </c:pt>
                <c:pt idx="8">
                  <c:v>T9/13</c:v>
                </c:pt>
                <c:pt idx="9">
                  <c:v>T10/13</c:v>
                </c:pt>
                <c:pt idx="10">
                  <c:v>T11/13</c:v>
                </c:pt>
                <c:pt idx="11">
                  <c:v>T12/13</c:v>
                </c:pt>
                <c:pt idx="12">
                  <c:v>T1/14</c:v>
                </c:pt>
                <c:pt idx="13">
                  <c:v>T2/14</c:v>
                </c:pt>
                <c:pt idx="14">
                  <c:v>T3/14</c:v>
                </c:pt>
                <c:pt idx="15">
                  <c:v>T4/14</c:v>
                </c:pt>
                <c:pt idx="16">
                  <c:v>T5/14</c:v>
                </c:pt>
                <c:pt idx="17">
                  <c:v>T6/14</c:v>
                </c:pt>
                <c:pt idx="18">
                  <c:v>T7/14</c:v>
                </c:pt>
                <c:pt idx="19">
                  <c:v>T8/14</c:v>
                </c:pt>
                <c:pt idx="20">
                  <c:v>T9/14</c:v>
                </c:pt>
                <c:pt idx="21">
                  <c:v>T10/14</c:v>
                </c:pt>
                <c:pt idx="22">
                  <c:v>T11/14</c:v>
                </c:pt>
                <c:pt idx="23">
                  <c:v>T12/14</c:v>
                </c:pt>
                <c:pt idx="24">
                  <c:v>T1/15</c:v>
                </c:pt>
                <c:pt idx="25">
                  <c:v>T2/15</c:v>
                </c:pt>
                <c:pt idx="26">
                  <c:v>T3/15</c:v>
                </c:pt>
                <c:pt idx="27">
                  <c:v>T4/15</c:v>
                </c:pt>
                <c:pt idx="28">
                  <c:v>T5/15</c:v>
                </c:pt>
                <c:pt idx="29">
                  <c:v>T6/15</c:v>
                </c:pt>
                <c:pt idx="30">
                  <c:v>T7/15</c:v>
                </c:pt>
                <c:pt idx="31">
                  <c:v>T8/15</c:v>
                </c:pt>
                <c:pt idx="32">
                  <c:v>T9/15</c:v>
                </c:pt>
                <c:pt idx="33">
                  <c:v>T10/15</c:v>
                </c:pt>
                <c:pt idx="34">
                  <c:v>T11/15</c:v>
                </c:pt>
                <c:pt idx="35">
                  <c:v>T12/15</c:v>
                </c:pt>
                <c:pt idx="36">
                  <c:v>T1/16</c:v>
                </c:pt>
                <c:pt idx="37">
                  <c:v>T2/16</c:v>
                </c:pt>
                <c:pt idx="38">
                  <c:v>T3/16</c:v>
                </c:pt>
                <c:pt idx="39">
                  <c:v>T4/16</c:v>
                </c:pt>
                <c:pt idx="40">
                  <c:v>T5/16</c:v>
                </c:pt>
                <c:pt idx="41">
                  <c:v>T6/16</c:v>
                </c:pt>
                <c:pt idx="42">
                  <c:v>T7/16</c:v>
                </c:pt>
                <c:pt idx="43">
                  <c:v>T8/16</c:v>
                </c:pt>
              </c:strCache>
            </c:strRef>
          </c:cat>
          <c:val>
            <c:numRef>
              <c:f>'Biểu đồ so cùng kỳ'!$B$7:$AS$7</c:f>
            </c:numRef>
          </c:val>
          <c:smooth val="0"/>
        </c:ser>
        <c:ser>
          <c:idx val="3"/>
          <c:order val="3"/>
          <c:tx>
            <c:strRef>
              <c:f>'Biểu đồ so cùng kỳ'!$A$8</c:f>
              <c:strCache>
                <c:ptCount val="1"/>
                <c:pt idx="0">
                  <c:v>CPI loại trừ yếu tố mùa vụ</c:v>
                </c:pt>
              </c:strCache>
            </c:strRef>
          </c:tx>
          <c:cat>
            <c:strRef>
              <c:f>'Biểu đồ so cùng kỳ'!$B$4:$AS$4</c:f>
              <c:strCache>
                <c:ptCount val="44"/>
                <c:pt idx="0">
                  <c:v>T1/13</c:v>
                </c:pt>
                <c:pt idx="1">
                  <c:v>T2/13</c:v>
                </c:pt>
                <c:pt idx="2">
                  <c:v>T3/13</c:v>
                </c:pt>
                <c:pt idx="3">
                  <c:v>T4/13</c:v>
                </c:pt>
                <c:pt idx="4">
                  <c:v>T5/13</c:v>
                </c:pt>
                <c:pt idx="5">
                  <c:v>T6/13</c:v>
                </c:pt>
                <c:pt idx="6">
                  <c:v>T7/13</c:v>
                </c:pt>
                <c:pt idx="7">
                  <c:v>T8/13</c:v>
                </c:pt>
                <c:pt idx="8">
                  <c:v>T9/13</c:v>
                </c:pt>
                <c:pt idx="9">
                  <c:v>T10/13</c:v>
                </c:pt>
                <c:pt idx="10">
                  <c:v>T11/13</c:v>
                </c:pt>
                <c:pt idx="11">
                  <c:v>T12/13</c:v>
                </c:pt>
                <c:pt idx="12">
                  <c:v>T1/14</c:v>
                </c:pt>
                <c:pt idx="13">
                  <c:v>T2/14</c:v>
                </c:pt>
                <c:pt idx="14">
                  <c:v>T3/14</c:v>
                </c:pt>
                <c:pt idx="15">
                  <c:v>T4/14</c:v>
                </c:pt>
                <c:pt idx="16">
                  <c:v>T5/14</c:v>
                </c:pt>
                <c:pt idx="17">
                  <c:v>T6/14</c:v>
                </c:pt>
                <c:pt idx="18">
                  <c:v>T7/14</c:v>
                </c:pt>
                <c:pt idx="19">
                  <c:v>T8/14</c:v>
                </c:pt>
                <c:pt idx="20">
                  <c:v>T9/14</c:v>
                </c:pt>
                <c:pt idx="21">
                  <c:v>T10/14</c:v>
                </c:pt>
                <c:pt idx="22">
                  <c:v>T11/14</c:v>
                </c:pt>
                <c:pt idx="23">
                  <c:v>T12/14</c:v>
                </c:pt>
                <c:pt idx="24">
                  <c:v>T1/15</c:v>
                </c:pt>
                <c:pt idx="25">
                  <c:v>T2/15</c:v>
                </c:pt>
                <c:pt idx="26">
                  <c:v>T3/15</c:v>
                </c:pt>
                <c:pt idx="27">
                  <c:v>T4/15</c:v>
                </c:pt>
                <c:pt idx="28">
                  <c:v>T5/15</c:v>
                </c:pt>
                <c:pt idx="29">
                  <c:v>T6/15</c:v>
                </c:pt>
                <c:pt idx="30">
                  <c:v>T7/15</c:v>
                </c:pt>
                <c:pt idx="31">
                  <c:v>T8/15</c:v>
                </c:pt>
                <c:pt idx="32">
                  <c:v>T9/15</c:v>
                </c:pt>
                <c:pt idx="33">
                  <c:v>T10/15</c:v>
                </c:pt>
                <c:pt idx="34">
                  <c:v>T11/15</c:v>
                </c:pt>
                <c:pt idx="35">
                  <c:v>T12/15</c:v>
                </c:pt>
                <c:pt idx="36">
                  <c:v>T1/16</c:v>
                </c:pt>
                <c:pt idx="37">
                  <c:v>T2/16</c:v>
                </c:pt>
                <c:pt idx="38">
                  <c:v>T3/16</c:v>
                </c:pt>
                <c:pt idx="39">
                  <c:v>T4/16</c:v>
                </c:pt>
                <c:pt idx="40">
                  <c:v>T5/16</c:v>
                </c:pt>
                <c:pt idx="41">
                  <c:v>T6/16</c:v>
                </c:pt>
                <c:pt idx="42">
                  <c:v>T7/16</c:v>
                </c:pt>
                <c:pt idx="43">
                  <c:v>T8/16</c:v>
                </c:pt>
              </c:strCache>
            </c:strRef>
          </c:cat>
          <c:val>
            <c:numRef>
              <c:f>'Biểu đồ so cùng kỳ'!$B$8:$AS$8</c:f>
            </c:numRef>
          </c:val>
          <c:smooth val="0"/>
        </c:ser>
        <c:dLbls>
          <c:showLegendKey val="0"/>
          <c:showVal val="0"/>
          <c:showCatName val="0"/>
          <c:showSerName val="0"/>
          <c:showPercent val="0"/>
          <c:showBubbleSize val="0"/>
        </c:dLbls>
        <c:marker val="1"/>
        <c:smooth val="0"/>
        <c:axId val="93942144"/>
        <c:axId val="93943680"/>
      </c:lineChart>
      <c:catAx>
        <c:axId val="93942144"/>
        <c:scaling>
          <c:orientation val="minMax"/>
        </c:scaling>
        <c:delete val="0"/>
        <c:axPos val="b"/>
        <c:majorTickMark val="out"/>
        <c:minorTickMark val="none"/>
        <c:tickLblPos val="low"/>
        <c:crossAx val="93943680"/>
        <c:crosses val="autoZero"/>
        <c:auto val="1"/>
        <c:lblAlgn val="ctr"/>
        <c:lblOffset val="80"/>
        <c:tickLblSkip val="3"/>
        <c:tickMarkSkip val="1"/>
        <c:noMultiLvlLbl val="0"/>
      </c:catAx>
      <c:valAx>
        <c:axId val="93943680"/>
        <c:scaling>
          <c:orientation val="minMax"/>
        </c:scaling>
        <c:delete val="0"/>
        <c:axPos val="l"/>
        <c:majorGridlines>
          <c:spPr>
            <a:ln>
              <a:prstDash val="sysDot"/>
            </a:ln>
          </c:spPr>
        </c:majorGridlines>
        <c:numFmt formatCode="0" sourceLinked="0"/>
        <c:majorTickMark val="out"/>
        <c:minorTickMark val="none"/>
        <c:tickLblPos val="nextTo"/>
        <c:spPr>
          <a:ln>
            <a:prstDash val="sysDot"/>
          </a:ln>
        </c:spPr>
        <c:crossAx val="93942144"/>
        <c:crossesAt val="2"/>
        <c:crossBetween val="between"/>
        <c:majorUnit val="2"/>
      </c:valAx>
      <c:valAx>
        <c:axId val="93945216"/>
        <c:scaling>
          <c:orientation val="minMax"/>
          <c:min val="-0.5"/>
        </c:scaling>
        <c:delete val="0"/>
        <c:axPos val="r"/>
        <c:numFmt formatCode="0.0" sourceLinked="0"/>
        <c:majorTickMark val="out"/>
        <c:minorTickMark val="none"/>
        <c:tickLblPos val="nextTo"/>
        <c:crossAx val="93947008"/>
        <c:crosses val="max"/>
        <c:crossBetween val="between"/>
        <c:majorUnit val="0.5"/>
        <c:minorUnit val="0.1"/>
      </c:valAx>
      <c:catAx>
        <c:axId val="93947008"/>
        <c:scaling>
          <c:orientation val="minMax"/>
        </c:scaling>
        <c:delete val="1"/>
        <c:axPos val="b"/>
        <c:majorTickMark val="out"/>
        <c:minorTickMark val="none"/>
        <c:tickLblPos val="none"/>
        <c:crossAx val="93945216"/>
        <c:crosses val="autoZero"/>
        <c:auto val="1"/>
        <c:lblAlgn val="ctr"/>
        <c:lblOffset val="100"/>
        <c:noMultiLvlLbl val="0"/>
      </c:catAx>
    </c:plotArea>
    <c:legend>
      <c:legendPos val="b"/>
      <c:layout>
        <c:manualLayout>
          <c:xMode val="edge"/>
          <c:yMode val="edge"/>
          <c:x val="1.9004825208208013E-2"/>
          <c:y val="0.81098873964796192"/>
          <c:w val="0.9441514536849227"/>
          <c:h val="0.16706899484053314"/>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388720640689153E-2"/>
          <c:y val="3.1688013247271142E-2"/>
          <c:w val="0.85954927428943173"/>
          <c:h val="0.65283300747160844"/>
        </c:manualLayout>
      </c:layout>
      <c:barChart>
        <c:barDir val="col"/>
        <c:grouping val="clustered"/>
        <c:varyColors val="0"/>
        <c:ser>
          <c:idx val="3"/>
          <c:order val="2"/>
          <c:tx>
            <c:v>Mùa vụ- Trục phải</c:v>
          </c:tx>
          <c:invertIfNegative val="0"/>
          <c:cat>
            <c:strRef>
              <c:f>'Phan ra lam phat T8.2016'!$A$3:$A$140</c:f>
              <c:strCache>
                <c:ptCount val="138"/>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pt idx="136">
                  <c:v>2016 M5</c:v>
                </c:pt>
                <c:pt idx="137">
                  <c:v>2016 M6 </c:v>
                </c:pt>
              </c:strCache>
            </c:strRef>
          </c:cat>
          <c:val>
            <c:numRef>
              <c:f>'Phan ra lam phat T8.2016'!$N$3:$N$142</c:f>
              <c:numCache>
                <c:formatCode>0.00</c:formatCode>
                <c:ptCount val="140"/>
                <c:pt idx="0">
                  <c:v>-9.6384912788810367E-2</c:v>
                </c:pt>
                <c:pt idx="1">
                  <c:v>0.11668171847212072</c:v>
                </c:pt>
                <c:pt idx="2">
                  <c:v>0.1680698181935103</c:v>
                </c:pt>
                <c:pt idx="3">
                  <c:v>3.4065387276649886E-2</c:v>
                </c:pt>
                <c:pt idx="4">
                  <c:v>-0.12646415029565006</c:v>
                </c:pt>
                <c:pt idx="5">
                  <c:v>-0.12871218055878941</c:v>
                </c:pt>
                <c:pt idx="6">
                  <c:v>-9.6278195983510201E-2</c:v>
                </c:pt>
                <c:pt idx="7">
                  <c:v>1.4636441265650117E-2</c:v>
                </c:pt>
                <c:pt idx="8">
                  <c:v>0.15556460422830037</c:v>
                </c:pt>
                <c:pt idx="9">
                  <c:v>0.10216758834108935</c:v>
                </c:pt>
                <c:pt idx="10">
                  <c:v>5.372404250570284E-3</c:v>
                </c:pt>
                <c:pt idx="11">
                  <c:v>-0.10267883197150066</c:v>
                </c:pt>
                <c:pt idx="12">
                  <c:v>-8.5409794550360033E-2</c:v>
                </c:pt>
                <c:pt idx="13">
                  <c:v>0.11418532206286969</c:v>
                </c:pt>
                <c:pt idx="14">
                  <c:v>0.10370830300855972</c:v>
                </c:pt>
                <c:pt idx="15">
                  <c:v>-3.5112153630496579E-3</c:v>
                </c:pt>
                <c:pt idx="16">
                  <c:v>-0.14631002030729962</c:v>
                </c:pt>
                <c:pt idx="17">
                  <c:v>-9.954217088807929E-2</c:v>
                </c:pt>
                <c:pt idx="18">
                  <c:v>-7.6783085778719951E-2</c:v>
                </c:pt>
                <c:pt idx="19">
                  <c:v>5.6016217559140137E-2</c:v>
                </c:pt>
                <c:pt idx="20">
                  <c:v>0.20138405155961969</c:v>
                </c:pt>
                <c:pt idx="21">
                  <c:v>0.13365834108833941</c:v>
                </c:pt>
                <c:pt idx="22">
                  <c:v>8.0628868503298638E-3</c:v>
                </c:pt>
                <c:pt idx="23">
                  <c:v>-0.1332633052789598</c:v>
                </c:pt>
                <c:pt idx="24">
                  <c:v>-8.7191513444009744E-2</c:v>
                </c:pt>
                <c:pt idx="25">
                  <c:v>6.472893853070974E-2</c:v>
                </c:pt>
                <c:pt idx="26">
                  <c:v>-1.3778452562339893E-2</c:v>
                </c:pt>
                <c:pt idx="27">
                  <c:v>-3.9221067784279945E-2</c:v>
                </c:pt>
                <c:pt idx="28">
                  <c:v>-0.16106725799144966</c:v>
                </c:pt>
                <c:pt idx="29">
                  <c:v>-5.1483051767520223E-2</c:v>
                </c:pt>
                <c:pt idx="30">
                  <c:v>-5.5614605266907091E-3</c:v>
                </c:pt>
                <c:pt idx="31">
                  <c:v>0.15971250996154929</c:v>
                </c:pt>
                <c:pt idx="32">
                  <c:v>0.32695712211859984</c:v>
                </c:pt>
                <c:pt idx="33">
                  <c:v>0.3377183636387609</c:v>
                </c:pt>
                <c:pt idx="34">
                  <c:v>-1.8868136378259241E-2</c:v>
                </c:pt>
                <c:pt idx="35">
                  <c:v>-0.44634974757340018</c:v>
                </c:pt>
                <c:pt idx="36">
                  <c:v>-0.29540735307979926</c:v>
                </c:pt>
                <c:pt idx="37">
                  <c:v>8.6287691257799864E-2</c:v>
                </c:pt>
                <c:pt idx="38">
                  <c:v>-0.29489398018590063</c:v>
                </c:pt>
                <c:pt idx="39">
                  <c:v>-0.34020639896530025</c:v>
                </c:pt>
                <c:pt idx="40">
                  <c:v>-0.57796955432569774</c:v>
                </c:pt>
                <c:pt idx="41">
                  <c:v>0.11829715984220004</c:v>
                </c:pt>
                <c:pt idx="42">
                  <c:v>0.27203300848750078</c:v>
                </c:pt>
                <c:pt idx="43">
                  <c:v>0.94842567159980051</c:v>
                </c:pt>
                <c:pt idx="44">
                  <c:v>1.2944713964494023</c:v>
                </c:pt>
                <c:pt idx="45">
                  <c:v>1.4096920069311021</c:v>
                </c:pt>
                <c:pt idx="46">
                  <c:v>-4.1123821389600565E-2</c:v>
                </c:pt>
                <c:pt idx="47">
                  <c:v>-1.0073775445913999</c:v>
                </c:pt>
                <c:pt idx="48">
                  <c:v>-4.0287975601219973E-2</c:v>
                </c:pt>
                <c:pt idx="49">
                  <c:v>-9.1322977616499684E-2</c:v>
                </c:pt>
                <c:pt idx="50">
                  <c:v>-0.33503958299099967</c:v>
                </c:pt>
                <c:pt idx="51">
                  <c:v>-0.16718028803411045</c:v>
                </c:pt>
                <c:pt idx="52">
                  <c:v>-9.1799250435640217E-2</c:v>
                </c:pt>
                <c:pt idx="53">
                  <c:v>6.8440584960379969E-2</c:v>
                </c:pt>
                <c:pt idx="54">
                  <c:v>7.1959395831989958E-2</c:v>
                </c:pt>
                <c:pt idx="55">
                  <c:v>8.6378858235280243E-2</c:v>
                </c:pt>
                <c:pt idx="56">
                  <c:v>0.11294617637039028</c:v>
                </c:pt>
                <c:pt idx="57">
                  <c:v>0.18801562294267971</c:v>
                </c:pt>
                <c:pt idx="58">
                  <c:v>-4.6486584236739716E-2</c:v>
                </c:pt>
                <c:pt idx="59">
                  <c:v>-0.38064450902675973</c:v>
                </c:pt>
                <c:pt idx="60">
                  <c:v>-0.33930167638285047</c:v>
                </c:pt>
                <c:pt idx="61">
                  <c:v>-0.10640243935890049</c:v>
                </c:pt>
                <c:pt idx="62">
                  <c:v>-0.27773053319675078</c:v>
                </c:pt>
                <c:pt idx="63">
                  <c:v>-0.15837369632298071</c:v>
                </c:pt>
                <c:pt idx="64">
                  <c:v>-4.7231537860490405E-2</c:v>
                </c:pt>
                <c:pt idx="65">
                  <c:v>0.24225872963724093</c:v>
                </c:pt>
                <c:pt idx="66">
                  <c:v>0.13738328334911115</c:v>
                </c:pt>
                <c:pt idx="67">
                  <c:v>0.30102358316092137</c:v>
                </c:pt>
                <c:pt idx="68">
                  <c:v>0.46137026438679934</c:v>
                </c:pt>
                <c:pt idx="69">
                  <c:v>0.59555499468292039</c:v>
                </c:pt>
                <c:pt idx="70">
                  <c:v>-0.13326860547729968</c:v>
                </c:pt>
                <c:pt idx="71">
                  <c:v>-0.69277425762170042</c:v>
                </c:pt>
                <c:pt idx="72">
                  <c:v>-0.5933834909831005</c:v>
                </c:pt>
                <c:pt idx="73">
                  <c:v>-0.21009205301780126</c:v>
                </c:pt>
                <c:pt idx="74">
                  <c:v>-0.25195960173420151</c:v>
                </c:pt>
                <c:pt idx="75">
                  <c:v>-5.548665738190197E-2</c:v>
                </c:pt>
                <c:pt idx="76">
                  <c:v>0.13574354114049936</c:v>
                </c:pt>
                <c:pt idx="77">
                  <c:v>0.42383525769350072</c:v>
                </c:pt>
                <c:pt idx="78">
                  <c:v>-9.6167465693501028E-2</c:v>
                </c:pt>
                <c:pt idx="79">
                  <c:v>0.31879128608489898</c:v>
                </c:pt>
                <c:pt idx="80">
                  <c:v>0.85131671252239749</c:v>
                </c:pt>
                <c:pt idx="81">
                  <c:v>1.3726420742140992</c:v>
                </c:pt>
                <c:pt idx="82">
                  <c:v>-0.25273004917469777</c:v>
                </c:pt>
                <c:pt idx="83">
                  <c:v>-0.75544522609039833</c:v>
                </c:pt>
                <c:pt idx="84">
                  <c:v>-0.5805414142010008</c:v>
                </c:pt>
                <c:pt idx="85">
                  <c:v>-2.8587510698301351E-2</c:v>
                </c:pt>
                <c:pt idx="86">
                  <c:v>0.16939724301389886</c:v>
                </c:pt>
                <c:pt idx="87">
                  <c:v>9.5296569179600693E-2</c:v>
                </c:pt>
                <c:pt idx="88">
                  <c:v>2.2263018834200576E-2</c:v>
                </c:pt>
                <c:pt idx="89">
                  <c:v>-9.4346181815049932E-2</c:v>
                </c:pt>
                <c:pt idx="90">
                  <c:v>-0.25792152105097982</c:v>
                </c:pt>
                <c:pt idx="91">
                  <c:v>-0.13608214267500968</c:v>
                </c:pt>
                <c:pt idx="92">
                  <c:v>0.23406653875902977</c:v>
                </c:pt>
                <c:pt idx="93">
                  <c:v>0.45638526985233985</c:v>
                </c:pt>
                <c:pt idx="94">
                  <c:v>7.9396770301460903E-2</c:v>
                </c:pt>
                <c:pt idx="95">
                  <c:v>-7.432686641660971E-2</c:v>
                </c:pt>
                <c:pt idx="96">
                  <c:v>2.9235201439794544E-3</c:v>
                </c:pt>
                <c:pt idx="97">
                  <c:v>0.14751291012961071</c:v>
                </c:pt>
                <c:pt idx="98">
                  <c:v>0.24121323435984021</c:v>
                </c:pt>
                <c:pt idx="99">
                  <c:v>0.14675311566527949</c:v>
                </c:pt>
                <c:pt idx="100">
                  <c:v>-0.1077508687243105</c:v>
                </c:pt>
                <c:pt idx="101">
                  <c:v>-0.4004954017699901</c:v>
                </c:pt>
                <c:pt idx="102">
                  <c:v>-0.66900955407349083</c:v>
                </c:pt>
                <c:pt idx="103">
                  <c:v>-0.51189013446833975</c:v>
                </c:pt>
                <c:pt idx="104">
                  <c:v>0.23214442015722991</c:v>
                </c:pt>
                <c:pt idx="105">
                  <c:v>0.41755083036940044</c:v>
                </c:pt>
                <c:pt idx="106">
                  <c:v>0.23145898787838975</c:v>
                </c:pt>
                <c:pt idx="107">
                  <c:v>0.16614585265296983</c:v>
                </c:pt>
                <c:pt idx="108">
                  <c:v>0.25374980552540993</c:v>
                </c:pt>
                <c:pt idx="109">
                  <c:v>0.26153475013492056</c:v>
                </c:pt>
                <c:pt idx="110">
                  <c:v>0.2670794918315203</c:v>
                </c:pt>
                <c:pt idx="111">
                  <c:v>0.11549640277385992</c:v>
                </c:pt>
                <c:pt idx="112">
                  <c:v>-0.21754503852085003</c:v>
                </c:pt>
                <c:pt idx="113">
                  <c:v>-0.51522770297578013</c:v>
                </c:pt>
                <c:pt idx="114">
                  <c:v>-0.6397153210068105</c:v>
                </c:pt>
                <c:pt idx="115">
                  <c:v>-0.44909581928468978</c:v>
                </c:pt>
                <c:pt idx="116">
                  <c:v>0.17993211574345971</c:v>
                </c:pt>
                <c:pt idx="117">
                  <c:v>0.28241488268280002</c:v>
                </c:pt>
                <c:pt idx="118">
                  <c:v>0.20013151304832988</c:v>
                </c:pt>
                <c:pt idx="119">
                  <c:v>0.10212437002623005</c:v>
                </c:pt>
                <c:pt idx="120">
                  <c:v>8.1330713950800132E-2</c:v>
                </c:pt>
                <c:pt idx="121">
                  <c:v>2.5001639973980978E-2</c:v>
                </c:pt>
                <c:pt idx="122">
                  <c:v>6.6768535299184917E-2</c:v>
                </c:pt>
                <c:pt idx="123">
                  <c:v>2.6634334031889979E-2</c:v>
                </c:pt>
                <c:pt idx="124">
                  <c:v>-6.7553633050467937E-2</c:v>
                </c:pt>
                <c:pt idx="125">
                  <c:v>-0.13392763064149316</c:v>
                </c:pt>
                <c:pt idx="126">
                  <c:v>-0.12818860603617893</c:v>
                </c:pt>
                <c:pt idx="127">
                  <c:v>-0.10074934459816398</c:v>
                </c:pt>
                <c:pt idx="128">
                  <c:v>5.7098302270930109E-5</c:v>
                </c:pt>
                <c:pt idx="129">
                  <c:v>1.0075876864307012E-4</c:v>
                </c:pt>
                <c:pt idx="130">
                  <c:v>3.2834380078974018E-2</c:v>
                </c:pt>
                <c:pt idx="131">
                  <c:v>4.2064840324228983E-2</c:v>
                </c:pt>
                <c:pt idx="132">
                  <c:v>8.6563452450470979E-2</c:v>
                </c:pt>
                <c:pt idx="133">
                  <c:v>0.11368638608082995</c:v>
                </c:pt>
                <c:pt idx="134">
                  <c:v>0.1406783066139301</c:v>
                </c:pt>
                <c:pt idx="135">
                  <c:v>4.6153688499110064E-2</c:v>
                </c:pt>
                <c:pt idx="136">
                  <c:v>-0.19698748051457976</c:v>
                </c:pt>
                <c:pt idx="137">
                  <c:v>-0.36052553580314017</c:v>
                </c:pt>
                <c:pt idx="138">
                  <c:v>-0.37622710872329002</c:v>
                </c:pt>
                <c:pt idx="139">
                  <c:v>-0.32195967825422023</c:v>
                </c:pt>
              </c:numCache>
            </c:numRef>
          </c:val>
        </c:ser>
        <c:dLbls>
          <c:showLegendKey val="0"/>
          <c:showVal val="0"/>
          <c:showCatName val="0"/>
          <c:showSerName val="0"/>
          <c:showPercent val="0"/>
          <c:showBubbleSize val="0"/>
        </c:dLbls>
        <c:gapWidth val="150"/>
        <c:axId val="94647040"/>
        <c:axId val="94645248"/>
      </c:barChart>
      <c:lineChart>
        <c:grouping val="standard"/>
        <c:varyColors val="0"/>
        <c:ser>
          <c:idx val="1"/>
          <c:order val="0"/>
          <c:tx>
            <c:v>Thành phần xu hướng-trục trái</c:v>
          </c:tx>
          <c:spPr>
            <a:ln w="19050">
              <a:prstDash val="sysDash"/>
            </a:ln>
          </c:spPr>
          <c:marker>
            <c:symbol val="none"/>
          </c:marker>
          <c:cat>
            <c:strRef>
              <c:f>'Phan ra lam phat T8.2016'!$A$3:$A$142</c:f>
              <c:strCache>
                <c:ptCount val="140"/>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pt idx="136">
                  <c:v>2016 M5</c:v>
                </c:pt>
                <c:pt idx="137">
                  <c:v>2016 M6 </c:v>
                </c:pt>
                <c:pt idx="138">
                  <c:v>2016 M7</c:v>
                </c:pt>
                <c:pt idx="139">
                  <c:v>2016 M8</c:v>
                </c:pt>
              </c:strCache>
            </c:strRef>
          </c:cat>
          <c:val>
            <c:numRef>
              <c:f>'Phan ra lam phat T8.2016'!$H$3:$H$142</c:f>
              <c:numCache>
                <c:formatCode>0.00</c:formatCode>
                <c:ptCount val="140"/>
                <c:pt idx="0">
                  <c:v>7.0579205738730684</c:v>
                </c:pt>
                <c:pt idx="1">
                  <c:v>7.1417975501636599</c:v>
                </c:pt>
                <c:pt idx="2">
                  <c:v>7.2258513107954476</c:v>
                </c:pt>
                <c:pt idx="3">
                  <c:v>7.3104027292880085</c:v>
                </c:pt>
                <c:pt idx="4">
                  <c:v>7.3958658887794586</c:v>
                </c:pt>
                <c:pt idx="5">
                  <c:v>7.4827398489813985</c:v>
                </c:pt>
                <c:pt idx="6">
                  <c:v>7.571563785574944</c:v>
                </c:pt>
                <c:pt idx="7">
                  <c:v>7.6628760789613777</c:v>
                </c:pt>
                <c:pt idx="8">
                  <c:v>7.7572034538488115</c:v>
                </c:pt>
                <c:pt idx="9">
                  <c:v>7.8550484516372086</c:v>
                </c:pt>
                <c:pt idx="10">
                  <c:v>7.9569273888063901</c:v>
                </c:pt>
                <c:pt idx="11">
                  <c:v>8.0633945762206949</c:v>
                </c:pt>
                <c:pt idx="12">
                  <c:v>8.1750424112038438</c:v>
                </c:pt>
                <c:pt idx="13">
                  <c:v>8.2924795359817942</c:v>
                </c:pt>
                <c:pt idx="14">
                  <c:v>8.4163520613773102</c:v>
                </c:pt>
                <c:pt idx="15">
                  <c:v>8.5473214944482958</c:v>
                </c:pt>
                <c:pt idx="16">
                  <c:v>8.6860067975472255</c:v>
                </c:pt>
                <c:pt idx="17">
                  <c:v>8.8329400696439162</c:v>
                </c:pt>
                <c:pt idx="18">
                  <c:v>8.9885608877069796</c:v>
                </c:pt>
                <c:pt idx="19">
                  <c:v>9.1532162952160796</c:v>
                </c:pt>
                <c:pt idx="20">
                  <c:v>9.3271446312083146</c:v>
                </c:pt>
                <c:pt idx="21">
                  <c:v>9.510473318048664</c:v>
                </c:pt>
                <c:pt idx="22">
                  <c:v>9.7031752113952408</c:v>
                </c:pt>
                <c:pt idx="23">
                  <c:v>9.9050372769771844</c:v>
                </c:pt>
                <c:pt idx="24">
                  <c:v>10.115652375501103</c:v>
                </c:pt>
                <c:pt idx="25">
                  <c:v>10.334374596799799</c:v>
                </c:pt>
                <c:pt idx="26">
                  <c:v>10.560297416547103</c:v>
                </c:pt>
                <c:pt idx="27">
                  <c:v>10.792252529468502</c:v>
                </c:pt>
                <c:pt idx="28">
                  <c:v>11.0288095416874</c:v>
                </c:pt>
                <c:pt idx="29">
                  <c:v>11.268283095882699</c:v>
                </c:pt>
                <c:pt idx="30">
                  <c:v>11.508718398844699</c:v>
                </c:pt>
                <c:pt idx="31">
                  <c:v>11.747916229158999</c:v>
                </c:pt>
                <c:pt idx="32">
                  <c:v>11.983460401532</c:v>
                </c:pt>
                <c:pt idx="33">
                  <c:v>12.212725133189602</c:v>
                </c:pt>
                <c:pt idx="34">
                  <c:v>12.432886273074306</c:v>
                </c:pt>
                <c:pt idx="35">
                  <c:v>12.640943627991998</c:v>
                </c:pt>
                <c:pt idx="36">
                  <c:v>12.8337274384702</c:v>
                </c:pt>
                <c:pt idx="37">
                  <c:v>13.008036188551699</c:v>
                </c:pt>
                <c:pt idx="38">
                  <c:v>13.160736477919103</c:v>
                </c:pt>
                <c:pt idx="39">
                  <c:v>13.288885757053601</c:v>
                </c:pt>
                <c:pt idx="40">
                  <c:v>13.389953585432499</c:v>
                </c:pt>
                <c:pt idx="41">
                  <c:v>13.461950557799904</c:v>
                </c:pt>
                <c:pt idx="42">
                  <c:v>13.5036672742375</c:v>
                </c:pt>
                <c:pt idx="43">
                  <c:v>13.514828803341098</c:v>
                </c:pt>
                <c:pt idx="44">
                  <c:v>13.496119127993399</c:v>
                </c:pt>
                <c:pt idx="45">
                  <c:v>13.4493162308598</c:v>
                </c:pt>
                <c:pt idx="46">
                  <c:v>13.377288257957703</c:v>
                </c:pt>
                <c:pt idx="47">
                  <c:v>13.2839228258443</c:v>
                </c:pt>
                <c:pt idx="48">
                  <c:v>13.173857661349302</c:v>
                </c:pt>
                <c:pt idx="49">
                  <c:v>13.052119289887607</c:v>
                </c:pt>
                <c:pt idx="50">
                  <c:v>12.922897837871703</c:v>
                </c:pt>
                <c:pt idx="51">
                  <c:v>12.7906845815565</c:v>
                </c:pt>
                <c:pt idx="52">
                  <c:v>12.659831357098204</c:v>
                </c:pt>
                <c:pt idx="53">
                  <c:v>12.534431121148399</c:v>
                </c:pt>
                <c:pt idx="54">
                  <c:v>12.418078800455197</c:v>
                </c:pt>
                <c:pt idx="55">
                  <c:v>12.313777239090603</c:v>
                </c:pt>
                <c:pt idx="56">
                  <c:v>12.223901772834596</c:v>
                </c:pt>
                <c:pt idx="57">
                  <c:v>12.1501154181353</c:v>
                </c:pt>
                <c:pt idx="58">
                  <c:v>12.0934082084131</c:v>
                </c:pt>
                <c:pt idx="59">
                  <c:v>12.054147114602802</c:v>
                </c:pt>
                <c:pt idx="60">
                  <c:v>12.032158142722896</c:v>
                </c:pt>
                <c:pt idx="61">
                  <c:v>12.026856549373704</c:v>
                </c:pt>
                <c:pt idx="62">
                  <c:v>12.037327628667898</c:v>
                </c:pt>
                <c:pt idx="63">
                  <c:v>12.062401587288706</c:v>
                </c:pt>
                <c:pt idx="64">
                  <c:v>12.100710363991098</c:v>
                </c:pt>
                <c:pt idx="65">
                  <c:v>12.150678204802302</c:v>
                </c:pt>
                <c:pt idx="66">
                  <c:v>12.210514220895</c:v>
                </c:pt>
                <c:pt idx="67">
                  <c:v>12.278204022089801</c:v>
                </c:pt>
                <c:pt idx="68">
                  <c:v>12.351463556336205</c:v>
                </c:pt>
                <c:pt idx="69">
                  <c:v>12.427745078497903</c:v>
                </c:pt>
                <c:pt idx="70">
                  <c:v>12.504345975849002</c:v>
                </c:pt>
                <c:pt idx="71">
                  <c:v>12.578361400240892</c:v>
                </c:pt>
                <c:pt idx="72">
                  <c:v>12.646779030290196</c:v>
                </c:pt>
                <c:pt idx="73">
                  <c:v>12.706480910192903</c:v>
                </c:pt>
                <c:pt idx="74">
                  <c:v>12.754274767303301</c:v>
                </c:pt>
                <c:pt idx="75">
                  <c:v>12.786926205853</c:v>
                </c:pt>
                <c:pt idx="76">
                  <c:v>12.801262202687203</c:v>
                </c:pt>
                <c:pt idx="77">
                  <c:v>12.794433872646502</c:v>
                </c:pt>
                <c:pt idx="78">
                  <c:v>12.7640863917755</c:v>
                </c:pt>
                <c:pt idx="79">
                  <c:v>12.708451700104098</c:v>
                </c:pt>
                <c:pt idx="80">
                  <c:v>12.626407553366306</c:v>
                </c:pt>
                <c:pt idx="81">
                  <c:v>12.517569925323</c:v>
                </c:pt>
                <c:pt idx="82">
                  <c:v>12.382294019538007</c:v>
                </c:pt>
                <c:pt idx="83">
                  <c:v>12.221660391807401</c:v>
                </c:pt>
                <c:pt idx="84">
                  <c:v>12.0372492490337</c:v>
                </c:pt>
                <c:pt idx="85">
                  <c:v>11.830998638007204</c:v>
                </c:pt>
                <c:pt idx="86">
                  <c:v>11.605169675610799</c:v>
                </c:pt>
                <c:pt idx="87">
                  <c:v>11.362341563022802</c:v>
                </c:pt>
                <c:pt idx="88">
                  <c:v>11.1052819894471</c:v>
                </c:pt>
                <c:pt idx="89">
                  <c:v>10.8367081548516</c:v>
                </c:pt>
                <c:pt idx="90">
                  <c:v>10.559146771776003</c:v>
                </c:pt>
                <c:pt idx="91">
                  <c:v>10.274844618430899</c:v>
                </c:pt>
                <c:pt idx="92">
                  <c:v>9.9856688155066671</c:v>
                </c:pt>
                <c:pt idx="93">
                  <c:v>9.6931135026683517</c:v>
                </c:pt>
                <c:pt idx="94">
                  <c:v>9.3984456249787094</c:v>
                </c:pt>
                <c:pt idx="95">
                  <c:v>9.1027767991509005</c:v>
                </c:pt>
                <c:pt idx="96">
                  <c:v>8.8070242635054097</c:v>
                </c:pt>
                <c:pt idx="97">
                  <c:v>8.5119408741637095</c:v>
                </c:pt>
                <c:pt idx="98">
                  <c:v>8.2181590635845225</c:v>
                </c:pt>
                <c:pt idx="99">
                  <c:v>7.9262179011735618</c:v>
                </c:pt>
                <c:pt idx="100">
                  <c:v>7.6365636128761221</c:v>
                </c:pt>
                <c:pt idx="101">
                  <c:v>7.3495612118052298</c:v>
                </c:pt>
                <c:pt idx="102">
                  <c:v>7.0654795781237478</c:v>
                </c:pt>
                <c:pt idx="103">
                  <c:v>6.7845139769519767</c:v>
                </c:pt>
                <c:pt idx="104">
                  <c:v>6.50682880610933</c:v>
                </c:pt>
                <c:pt idx="105">
                  <c:v>6.2326026020186323</c:v>
                </c:pt>
                <c:pt idx="106">
                  <c:v>5.9620156591314277</c:v>
                </c:pt>
                <c:pt idx="107">
                  <c:v>5.6952555599707066</c:v>
                </c:pt>
                <c:pt idx="108">
                  <c:v>5.4325133206239498</c:v>
                </c:pt>
                <c:pt idx="109">
                  <c:v>5.1740154356711603</c:v>
                </c:pt>
                <c:pt idx="110">
                  <c:v>4.9200134855593518</c:v>
                </c:pt>
                <c:pt idx="111">
                  <c:v>4.6707686006879499</c:v>
                </c:pt>
                <c:pt idx="112">
                  <c:v>4.4265236521512499</c:v>
                </c:pt>
                <c:pt idx="113">
                  <c:v>4.1875142004742365</c:v>
                </c:pt>
                <c:pt idx="114">
                  <c:v>3.9539810791895098</c:v>
                </c:pt>
                <c:pt idx="115">
                  <c:v>3.7261843758641509</c:v>
                </c:pt>
                <c:pt idx="116">
                  <c:v>3.5044082269263099</c:v>
                </c:pt>
                <c:pt idx="117">
                  <c:v>3.2889461243461797</c:v>
                </c:pt>
                <c:pt idx="118">
                  <c:v>3.080112082586191</c:v>
                </c:pt>
                <c:pt idx="119">
                  <c:v>2.878235634772579</c:v>
                </c:pt>
                <c:pt idx="120">
                  <c:v>2.6836268709364712</c:v>
                </c:pt>
                <c:pt idx="121">
                  <c:v>2.49653087338225</c:v>
                </c:pt>
                <c:pt idx="122">
                  <c:v>2.3170772871812</c:v>
                </c:pt>
                <c:pt idx="123">
                  <c:v>2.1452477345411598</c:v>
                </c:pt>
                <c:pt idx="124">
                  <c:v>1.9809321495622205</c:v>
                </c:pt>
                <c:pt idx="125">
                  <c:v>1.8239420904138399</c:v>
                </c:pt>
                <c:pt idx="126">
                  <c:v>1.6740128315306309</c:v>
                </c:pt>
                <c:pt idx="127">
                  <c:v>1.5308131286165105</c:v>
                </c:pt>
                <c:pt idx="128">
                  <c:v>1.3939463067200699</c:v>
                </c:pt>
                <c:pt idx="129">
                  <c:v>1.26296002682921</c:v>
                </c:pt>
                <c:pt idx="130">
                  <c:v>1.13730522151463</c:v>
                </c:pt>
                <c:pt idx="131">
                  <c:v>1.0163451942311501</c:v>
                </c:pt>
                <c:pt idx="132">
                  <c:v>0.89939016018073381</c:v>
                </c:pt>
                <c:pt idx="133">
                  <c:v>0.7857243428740982</c:v>
                </c:pt>
                <c:pt idx="134">
                  <c:v>0.67463107507836428</c:v>
                </c:pt>
                <c:pt idx="135">
                  <c:v>0.56543521470254599</c:v>
                </c:pt>
                <c:pt idx="136">
                  <c:v>0.45754190071340001</c:v>
                </c:pt>
                <c:pt idx="137">
                  <c:v>0.35045146086058798</c:v>
                </c:pt>
                <c:pt idx="138">
                  <c:v>0.24377710279785206</c:v>
                </c:pt>
                <c:pt idx="139">
                  <c:v>0.13724932744305199</c:v>
                </c:pt>
              </c:numCache>
            </c:numRef>
          </c:val>
          <c:smooth val="1"/>
        </c:ser>
        <c:ser>
          <c:idx val="2"/>
          <c:order val="1"/>
          <c:tx>
            <c:v>Thành phần chu kì-trục trái</c:v>
          </c:tx>
          <c:marker>
            <c:symbol val="none"/>
          </c:marker>
          <c:cat>
            <c:strRef>
              <c:f>'Phan ra lam phat T8.2016'!$A$3:$A$142</c:f>
              <c:strCache>
                <c:ptCount val="140"/>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pt idx="136">
                  <c:v>2016 M5</c:v>
                </c:pt>
                <c:pt idx="137">
                  <c:v>2016 M6 </c:v>
                </c:pt>
                <c:pt idx="138">
                  <c:v>2016 M7</c:v>
                </c:pt>
                <c:pt idx="139">
                  <c:v>2016 M8</c:v>
                </c:pt>
              </c:strCache>
            </c:strRef>
          </c:cat>
          <c:val>
            <c:numRef>
              <c:f>'Phan ra lam phat T8.2016'!$K$3:$K$142</c:f>
              <c:numCache>
                <c:formatCode>0.00</c:formatCode>
                <c:ptCount val="140"/>
                <c:pt idx="0">
                  <c:v>2.5456945133380997</c:v>
                </c:pt>
                <c:pt idx="1">
                  <c:v>2.07488416830846</c:v>
                </c:pt>
                <c:pt idx="2">
                  <c:v>1.3422185073980504</c:v>
                </c:pt>
                <c:pt idx="3">
                  <c:v>1.2236626579886294</c:v>
                </c:pt>
                <c:pt idx="4">
                  <c:v>0.5776699609248892</c:v>
                </c:pt>
                <c:pt idx="5">
                  <c:v>-1.14520295401918E-2</c:v>
                </c:pt>
                <c:pt idx="6">
                  <c:v>-0.16784198155845706</c:v>
                </c:pt>
                <c:pt idx="7">
                  <c:v>-0.34823963769572991</c:v>
                </c:pt>
                <c:pt idx="8">
                  <c:v>0.19836115037948199</c:v>
                </c:pt>
                <c:pt idx="9">
                  <c:v>0.54711913670387824</c:v>
                </c:pt>
                <c:pt idx="10">
                  <c:v>0.54844501544417745</c:v>
                </c:pt>
                <c:pt idx="11">
                  <c:v>0.23392659180780606</c:v>
                </c:pt>
                <c:pt idx="12">
                  <c:v>0.53954779424579502</c:v>
                </c:pt>
                <c:pt idx="13">
                  <c:v>0.22170578608107205</c:v>
                </c:pt>
                <c:pt idx="14">
                  <c:v>-0.6126437583687534</c:v>
                </c:pt>
                <c:pt idx="15">
                  <c:v>-1.2508327098113501</c:v>
                </c:pt>
                <c:pt idx="16">
                  <c:v>-1.3323168178545199</c:v>
                </c:pt>
                <c:pt idx="17">
                  <c:v>-1.33248224053199</c:v>
                </c:pt>
                <c:pt idx="18">
                  <c:v>-1.5653439734857004</c:v>
                </c:pt>
                <c:pt idx="19">
                  <c:v>-1.5972000776569399</c:v>
                </c:pt>
                <c:pt idx="20">
                  <c:v>-2.2257605796486901</c:v>
                </c:pt>
                <c:pt idx="21">
                  <c:v>-2.67681497696032</c:v>
                </c:pt>
                <c:pt idx="22">
                  <c:v>-2.7951123245449101</c:v>
                </c:pt>
                <c:pt idx="23">
                  <c:v>-3.4383005822561401</c:v>
                </c:pt>
                <c:pt idx="24">
                  <c:v>-3.7528438889450997</c:v>
                </c:pt>
                <c:pt idx="25">
                  <c:v>-3.76964565826909</c:v>
                </c:pt>
                <c:pt idx="26">
                  <c:v>-3.7740758691094998</c:v>
                </c:pt>
                <c:pt idx="27">
                  <c:v>-3.6714735972528598</c:v>
                </c:pt>
                <c:pt idx="28">
                  <c:v>-3.8798767996788381</c:v>
                </c:pt>
                <c:pt idx="29">
                  <c:v>-3.51976614765023</c:v>
                </c:pt>
                <c:pt idx="30">
                  <c:v>-3.1242798593714509</c:v>
                </c:pt>
                <c:pt idx="31">
                  <c:v>-3.0182037191975302</c:v>
                </c:pt>
                <c:pt idx="32">
                  <c:v>-2.8565032794134493</c:v>
                </c:pt>
                <c:pt idx="33">
                  <c:v>-2.5350067695508391</c:v>
                </c:pt>
                <c:pt idx="34">
                  <c:v>-2.4417544094525798</c:v>
                </c:pt>
                <c:pt idx="35">
                  <c:v>-0.45729337556545202</c:v>
                </c:pt>
                <c:pt idx="36">
                  <c:v>0.98086520845000102</c:v>
                </c:pt>
                <c:pt idx="37">
                  <c:v>2.748251502706061</c:v>
                </c:pt>
                <c:pt idx="38">
                  <c:v>5.934369541894962</c:v>
                </c:pt>
                <c:pt idx="39">
                  <c:v>7.7909078439810395</c:v>
                </c:pt>
                <c:pt idx="40">
                  <c:v>11.232076860241699</c:v>
                </c:pt>
                <c:pt idx="41">
                  <c:v>13.456346602042204</c:v>
                </c:pt>
                <c:pt idx="42">
                  <c:v>13.8083657342499</c:v>
                </c:pt>
                <c:pt idx="43">
                  <c:v>15.753596868258605</c:v>
                </c:pt>
                <c:pt idx="44">
                  <c:v>15.698352268455896</c:v>
                </c:pt>
                <c:pt idx="45">
                  <c:v>14.680375776071196</c:v>
                </c:pt>
                <c:pt idx="46">
                  <c:v>10.801587920652604</c:v>
                </c:pt>
                <c:pt idx="47">
                  <c:v>5.5986996295642104</c:v>
                </c:pt>
                <c:pt idx="48">
                  <c:v>-12.044145636950498</c:v>
                </c:pt>
                <c:pt idx="49">
                  <c:v>4.3365577324958204</c:v>
                </c:pt>
                <c:pt idx="50">
                  <c:v>-2.0079374208627407</c:v>
                </c:pt>
                <c:pt idx="51">
                  <c:v>-3.7278648695906202</c:v>
                </c:pt>
                <c:pt idx="52">
                  <c:v>-7.1716306075339098</c:v>
                </c:pt>
                <c:pt idx="53">
                  <c:v>-8.5259905361881039</c:v>
                </c:pt>
                <c:pt idx="54">
                  <c:v>-9.0361194046232605</c:v>
                </c:pt>
                <c:pt idx="55">
                  <c:v>-10.257398380855298</c:v>
                </c:pt>
                <c:pt idx="56">
                  <c:v>-9.6909555964642635</c:v>
                </c:pt>
                <c:pt idx="57">
                  <c:v>-8.9720997951926442</c:v>
                </c:pt>
                <c:pt idx="58">
                  <c:v>-7.7898947926498918</c:v>
                </c:pt>
                <c:pt idx="59">
                  <c:v>-5.9147916236295801</c:v>
                </c:pt>
                <c:pt idx="60">
                  <c:v>-4.7514598191057695</c:v>
                </c:pt>
                <c:pt idx="61">
                  <c:v>-3.6732589887325799</c:v>
                </c:pt>
                <c:pt idx="62">
                  <c:v>-2.8550581618646884</c:v>
                </c:pt>
                <c:pt idx="63">
                  <c:v>-2.9907752836116797</c:v>
                </c:pt>
                <c:pt idx="64">
                  <c:v>-3.0979419018516001</c:v>
                </c:pt>
                <c:pt idx="65">
                  <c:v>-3.2184194751650597</c:v>
                </c:pt>
                <c:pt idx="66">
                  <c:v>-3.8831309375459608</c:v>
                </c:pt>
                <c:pt idx="67">
                  <c:v>-3.7971804389288799</c:v>
                </c:pt>
                <c:pt idx="68">
                  <c:v>-2.230093291949411</c:v>
                </c:pt>
                <c:pt idx="69">
                  <c:v>-2.9121900838150592</c:v>
                </c:pt>
                <c:pt idx="70">
                  <c:v>-1.54761458132635</c:v>
                </c:pt>
                <c:pt idx="71">
                  <c:v>-1.5211356578626094</c:v>
                </c:pt>
                <c:pt idx="72">
                  <c:v>-1.0701625212733108</c:v>
                </c:pt>
                <c:pt idx="73">
                  <c:v>-0.60657296321074072</c:v>
                </c:pt>
                <c:pt idx="74">
                  <c:v>0.88376563096249505</c:v>
                </c:pt>
                <c:pt idx="75">
                  <c:v>4.6675871367650146</c:v>
                </c:pt>
                <c:pt idx="76">
                  <c:v>7.1144813384532162</c:v>
                </c:pt>
                <c:pt idx="77">
                  <c:v>8.4494013850469596</c:v>
                </c:pt>
                <c:pt idx="78">
                  <c:v>9.29974614253093</c:v>
                </c:pt>
                <c:pt idx="79">
                  <c:v>10.6303395859807</c:v>
                </c:pt>
                <c:pt idx="80">
                  <c:v>10.644909159156001</c:v>
                </c:pt>
                <c:pt idx="81">
                  <c:v>10.445072148891001</c:v>
                </c:pt>
                <c:pt idx="82">
                  <c:v>7.1949759312872459</c:v>
                </c:pt>
                <c:pt idx="83">
                  <c:v>5.15289438210218</c:v>
                </c:pt>
                <c:pt idx="84">
                  <c:v>4.6522093367652575</c:v>
                </c:pt>
                <c:pt idx="85">
                  <c:v>4.5804138512944981</c:v>
                </c:pt>
                <c:pt idx="86">
                  <c:v>2.7142275674030709</c:v>
                </c:pt>
                <c:pt idx="87">
                  <c:v>-0.72704499384328425</c:v>
                </c:pt>
                <c:pt idx="88">
                  <c:v>-2.7430189706129315</c:v>
                </c:pt>
                <c:pt idx="89">
                  <c:v>-4.0310543366667186</c:v>
                </c:pt>
                <c:pt idx="90">
                  <c:v>-5.4670682928270598</c:v>
                </c:pt>
                <c:pt idx="91">
                  <c:v>-5.3709267611059781</c:v>
                </c:pt>
                <c:pt idx="92">
                  <c:v>-3.2716022767476298</c:v>
                </c:pt>
                <c:pt idx="93">
                  <c:v>-2.2367282328160099</c:v>
                </c:pt>
                <c:pt idx="94">
                  <c:v>-2.799048854677249</c:v>
                </c:pt>
                <c:pt idx="95">
                  <c:v>-2.3671036655675111</c:v>
                </c:pt>
                <c:pt idx="96">
                  <c:v>-1.7341007433614299</c:v>
                </c:pt>
                <c:pt idx="97">
                  <c:v>-1.3444279640340904</c:v>
                </c:pt>
                <c:pt idx="98">
                  <c:v>-1.3369458292247005</c:v>
                </c:pt>
                <c:pt idx="99">
                  <c:v>-1.1694647855082798</c:v>
                </c:pt>
                <c:pt idx="100">
                  <c:v>-1.38431448160043</c:v>
                </c:pt>
                <c:pt idx="101">
                  <c:v>-1.0600566135752201</c:v>
                </c:pt>
                <c:pt idx="102">
                  <c:v>-0.44448913219724812</c:v>
                </c:pt>
                <c:pt idx="103">
                  <c:v>0.20359588857967806</c:v>
                </c:pt>
                <c:pt idx="104">
                  <c:v>2.5315614047892489E-2</c:v>
                </c:pt>
                <c:pt idx="105">
                  <c:v>0.10494822835076598</c:v>
                </c:pt>
                <c:pt idx="106">
                  <c:v>4.9443328746953299E-2</c:v>
                </c:pt>
                <c:pt idx="107">
                  <c:v>0.51089029268224995</c:v>
                </c:pt>
                <c:pt idx="108">
                  <c:v>0.3612364849014541</c:v>
                </c:pt>
                <c:pt idx="109">
                  <c:v>0.13751931446376006</c:v>
                </c:pt>
                <c:pt idx="110">
                  <c:v>-0.26293399372784415</c:v>
                </c:pt>
                <c:pt idx="111">
                  <c:v>-0.10527219791409199</c:v>
                </c:pt>
                <c:pt idx="112">
                  <c:v>7.5931309327909702E-2</c:v>
                </c:pt>
                <c:pt idx="113">
                  <c:v>0.27725809654997702</c:v>
                </c:pt>
                <c:pt idx="114">
                  <c:v>0.34630359980367015</c:v>
                </c:pt>
                <c:pt idx="115">
                  <c:v>0.13471980485114504</c:v>
                </c:pt>
                <c:pt idx="116">
                  <c:v>0.29552388881714214</c:v>
                </c:pt>
                <c:pt idx="117">
                  <c:v>0.223468758336618</c:v>
                </c:pt>
                <c:pt idx="118">
                  <c:v>-0.27998056953786732</c:v>
                </c:pt>
                <c:pt idx="119">
                  <c:v>-0.93611126474635675</c:v>
                </c:pt>
                <c:pt idx="120">
                  <c:v>-1.66229615698567</c:v>
                </c:pt>
                <c:pt idx="121">
                  <c:v>-2.1315292334082687</c:v>
                </c:pt>
                <c:pt idx="122">
                  <c:v>-1.32030875188201</c:v>
                </c:pt>
                <c:pt idx="123">
                  <c:v>-1.1286134005092701</c:v>
                </c:pt>
                <c:pt idx="124">
                  <c:v>-1.0984857826126799</c:v>
                </c:pt>
                <c:pt idx="125">
                  <c:v>-0.95786972105534096</c:v>
                </c:pt>
                <c:pt idx="126">
                  <c:v>-0.94220143756680941</c:v>
                </c:pt>
                <c:pt idx="127">
                  <c:v>-0.80156247321467999</c:v>
                </c:pt>
                <c:pt idx="128">
                  <c:v>-1.39288920841779</c:v>
                </c:pt>
                <c:pt idx="129">
                  <c:v>-1.2618592680605698</c:v>
                </c:pt>
                <c:pt idx="130">
                  <c:v>-0.76447084143565802</c:v>
                </c:pt>
                <c:pt idx="131">
                  <c:v>-0.3742803539069221</c:v>
                </c:pt>
                <c:pt idx="132">
                  <c:v>-1.2826707730263901E-2</c:v>
                </c:pt>
                <c:pt idx="133">
                  <c:v>0.59796204320673063</c:v>
                </c:pt>
                <c:pt idx="134">
                  <c:v>1.1560472315355605</c:v>
                </c:pt>
                <c:pt idx="135">
                  <c:v>1.3707184737965605</c:v>
                </c:pt>
                <c:pt idx="136">
                  <c:v>1.6254706187720098</c:v>
                </c:pt>
                <c:pt idx="137">
                  <c:v>1.6890230033362701</c:v>
                </c:pt>
                <c:pt idx="138">
                  <c:v>1.7699957884788498</c:v>
                </c:pt>
                <c:pt idx="139">
                  <c:v>2.1107909943027199</c:v>
                </c:pt>
              </c:numCache>
            </c:numRef>
          </c:val>
          <c:smooth val="0"/>
        </c:ser>
        <c:dLbls>
          <c:showLegendKey val="0"/>
          <c:showVal val="0"/>
          <c:showCatName val="0"/>
          <c:showSerName val="0"/>
          <c:showPercent val="0"/>
          <c:showBubbleSize val="0"/>
        </c:dLbls>
        <c:marker val="1"/>
        <c:smooth val="0"/>
        <c:axId val="94642176"/>
        <c:axId val="94643712"/>
      </c:lineChart>
      <c:catAx>
        <c:axId val="94642176"/>
        <c:scaling>
          <c:orientation val="minMax"/>
        </c:scaling>
        <c:delete val="0"/>
        <c:axPos val="b"/>
        <c:numFmt formatCode="0.00" sourceLinked="1"/>
        <c:majorTickMark val="out"/>
        <c:minorTickMark val="none"/>
        <c:tickLblPos val="low"/>
        <c:txPr>
          <a:bodyPr rot="-5400000" vert="horz"/>
          <a:lstStyle/>
          <a:p>
            <a:pPr>
              <a:defRPr sz="800"/>
            </a:pPr>
            <a:endParaRPr lang="en-US"/>
          </a:p>
        </c:txPr>
        <c:crossAx val="94643712"/>
        <c:crosses val="autoZero"/>
        <c:auto val="1"/>
        <c:lblAlgn val="ctr"/>
        <c:lblOffset val="100"/>
        <c:tickMarkSkip val="6"/>
        <c:noMultiLvlLbl val="0"/>
      </c:catAx>
      <c:valAx>
        <c:axId val="94643712"/>
        <c:scaling>
          <c:orientation val="minMax"/>
          <c:max val="20"/>
          <c:min val="-15"/>
        </c:scaling>
        <c:delete val="0"/>
        <c:axPos val="l"/>
        <c:majorGridlines>
          <c:spPr>
            <a:ln>
              <a:prstDash val="sysDot"/>
            </a:ln>
          </c:spPr>
        </c:majorGridlines>
        <c:numFmt formatCode="0" sourceLinked="0"/>
        <c:majorTickMark val="out"/>
        <c:minorTickMark val="none"/>
        <c:tickLblPos val="nextTo"/>
        <c:txPr>
          <a:bodyPr rot="0" vert="horz"/>
          <a:lstStyle/>
          <a:p>
            <a:pPr>
              <a:defRPr/>
            </a:pPr>
            <a:endParaRPr lang="en-US"/>
          </a:p>
        </c:txPr>
        <c:crossAx val="94642176"/>
        <c:crosses val="autoZero"/>
        <c:crossBetween val="between"/>
      </c:valAx>
      <c:valAx>
        <c:axId val="94645248"/>
        <c:scaling>
          <c:orientation val="minMax"/>
          <c:max val="2"/>
          <c:min val="-1.5"/>
        </c:scaling>
        <c:delete val="0"/>
        <c:axPos val="r"/>
        <c:numFmt formatCode="0.0" sourceLinked="0"/>
        <c:majorTickMark val="out"/>
        <c:minorTickMark val="none"/>
        <c:tickLblPos val="nextTo"/>
        <c:crossAx val="94647040"/>
        <c:crosses val="max"/>
        <c:crossBetween val="between"/>
      </c:valAx>
      <c:catAx>
        <c:axId val="94647040"/>
        <c:scaling>
          <c:orientation val="minMax"/>
        </c:scaling>
        <c:delete val="1"/>
        <c:axPos val="b"/>
        <c:majorTickMark val="out"/>
        <c:minorTickMark val="none"/>
        <c:tickLblPos val="none"/>
        <c:crossAx val="94645248"/>
        <c:crosses val="autoZero"/>
        <c:auto val="1"/>
        <c:lblAlgn val="ctr"/>
        <c:lblOffset val="100"/>
        <c:noMultiLvlLbl val="0"/>
      </c:catAx>
    </c:plotArea>
    <c:legend>
      <c:legendPos val="b"/>
      <c:layout>
        <c:manualLayout>
          <c:xMode val="edge"/>
          <c:yMode val="edge"/>
          <c:x val="0"/>
          <c:y val="0.88361834930085925"/>
          <c:w val="0.9707311907471291"/>
          <c:h val="8.627058038354618E-2"/>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40558231339584E-2"/>
          <c:y val="6.223479490806226E-2"/>
          <c:w val="0.84653663537169022"/>
          <c:h val="0.59098819320392948"/>
        </c:manualLayout>
      </c:layout>
      <c:barChart>
        <c:barDir val="col"/>
        <c:grouping val="clustered"/>
        <c:varyColors val="0"/>
        <c:ser>
          <c:idx val="0"/>
          <c:order val="0"/>
          <c:tx>
            <c:strRef>
              <c:f>IIP!$C$101</c:f>
              <c:strCache>
                <c:ptCount val="1"/>
                <c:pt idx="0">
                  <c:v>Toàn ngành công nghiệp</c:v>
                </c:pt>
              </c:strCache>
            </c:strRef>
          </c:tx>
          <c:spPr>
            <a:solidFill>
              <a:schemeClr val="accent5">
                <a:lumMod val="50000"/>
              </a:schemeClr>
            </a:solidFill>
          </c:spPr>
          <c:invertIfNegative val="0"/>
          <c:cat>
            <c:strRef>
              <c:f>IIP!$B$102:$B$106</c:f>
              <c:strCache>
                <c:ptCount val="5"/>
                <c:pt idx="0">
                  <c:v>7T/12</c:v>
                </c:pt>
                <c:pt idx="1">
                  <c:v>7T/13</c:v>
                </c:pt>
                <c:pt idx="2">
                  <c:v>7T/14</c:v>
                </c:pt>
                <c:pt idx="3">
                  <c:v>7T/15</c:v>
                </c:pt>
                <c:pt idx="4">
                  <c:v>7T/16</c:v>
                </c:pt>
              </c:strCache>
            </c:strRef>
          </c:cat>
          <c:val>
            <c:numRef>
              <c:f>IIP!$C$102:$C$106</c:f>
              <c:numCache>
                <c:formatCode>General</c:formatCode>
                <c:ptCount val="5"/>
                <c:pt idx="0">
                  <c:v>4.8</c:v>
                </c:pt>
                <c:pt idx="1">
                  <c:v>5.2</c:v>
                </c:pt>
                <c:pt idx="2">
                  <c:v>7.5</c:v>
                </c:pt>
                <c:pt idx="3">
                  <c:v>9.9</c:v>
                </c:pt>
                <c:pt idx="4">
                  <c:v>7.2</c:v>
                </c:pt>
              </c:numCache>
            </c:numRef>
          </c:val>
        </c:ser>
        <c:ser>
          <c:idx val="1"/>
          <c:order val="1"/>
          <c:tx>
            <c:strRef>
              <c:f>IIP!$D$101</c:f>
              <c:strCache>
                <c:ptCount val="1"/>
                <c:pt idx="0">
                  <c:v>Công nghiệp chế biến chế tạo</c:v>
                </c:pt>
              </c:strCache>
            </c:strRef>
          </c:tx>
          <c:spPr>
            <a:solidFill>
              <a:schemeClr val="accent5">
                <a:lumMod val="40000"/>
                <a:lumOff val="60000"/>
              </a:schemeClr>
            </a:solidFill>
          </c:spPr>
          <c:invertIfNegative val="0"/>
          <c:cat>
            <c:strRef>
              <c:f>IIP!$B$102:$B$106</c:f>
              <c:strCache>
                <c:ptCount val="5"/>
                <c:pt idx="0">
                  <c:v>7T/12</c:v>
                </c:pt>
                <c:pt idx="1">
                  <c:v>7T/13</c:v>
                </c:pt>
                <c:pt idx="2">
                  <c:v>7T/14</c:v>
                </c:pt>
                <c:pt idx="3">
                  <c:v>7T/15</c:v>
                </c:pt>
                <c:pt idx="4">
                  <c:v>7T/16</c:v>
                </c:pt>
              </c:strCache>
            </c:strRef>
          </c:cat>
          <c:val>
            <c:numRef>
              <c:f>IIP!$D$102:$D$106</c:f>
              <c:numCache>
                <c:formatCode>General</c:formatCode>
                <c:ptCount val="5"/>
                <c:pt idx="0">
                  <c:v>4.3</c:v>
                </c:pt>
                <c:pt idx="1">
                  <c:v>5.8</c:v>
                </c:pt>
                <c:pt idx="2">
                  <c:v>8.1</c:v>
                </c:pt>
                <c:pt idx="3">
                  <c:v>10.1</c:v>
                </c:pt>
                <c:pt idx="4">
                  <c:v>9.9</c:v>
                </c:pt>
              </c:numCache>
            </c:numRef>
          </c:val>
        </c:ser>
        <c:dLbls>
          <c:showLegendKey val="0"/>
          <c:showVal val="0"/>
          <c:showCatName val="0"/>
          <c:showSerName val="0"/>
          <c:showPercent val="0"/>
          <c:showBubbleSize val="0"/>
        </c:dLbls>
        <c:gapWidth val="150"/>
        <c:axId val="94663808"/>
        <c:axId val="94665344"/>
      </c:barChart>
      <c:catAx>
        <c:axId val="94663808"/>
        <c:scaling>
          <c:orientation val="minMax"/>
        </c:scaling>
        <c:delete val="0"/>
        <c:axPos val="b"/>
        <c:numFmt formatCode="General" sourceLinked="1"/>
        <c:majorTickMark val="none"/>
        <c:minorTickMark val="none"/>
        <c:tickLblPos val="nextTo"/>
        <c:crossAx val="94665344"/>
        <c:crosses val="autoZero"/>
        <c:auto val="1"/>
        <c:lblAlgn val="ctr"/>
        <c:lblOffset val="100"/>
        <c:noMultiLvlLbl val="0"/>
      </c:catAx>
      <c:valAx>
        <c:axId val="94665344"/>
        <c:scaling>
          <c:orientation val="minMax"/>
          <c:max val="10"/>
          <c:min val="2"/>
        </c:scaling>
        <c:delete val="0"/>
        <c:axPos val="l"/>
        <c:majorGridlines>
          <c:spPr>
            <a:ln>
              <a:prstDash val="sysDot"/>
            </a:ln>
          </c:spPr>
        </c:majorGridlines>
        <c:numFmt formatCode="General" sourceLinked="1"/>
        <c:majorTickMark val="none"/>
        <c:minorTickMark val="none"/>
        <c:tickLblPos val="nextTo"/>
        <c:spPr>
          <a:ln w="9525">
            <a:noFill/>
          </a:ln>
        </c:spPr>
        <c:crossAx val="94663808"/>
        <c:crosses val="autoZero"/>
        <c:crossBetween val="between"/>
      </c:valAx>
    </c:plotArea>
    <c:legend>
      <c:legendPos val="b"/>
      <c:layout>
        <c:manualLayout>
          <c:xMode val="edge"/>
          <c:yMode val="edge"/>
          <c:x val="9.0621072431739474E-2"/>
          <c:y val="0.77023323033987889"/>
          <c:w val="0.84571373141126749"/>
          <c:h val="0.18229841522974191"/>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09667541557302E-2"/>
          <c:y val="5.0510140777857301E-2"/>
          <c:w val="0.89997922134733155"/>
          <c:h val="0.75925925925925963"/>
        </c:manualLayout>
      </c:layout>
      <c:barChart>
        <c:barDir val="col"/>
        <c:grouping val="clustered"/>
        <c:varyColors val="0"/>
        <c:ser>
          <c:idx val="0"/>
          <c:order val="0"/>
          <c:spPr>
            <a:solidFill>
              <a:schemeClr val="accent5">
                <a:lumMod val="75000"/>
              </a:schemeClr>
            </a:solidFill>
          </c:spPr>
          <c:invertIfNegative val="0"/>
          <c:cat>
            <c:strRef>
              <c:f>PMI!$W$1:$BA$1</c:f>
              <c:strCache>
                <c:ptCount val="31"/>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pt idx="24">
                  <c:v>T1/16</c:v>
                </c:pt>
                <c:pt idx="25">
                  <c:v>T2/16</c:v>
                </c:pt>
                <c:pt idx="26">
                  <c:v>T3/16</c:v>
                </c:pt>
                <c:pt idx="27">
                  <c:v>T4/16</c:v>
                </c:pt>
                <c:pt idx="28">
                  <c:v>T5/16</c:v>
                </c:pt>
                <c:pt idx="29">
                  <c:v>T6/16</c:v>
                </c:pt>
                <c:pt idx="30">
                  <c:v>T7/16</c:v>
                </c:pt>
              </c:strCache>
            </c:strRef>
          </c:cat>
          <c:val>
            <c:numRef>
              <c:f>PMI!$W$2:$BA$2</c:f>
              <c:numCache>
                <c:formatCode>General</c:formatCode>
                <c:ptCount val="31"/>
                <c:pt idx="0">
                  <c:v>52.1</c:v>
                </c:pt>
                <c:pt idx="1">
                  <c:v>51</c:v>
                </c:pt>
                <c:pt idx="2">
                  <c:v>51.3</c:v>
                </c:pt>
                <c:pt idx="3">
                  <c:v>53.1</c:v>
                </c:pt>
                <c:pt idx="4">
                  <c:v>52.5</c:v>
                </c:pt>
                <c:pt idx="5">
                  <c:v>52.3</c:v>
                </c:pt>
                <c:pt idx="6">
                  <c:v>51.7</c:v>
                </c:pt>
                <c:pt idx="7">
                  <c:v>50.3</c:v>
                </c:pt>
                <c:pt idx="8">
                  <c:v>51.7</c:v>
                </c:pt>
                <c:pt idx="9">
                  <c:v>51</c:v>
                </c:pt>
                <c:pt idx="10">
                  <c:v>52.1</c:v>
                </c:pt>
                <c:pt idx="11">
                  <c:v>52.7</c:v>
                </c:pt>
                <c:pt idx="12">
                  <c:v>51.5</c:v>
                </c:pt>
                <c:pt idx="13">
                  <c:v>51.7</c:v>
                </c:pt>
                <c:pt idx="14">
                  <c:v>50.7</c:v>
                </c:pt>
                <c:pt idx="15">
                  <c:v>53.5</c:v>
                </c:pt>
                <c:pt idx="16">
                  <c:v>54.8</c:v>
                </c:pt>
                <c:pt idx="17">
                  <c:v>52.2</c:v>
                </c:pt>
                <c:pt idx="18">
                  <c:v>52.6</c:v>
                </c:pt>
                <c:pt idx="19">
                  <c:v>51.3</c:v>
                </c:pt>
                <c:pt idx="20">
                  <c:v>49.5</c:v>
                </c:pt>
                <c:pt idx="21">
                  <c:v>50.1</c:v>
                </c:pt>
                <c:pt idx="22">
                  <c:v>49.4</c:v>
                </c:pt>
                <c:pt idx="23">
                  <c:v>51.3</c:v>
                </c:pt>
                <c:pt idx="24">
                  <c:v>51.5</c:v>
                </c:pt>
                <c:pt idx="25">
                  <c:v>50.3</c:v>
                </c:pt>
                <c:pt idx="26">
                  <c:v>50.7</c:v>
                </c:pt>
                <c:pt idx="27">
                  <c:v>52.3</c:v>
                </c:pt>
                <c:pt idx="28">
                  <c:v>52.7</c:v>
                </c:pt>
                <c:pt idx="29">
                  <c:v>52.6</c:v>
                </c:pt>
                <c:pt idx="30">
                  <c:v>51.9</c:v>
                </c:pt>
              </c:numCache>
            </c:numRef>
          </c:val>
        </c:ser>
        <c:dLbls>
          <c:showLegendKey val="0"/>
          <c:showVal val="0"/>
          <c:showCatName val="0"/>
          <c:showSerName val="0"/>
          <c:showPercent val="0"/>
          <c:showBubbleSize val="0"/>
        </c:dLbls>
        <c:gapWidth val="150"/>
        <c:axId val="94689920"/>
        <c:axId val="94830976"/>
      </c:barChart>
      <c:catAx>
        <c:axId val="94689920"/>
        <c:scaling>
          <c:orientation val="minMax"/>
        </c:scaling>
        <c:delete val="0"/>
        <c:axPos val="b"/>
        <c:majorTickMark val="out"/>
        <c:minorTickMark val="none"/>
        <c:tickLblPos val="low"/>
        <c:crossAx val="94830976"/>
        <c:crossesAt val="50"/>
        <c:auto val="1"/>
        <c:lblAlgn val="ctr"/>
        <c:lblOffset val="100"/>
        <c:noMultiLvlLbl val="0"/>
      </c:catAx>
      <c:valAx>
        <c:axId val="94830976"/>
        <c:scaling>
          <c:orientation val="minMax"/>
          <c:max val="55"/>
          <c:min val="49"/>
        </c:scaling>
        <c:delete val="0"/>
        <c:axPos val="l"/>
        <c:majorGridlines>
          <c:spPr>
            <a:ln w="12700">
              <a:prstDash val="sysDot"/>
            </a:ln>
          </c:spPr>
        </c:majorGridlines>
        <c:numFmt formatCode="General" sourceLinked="1"/>
        <c:majorTickMark val="out"/>
        <c:minorTickMark val="none"/>
        <c:tickLblPos val="nextTo"/>
        <c:spPr>
          <a:ln>
            <a:noFill/>
          </a:ln>
        </c:spPr>
        <c:crossAx val="94689920"/>
        <c:crosses val="autoZero"/>
        <c:crossBetween val="between"/>
        <c:majorUnit val="1"/>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5">
                <a:lumMod val="75000"/>
              </a:schemeClr>
            </a:solidFill>
          </c:spPr>
          <c:invertIfNegative val="0"/>
          <c:dLbls>
            <c:dLbl>
              <c:idx val="2"/>
              <c:layout>
                <c:manualLayout>
                  <c:x val="-9.8039215686274508E-3"/>
                  <c:y val="0.1035007610350076"/>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-0.7300000000000002</c:v>
                </c:pt>
                <c:pt idx="1">
                  <c:v>1.26</c:v>
                </c:pt>
                <c:pt idx="2">
                  <c:v>-3.8499999999999992</c:v>
                </c:pt>
                <c:pt idx="3">
                  <c:v>2.2599999999999998</c:v>
                </c:pt>
              </c:numCache>
            </c:numRef>
          </c:val>
        </c:ser>
        <c:dLbls>
          <c:showLegendKey val="0"/>
          <c:showVal val="0"/>
          <c:showCatName val="0"/>
          <c:showSerName val="0"/>
          <c:showPercent val="0"/>
          <c:showBubbleSize val="0"/>
        </c:dLbls>
        <c:gapWidth val="95"/>
        <c:overlap val="-14"/>
        <c:axId val="94842240"/>
        <c:axId val="94848128"/>
      </c:barChart>
      <c:catAx>
        <c:axId val="94842240"/>
        <c:scaling>
          <c:orientation val="minMax"/>
        </c:scaling>
        <c:delete val="0"/>
        <c:axPos val="b"/>
        <c:numFmt formatCode="General" sourceLinked="1"/>
        <c:majorTickMark val="out"/>
        <c:minorTickMark val="none"/>
        <c:tickLblPos val="low"/>
        <c:crossAx val="94848128"/>
        <c:crosses val="autoZero"/>
        <c:auto val="1"/>
        <c:lblAlgn val="ctr"/>
        <c:lblOffset val="100"/>
        <c:noMultiLvlLbl val="0"/>
      </c:catAx>
      <c:valAx>
        <c:axId val="94848128"/>
        <c:scaling>
          <c:orientation val="minMax"/>
          <c:min val="-4"/>
        </c:scaling>
        <c:delete val="0"/>
        <c:axPos val="l"/>
        <c:majorGridlines>
          <c:spPr>
            <a:ln>
              <a:prstDash val="sysDot"/>
            </a:ln>
          </c:spPr>
        </c:majorGridlines>
        <c:numFmt formatCode="General" sourceLinked="1"/>
        <c:majorTickMark val="out"/>
        <c:minorTickMark val="none"/>
        <c:tickLblPos val="nextTo"/>
        <c:crossAx val="94842240"/>
        <c:crosses val="autoZero"/>
        <c:crossBetween val="between"/>
      </c:valAx>
    </c:plotArea>
    <c:plotVisOnly val="1"/>
    <c:dispBlanksAs val="gap"/>
    <c:showDLblsOverMax val="0"/>
  </c:chart>
  <c:spPr>
    <a:ln>
      <a:noFill/>
    </a:ln>
  </c:spPr>
  <c:txPr>
    <a:bodyPr/>
    <a:lstStyle/>
    <a:p>
      <a:pPr>
        <a:defRPr sz="8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331427520605"/>
          <c:y val="0.10117960326883514"/>
          <c:w val="0.8255347034189896"/>
          <c:h val="0.73736294682271486"/>
        </c:manualLayout>
      </c:layout>
      <c:barChart>
        <c:barDir val="col"/>
        <c:grouping val="clustered"/>
        <c:varyColors val="0"/>
        <c:ser>
          <c:idx val="0"/>
          <c:order val="0"/>
          <c:tx>
            <c:strRef>
              <c:f>'Thu NSNN'!$B$16</c:f>
              <c:strCache>
                <c:ptCount val="1"/>
                <c:pt idx="0">
                  <c:v>% thực hiện dự toán</c:v>
                </c:pt>
              </c:strCache>
            </c:strRef>
          </c:tx>
          <c:spPr>
            <a:solidFill>
              <a:schemeClr val="accent5">
                <a:lumMod val="60000"/>
                <a:lumOff val="40000"/>
              </a:schemeClr>
            </a:solidFill>
            <a:ln>
              <a:solidFill>
                <a:schemeClr val="tx2">
                  <a:lumMod val="75000"/>
                </a:schemeClr>
              </a:solidFill>
            </a:ln>
          </c:spPr>
          <c:invertIfNegative val="0"/>
          <c:dLbls>
            <c:dLbl>
              <c:idx val="0"/>
              <c:layout>
                <c:manualLayout>
                  <c:x val="4.2462845010615728E-3"/>
                  <c:y val="2.6041666666666685E-2"/>
                </c:manualLayout>
              </c:layout>
              <c:showLegendKey val="0"/>
              <c:showVal val="1"/>
              <c:showCatName val="0"/>
              <c:showSerName val="0"/>
              <c:showPercent val="0"/>
              <c:showBubbleSize val="0"/>
            </c:dLbl>
            <c:dLbl>
              <c:idx val="2"/>
              <c:layout>
                <c:manualLayout>
                  <c:x val="0"/>
                  <c:y val="1.5625E-2"/>
                </c:manualLayout>
              </c:layout>
              <c:showLegendKey val="0"/>
              <c:showVal val="1"/>
              <c:showCatName val="0"/>
              <c:showSerName val="0"/>
              <c:showPercent val="0"/>
              <c:showBubbleSize val="0"/>
            </c:dLbl>
            <c:dLbl>
              <c:idx val="3"/>
              <c:layout>
                <c:manualLayout>
                  <c:x val="0"/>
                  <c:y val="1.56250000000000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'Thu NSNN'!$A$17:$A$20</c:f>
              <c:strCache>
                <c:ptCount val="4"/>
                <c:pt idx="0">
                  <c:v>Tổng thu NSNN</c:v>
                </c:pt>
                <c:pt idx="1">
                  <c:v>Thu nội địa</c:v>
                </c:pt>
                <c:pt idx="2">
                  <c:v>Thu từ dầu thô</c:v>
                </c:pt>
                <c:pt idx="3">
                  <c:v>Thu từ XNK</c:v>
                </c:pt>
              </c:strCache>
            </c:strRef>
          </c:cat>
          <c:val>
            <c:numRef>
              <c:f>'Thu NSNN'!$B$17:$B$20</c:f>
              <c:numCache>
                <c:formatCode>General</c:formatCode>
                <c:ptCount val="4"/>
                <c:pt idx="0">
                  <c:v>59.5</c:v>
                </c:pt>
                <c:pt idx="1">
                  <c:v>61.9</c:v>
                </c:pt>
                <c:pt idx="2">
                  <c:v>45.2</c:v>
                </c:pt>
                <c:pt idx="3">
                  <c:v>52.4</c:v>
                </c:pt>
              </c:numCache>
            </c:numRef>
          </c:val>
        </c:ser>
        <c:ser>
          <c:idx val="1"/>
          <c:order val="1"/>
          <c:tx>
            <c:strRef>
              <c:f>'Thu NSNN'!$C$16</c:f>
              <c:strCache>
                <c:ptCount val="1"/>
                <c:pt idx="0">
                  <c:v>% tăng giảm so cùng kỳ 2015</c:v>
                </c:pt>
              </c:strCache>
            </c:strRef>
          </c:tx>
          <c:spPr>
            <a:solidFill>
              <a:schemeClr val="accent5">
                <a:lumMod val="50000"/>
              </a:schemeClr>
            </a:solidFill>
            <a:ln>
              <a:solidFill>
                <a:schemeClr val="tx2">
                  <a:lumMod val="75000"/>
                </a:schemeClr>
              </a:solidFill>
            </a:ln>
          </c:spPr>
          <c:invertIfNegative val="0"/>
          <c:dLbls>
            <c:dLbl>
              <c:idx val="0"/>
              <c:layout>
                <c:manualLayout>
                  <c:x val="8.492569002123149E-3"/>
                  <c:y val="1.5145177165354335E-2"/>
                </c:manualLayout>
              </c:layout>
              <c:showLegendKey val="0"/>
              <c:showVal val="1"/>
              <c:showCatName val="0"/>
              <c:showSerName val="0"/>
              <c:showPercent val="0"/>
              <c:showBubbleSize val="0"/>
            </c:dLbl>
            <c:dLbl>
              <c:idx val="1"/>
              <c:layout>
                <c:manualLayout>
                  <c:x val="0"/>
                  <c:y val="2.0833333333333367E-2"/>
                </c:manualLayout>
              </c:layout>
              <c:showLegendKey val="0"/>
              <c:showVal val="1"/>
              <c:showCatName val="0"/>
              <c:showSerName val="0"/>
              <c:showPercent val="0"/>
              <c:showBubbleSize val="0"/>
            </c:dLbl>
            <c:dLbl>
              <c:idx val="2"/>
              <c:layout>
                <c:manualLayout>
                  <c:x val="4.2422722637377331E-3"/>
                  <c:y val="1.5899360236220475E-2"/>
                </c:manualLayout>
              </c:layout>
              <c:showLegendKey val="0"/>
              <c:showVal val="1"/>
              <c:showCatName val="0"/>
              <c:showSerName val="0"/>
              <c:showPercent val="0"/>
              <c:showBubbleSize val="0"/>
            </c:dLbl>
            <c:dLbl>
              <c:idx val="3"/>
              <c:layout>
                <c:manualLayout>
                  <c:x val="0"/>
                  <c:y val="0.1454549272250059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'Thu NSNN'!$A$17:$A$20</c:f>
              <c:strCache>
                <c:ptCount val="4"/>
                <c:pt idx="0">
                  <c:v>Tổng thu NSNN</c:v>
                </c:pt>
                <c:pt idx="1">
                  <c:v>Thu nội địa</c:v>
                </c:pt>
                <c:pt idx="2">
                  <c:v>Thu từ dầu thô</c:v>
                </c:pt>
                <c:pt idx="3">
                  <c:v>Thu từ XNK</c:v>
                </c:pt>
              </c:strCache>
            </c:strRef>
          </c:cat>
          <c:val>
            <c:numRef>
              <c:f>'Thu NSNN'!$C$17:$C$20</c:f>
              <c:numCache>
                <c:formatCode>0</c:formatCode>
                <c:ptCount val="4"/>
                <c:pt idx="0" formatCode="0.0">
                  <c:v>4.4000000000000004</c:v>
                </c:pt>
                <c:pt idx="1">
                  <c:v>13.2</c:v>
                </c:pt>
                <c:pt idx="2">
                  <c:v>-45</c:v>
                </c:pt>
                <c:pt idx="3" formatCode="0.0">
                  <c:v>-11.4</c:v>
                </c:pt>
              </c:numCache>
            </c:numRef>
          </c:val>
        </c:ser>
        <c:dLbls>
          <c:showLegendKey val="0"/>
          <c:showVal val="0"/>
          <c:showCatName val="0"/>
          <c:showSerName val="0"/>
          <c:showPercent val="0"/>
          <c:showBubbleSize val="0"/>
        </c:dLbls>
        <c:gapWidth val="100"/>
        <c:axId val="94873472"/>
        <c:axId val="94875008"/>
      </c:barChart>
      <c:catAx>
        <c:axId val="94873472"/>
        <c:scaling>
          <c:orientation val="minMax"/>
        </c:scaling>
        <c:delete val="0"/>
        <c:axPos val="b"/>
        <c:numFmt formatCode="0.00" sourceLinked="1"/>
        <c:majorTickMark val="none"/>
        <c:minorTickMark val="none"/>
        <c:tickLblPos val="low"/>
        <c:crossAx val="94875008"/>
        <c:crosses val="autoZero"/>
        <c:auto val="1"/>
        <c:lblAlgn val="ctr"/>
        <c:lblOffset val="100"/>
        <c:noMultiLvlLbl val="0"/>
      </c:catAx>
      <c:valAx>
        <c:axId val="94875008"/>
        <c:scaling>
          <c:orientation val="minMax"/>
          <c:max val="80"/>
          <c:min val="-60"/>
        </c:scaling>
        <c:delete val="0"/>
        <c:axPos val="l"/>
        <c:majorGridlines>
          <c:spPr>
            <a:ln>
              <a:prstDash val="sysDot"/>
            </a:ln>
          </c:spPr>
        </c:majorGridlines>
        <c:numFmt formatCode="General" sourceLinked="1"/>
        <c:majorTickMark val="none"/>
        <c:minorTickMark val="none"/>
        <c:tickLblPos val="nextTo"/>
        <c:spPr>
          <a:noFill/>
          <a:ln>
            <a:noFill/>
            <a:prstDash val="sysDot"/>
          </a:ln>
        </c:spPr>
        <c:crossAx val="94873472"/>
        <c:crosses val="autoZero"/>
        <c:crossBetween val="between"/>
        <c:majorUnit val="20"/>
      </c:valAx>
    </c:plotArea>
    <c:legend>
      <c:legendPos val="t"/>
      <c:layout>
        <c:manualLayout>
          <c:xMode val="edge"/>
          <c:yMode val="edge"/>
          <c:x val="4.9999863411809106E-2"/>
          <c:y val="0"/>
          <c:w val="0.8999998829244078"/>
          <c:h val="8.8176676278329411E-2"/>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93605167383816E-2"/>
          <c:y val="3.0859766011029997E-2"/>
          <c:w val="0.84249257131146871"/>
          <c:h val="0.77715032667266193"/>
        </c:manualLayout>
      </c:layout>
      <c:barChart>
        <c:barDir val="col"/>
        <c:grouping val="clustered"/>
        <c:varyColors val="0"/>
        <c:ser>
          <c:idx val="0"/>
          <c:order val="0"/>
          <c:tx>
            <c:strRef>
              <c:f>'Chi NSNN'!$B$1</c:f>
              <c:strCache>
                <c:ptCount val="1"/>
                <c:pt idx="0">
                  <c:v>% thực hiện dự toán</c:v>
                </c:pt>
              </c:strCache>
            </c:strRef>
          </c:tx>
          <c:spPr>
            <a:solidFill>
              <a:schemeClr val="accent5">
                <a:lumMod val="60000"/>
                <a:lumOff val="40000"/>
              </a:schemeClr>
            </a:solidFill>
            <a:ln>
              <a:solidFill>
                <a:schemeClr val="tx2">
                  <a:lumMod val="75000"/>
                </a:schemeClr>
              </a:solidFill>
            </a:ln>
          </c:spPr>
          <c:invertIfNegative val="0"/>
          <c:dLbls>
            <c:showLegendKey val="0"/>
            <c:showVal val="1"/>
            <c:showCatName val="0"/>
            <c:showSerName val="0"/>
            <c:showPercent val="0"/>
            <c:showBubbleSize val="0"/>
            <c:showLeaderLines val="0"/>
          </c:dLbls>
          <c:cat>
            <c:strRef>
              <c:f>'Chi NSNN'!$A$2:$A$5</c:f>
              <c:strCache>
                <c:ptCount val="4"/>
                <c:pt idx="0">
                  <c:v>Tổng chi NSNN</c:v>
                </c:pt>
                <c:pt idx="1">
                  <c:v>Chi thường xuyên</c:v>
                </c:pt>
                <c:pt idx="2">
                  <c:v>Chi đầu tư</c:v>
                </c:pt>
                <c:pt idx="3">
                  <c:v>Chi trả nợ</c:v>
                </c:pt>
              </c:strCache>
            </c:strRef>
          </c:cat>
          <c:val>
            <c:numRef>
              <c:f>'Chi NSNN'!$B$2:$B$5</c:f>
              <c:numCache>
                <c:formatCode>General</c:formatCode>
                <c:ptCount val="4"/>
                <c:pt idx="0">
                  <c:v>56.2</c:v>
                </c:pt>
                <c:pt idx="1">
                  <c:v>61.5</c:v>
                </c:pt>
                <c:pt idx="2">
                  <c:v>42.1</c:v>
                </c:pt>
                <c:pt idx="3">
                  <c:v>62</c:v>
                </c:pt>
              </c:numCache>
            </c:numRef>
          </c:val>
        </c:ser>
        <c:ser>
          <c:idx val="1"/>
          <c:order val="1"/>
          <c:tx>
            <c:strRef>
              <c:f>'Chi NSNN'!$C$1</c:f>
              <c:strCache>
                <c:ptCount val="1"/>
                <c:pt idx="0">
                  <c:v>% tăng giảm so cùng kỳ 2015</c:v>
                </c:pt>
              </c:strCache>
            </c:strRef>
          </c:tx>
          <c:spPr>
            <a:solidFill>
              <a:schemeClr val="accent5">
                <a:lumMod val="50000"/>
              </a:schemeClr>
            </a:solidFill>
            <a:ln>
              <a:solidFill>
                <a:schemeClr val="tx2">
                  <a:lumMod val="75000"/>
                </a:schemeClr>
              </a:solidFill>
            </a:ln>
          </c:spPr>
          <c:invertIfNegative val="0"/>
          <c:dLbls>
            <c:showLegendKey val="0"/>
            <c:showVal val="1"/>
            <c:showCatName val="0"/>
            <c:showSerName val="0"/>
            <c:showPercent val="0"/>
            <c:showBubbleSize val="0"/>
            <c:showLeaderLines val="0"/>
          </c:dLbls>
          <c:cat>
            <c:strRef>
              <c:f>'Chi NSNN'!$A$2:$A$5</c:f>
              <c:strCache>
                <c:ptCount val="4"/>
                <c:pt idx="0">
                  <c:v>Tổng chi NSNN</c:v>
                </c:pt>
                <c:pt idx="1">
                  <c:v>Chi thường xuyên</c:v>
                </c:pt>
                <c:pt idx="2">
                  <c:v>Chi đầu tư</c:v>
                </c:pt>
                <c:pt idx="3">
                  <c:v>Chi trả nợ</c:v>
                </c:pt>
              </c:strCache>
            </c:strRef>
          </c:cat>
          <c:val>
            <c:numRef>
              <c:f>'Chi NSNN'!$C$2:$C$5</c:f>
              <c:numCache>
                <c:formatCode>0.0</c:formatCode>
                <c:ptCount val="4"/>
                <c:pt idx="0">
                  <c:v>3.5</c:v>
                </c:pt>
                <c:pt idx="1">
                  <c:v>6</c:v>
                </c:pt>
                <c:pt idx="2">
                  <c:v>0.5</c:v>
                </c:pt>
                <c:pt idx="3">
                  <c:v>-4.3</c:v>
                </c:pt>
              </c:numCache>
            </c:numRef>
          </c:val>
        </c:ser>
        <c:dLbls>
          <c:showLegendKey val="0"/>
          <c:showVal val="0"/>
          <c:showCatName val="0"/>
          <c:showSerName val="0"/>
          <c:showPercent val="0"/>
          <c:showBubbleSize val="0"/>
        </c:dLbls>
        <c:gapWidth val="75"/>
        <c:overlap val="-25"/>
        <c:axId val="95822976"/>
        <c:axId val="95824512"/>
      </c:barChart>
      <c:catAx>
        <c:axId val="95822976"/>
        <c:scaling>
          <c:orientation val="minMax"/>
        </c:scaling>
        <c:delete val="0"/>
        <c:axPos val="b"/>
        <c:majorTickMark val="none"/>
        <c:minorTickMark val="none"/>
        <c:tickLblPos val="low"/>
        <c:crossAx val="95824512"/>
        <c:crosses val="autoZero"/>
        <c:auto val="1"/>
        <c:lblAlgn val="ctr"/>
        <c:lblOffset val="100"/>
        <c:noMultiLvlLbl val="0"/>
      </c:catAx>
      <c:valAx>
        <c:axId val="95824512"/>
        <c:scaling>
          <c:orientation val="minMax"/>
          <c:max val="80"/>
          <c:min val="-10"/>
        </c:scaling>
        <c:delete val="0"/>
        <c:axPos val="l"/>
        <c:majorGridlines>
          <c:spPr>
            <a:ln>
              <a:solidFill>
                <a:schemeClr val="bg1">
                  <a:lumMod val="75000"/>
                </a:schemeClr>
              </a:solidFill>
            </a:ln>
          </c:spPr>
        </c:majorGridlines>
        <c:numFmt formatCode="General" sourceLinked="1"/>
        <c:majorTickMark val="none"/>
        <c:minorTickMark val="none"/>
        <c:tickLblPos val="nextTo"/>
        <c:spPr>
          <a:ln>
            <a:noFill/>
          </a:ln>
        </c:spPr>
        <c:crossAx val="95822976"/>
        <c:crosses val="autoZero"/>
        <c:crossBetween val="between"/>
        <c:majorUnit val="20"/>
      </c:valAx>
    </c:plotArea>
    <c:legend>
      <c:legendPos val="t"/>
      <c:layout>
        <c:manualLayout>
          <c:xMode val="edge"/>
          <c:yMode val="edge"/>
          <c:x val="4.5043663342110109E-2"/>
          <c:y val="0"/>
          <c:w val="0.8999998829244078"/>
          <c:h val="9.8566750804422801E-2"/>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0DD7-9DB9-4485-9333-05F17012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10</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Elead</cp:lastModifiedBy>
  <cp:revision>2</cp:revision>
  <cp:lastPrinted>2016-08-29T09:03:00Z</cp:lastPrinted>
  <dcterms:created xsi:type="dcterms:W3CDTF">2016-09-01T07:56:00Z</dcterms:created>
  <dcterms:modified xsi:type="dcterms:W3CDTF">2016-09-01T07:56:00Z</dcterms:modified>
</cp:coreProperties>
</file>