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jc w:val="center"/>
        <w:tblLook w:val="01E0"/>
      </w:tblPr>
      <w:tblGrid>
        <w:gridCol w:w="3556"/>
        <w:gridCol w:w="6488"/>
      </w:tblGrid>
      <w:tr w:rsidR="00900767" w:rsidRPr="003C1625" w:rsidTr="00B0278F">
        <w:trPr>
          <w:jc w:val="center"/>
        </w:trPr>
        <w:tc>
          <w:tcPr>
            <w:tcW w:w="3556" w:type="dxa"/>
          </w:tcPr>
          <w:p w:rsidR="00900767" w:rsidRPr="003C1625" w:rsidRDefault="00900767" w:rsidP="00910F80">
            <w:pPr>
              <w:widowControl w:val="0"/>
              <w:spacing w:after="0" w:line="288" w:lineRule="auto"/>
              <w:ind w:firstLine="0"/>
              <w:jc w:val="center"/>
              <w:rPr>
                <w:b/>
                <w:bCs/>
                <w:sz w:val="26"/>
                <w:szCs w:val="26"/>
                <w:lang w:val="vi-VN"/>
              </w:rPr>
            </w:pPr>
            <w:r w:rsidRPr="003C1625">
              <w:rPr>
                <w:b/>
                <w:bCs/>
                <w:sz w:val="26"/>
                <w:szCs w:val="26"/>
                <w:lang w:val="vi-VN"/>
              </w:rPr>
              <w:t xml:space="preserve">ỦY BAN GIÁM SÁT </w:t>
            </w:r>
          </w:p>
          <w:p w:rsidR="00900767" w:rsidRPr="003C1625" w:rsidRDefault="00900767" w:rsidP="00910F80">
            <w:pPr>
              <w:widowControl w:val="0"/>
              <w:spacing w:after="0" w:line="288" w:lineRule="auto"/>
              <w:ind w:firstLine="0"/>
              <w:jc w:val="center"/>
              <w:rPr>
                <w:b/>
                <w:bCs/>
                <w:sz w:val="26"/>
                <w:szCs w:val="26"/>
                <w:lang w:val="vi-VN"/>
              </w:rPr>
            </w:pPr>
            <w:r w:rsidRPr="003C1625">
              <w:rPr>
                <w:b/>
                <w:bCs/>
                <w:sz w:val="26"/>
                <w:szCs w:val="26"/>
                <w:lang w:val="vi-VN"/>
              </w:rPr>
              <w:t>TÀI CHÍNH QUỐC GIA</w:t>
            </w:r>
          </w:p>
          <w:p w:rsidR="00900767" w:rsidRPr="003C1625" w:rsidRDefault="007249CA" w:rsidP="00910F80">
            <w:pPr>
              <w:widowControl w:val="0"/>
              <w:spacing w:after="0" w:line="288" w:lineRule="auto"/>
              <w:ind w:firstLine="0"/>
              <w:jc w:val="center"/>
              <w:rPr>
                <w:sz w:val="26"/>
                <w:szCs w:val="26"/>
                <w:lang w:val="vi-VN"/>
              </w:rPr>
            </w:pPr>
            <w:r>
              <w:rPr>
                <w:noProof/>
                <w:sz w:val="26"/>
                <w:szCs w:val="26"/>
              </w:rPr>
              <w:pict>
                <v:line id="Line 2" o:spid="_x0000_s1026" style="position:absolute;left:0;text-align:left;z-index:251656192;visibility:visible;mso-wrap-distance-top:-8e-5mm;mso-wrap-distance-bottom:-8e-5mm" from="51pt,3.5pt" to="10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CK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FRop0&#10;MKKtUBxNQmd64woIqNTOhtroWT2braY/HFK6aok68Mjw5WIgLQsZyZuUsHEG8Pf9V80ghhy9jm06&#10;N7YLkNAAdI7TuNynwc8eUTicLaYPkylGdHAlpBjyjHX+C9cdCkaJJVCOuOS0dT7wIMUQEq5ReiOk&#10;jLOWCvVQ7BSQg8dpKVhwxo097Ctp0YkEtcQvFvUuzOqjYhGs5YStb7YnQl5tuFyqgAeVAJ2bdZXD&#10;z0W6WM/X83yUT2brUZ7W9ejzpspHs032aVo/1FVVZ78CtSwvWsEYV4HdIM0s/7vR3x7JVVR3cd7b&#10;kLxFj/0CssM/ko6jDNO76mCv2WVnhxGDGmPw7eUEub/eg/36fa9+AwAA//8DAFBLAwQUAAYACAAA&#10;ACEAqGCNOtoAAAAHAQAADwAAAGRycy9kb3ducmV2LnhtbEyPTU/DMAyG70j8h8hIXCaWtIgPlaYT&#10;AnrjwgBx9RrTVjRO12Rb4ddjuMDJevRarx+Xq9kPak9T7ANbyJYGFHETXM+thZfn+uwaVEzIDofA&#10;ZOGTIqyq46MSCxcO/ET7dWqVlHAs0EKX0lhoHZuOPMZlGIklew+TxyQ4tdpNeJByP+jcmEvtsWe5&#10;0OFIdx01H+udtxDrV9rWX4tmYd7O20D59v7xAa09PZlvb0AlmtPfMvzoizpU4rQJO3ZRDcIml1+S&#10;hSsZkudZdgFq88u6KvV//+obAAD//wMAUEsBAi0AFAAGAAgAAAAhALaDOJL+AAAA4QEAABMAAAAA&#10;AAAAAAAAAAAAAAAAAFtDb250ZW50X1R5cGVzXS54bWxQSwECLQAUAAYACAAAACEAOP0h/9YAAACU&#10;AQAACwAAAAAAAAAAAAAAAAAvAQAAX3JlbHMvLnJlbHNQSwECLQAUAAYACAAAACEA0IYwig8CAAAn&#10;BAAADgAAAAAAAAAAAAAAAAAuAgAAZHJzL2Uyb0RvYy54bWxQSwECLQAUAAYACAAAACEAqGCNOtoA&#10;AAAHAQAADwAAAAAAAAAAAAAAAABpBAAAZHJzL2Rvd25yZXYueG1sUEsFBgAAAAAEAAQA8wAAAHAF&#10;AAAAAA==&#10;"/>
              </w:pict>
            </w:r>
          </w:p>
          <w:p w:rsidR="00900767" w:rsidRPr="003C1625" w:rsidRDefault="00900767" w:rsidP="00910F80">
            <w:pPr>
              <w:widowControl w:val="0"/>
              <w:spacing w:after="0" w:line="288" w:lineRule="auto"/>
              <w:ind w:firstLine="0"/>
              <w:jc w:val="center"/>
              <w:rPr>
                <w:sz w:val="26"/>
                <w:szCs w:val="26"/>
                <w:lang w:val="vi-VN"/>
              </w:rPr>
            </w:pPr>
            <w:r w:rsidRPr="003C1625">
              <w:rPr>
                <w:sz w:val="26"/>
                <w:szCs w:val="26"/>
                <w:lang w:val="vi-VN"/>
              </w:rPr>
              <w:t>Số:        /</w:t>
            </w:r>
            <w:r w:rsidR="000E5F9F" w:rsidRPr="003C1625">
              <w:rPr>
                <w:sz w:val="26"/>
                <w:szCs w:val="26"/>
              </w:rPr>
              <w:t>BC-</w:t>
            </w:r>
            <w:r w:rsidRPr="003C1625">
              <w:rPr>
                <w:sz w:val="26"/>
                <w:szCs w:val="26"/>
                <w:lang w:val="vi-VN"/>
              </w:rPr>
              <w:t>UBGSTCQG</w:t>
            </w:r>
          </w:p>
        </w:tc>
        <w:tc>
          <w:tcPr>
            <w:tcW w:w="6488" w:type="dxa"/>
          </w:tcPr>
          <w:p w:rsidR="00900767" w:rsidRPr="003C1625" w:rsidRDefault="00900767" w:rsidP="00910F80">
            <w:pPr>
              <w:widowControl w:val="0"/>
              <w:spacing w:after="0" w:line="288" w:lineRule="auto"/>
              <w:jc w:val="center"/>
              <w:rPr>
                <w:b/>
                <w:bCs/>
                <w:sz w:val="26"/>
                <w:szCs w:val="26"/>
                <w:lang w:val="vi-VN"/>
              </w:rPr>
            </w:pPr>
            <w:r w:rsidRPr="003C1625">
              <w:rPr>
                <w:b/>
                <w:bCs/>
                <w:sz w:val="26"/>
                <w:szCs w:val="26"/>
                <w:lang w:val="vi-VN"/>
              </w:rPr>
              <w:t>CỘNG HÒA XÃ HỘI CHỦ NGHĨA VIỆT NAM</w:t>
            </w:r>
          </w:p>
          <w:p w:rsidR="00900767" w:rsidRPr="003C1625" w:rsidRDefault="00900767" w:rsidP="00910F80">
            <w:pPr>
              <w:widowControl w:val="0"/>
              <w:spacing w:after="0" w:line="288" w:lineRule="auto"/>
              <w:jc w:val="center"/>
              <w:rPr>
                <w:b/>
                <w:bCs/>
                <w:sz w:val="26"/>
                <w:szCs w:val="26"/>
                <w:lang w:val="vi-VN"/>
              </w:rPr>
            </w:pPr>
            <w:r w:rsidRPr="003C1625">
              <w:rPr>
                <w:b/>
                <w:bCs/>
                <w:sz w:val="26"/>
                <w:szCs w:val="26"/>
                <w:lang w:val="vi-VN"/>
              </w:rPr>
              <w:t>Độc lập - Tự do - Hạnh phúc</w:t>
            </w:r>
          </w:p>
          <w:p w:rsidR="00900767" w:rsidRPr="003C1625" w:rsidRDefault="007249CA" w:rsidP="00910F80">
            <w:pPr>
              <w:widowControl w:val="0"/>
              <w:spacing w:after="0" w:line="288" w:lineRule="auto"/>
              <w:ind w:left="397"/>
              <w:jc w:val="right"/>
              <w:rPr>
                <w:i/>
                <w:iCs/>
                <w:sz w:val="26"/>
                <w:szCs w:val="26"/>
              </w:rPr>
            </w:pPr>
            <w:r w:rsidRPr="007249CA">
              <w:rPr>
                <w:noProof/>
                <w:sz w:val="26"/>
                <w:szCs w:val="26"/>
              </w:rPr>
              <w:pict>
                <v:line id="Line 3" o:spid="_x0000_s1029" style="position:absolute;left:0;text-align:left;z-index:251657216;visibility:visible;mso-wrap-distance-top:-8e-5mm;mso-wrap-distance-bottom:-8e-5mm" from="93pt,3.5pt" to="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3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SR+hJSAaHXwJKYZEY53/zHWHglFiCZwjMDk+Ox+IkGIICfcovRFS&#10;RrGlQn2JF9PJNCY4LQULzhDm7H5XSYuOJIxL/GJV4LkPs/qgWARrOWHrq+2JkBcbLpcq4EEpQOdq&#10;XebhxyJdrOfreT7KJ7P1KE/revRpU+Wj2SZ7nNYPdVXV2c9ALcuLVjDGVWA3zGaW/53211dymarb&#10;dN7akLxHj/0CssM/ko5aBvkug7DT7Ly1g8YwjjH4+nTCvN/vwb5/4KtfAAAA//8DAFBLAwQUAAYA&#10;CAAAACEAY2z4+9sAAAAHAQAADwAAAGRycy9kb3ducmV2LnhtbEyPQU/DMAyF70j7D5GRuEwsXRFj&#10;Kk2nCeiNC9sQV68xbUXjdE22FX49hguc7KdnPX8vX42uUycaQuvZwHyWgCKuvG25NrDbltdLUCEi&#10;W+w8k4FPCrAqJhc5Ztaf+YVOm1grCeGQoYEmxj7TOlQNOQwz3xOL9+4Hh1HkUGs74FnCXafTJFlo&#10;hy3LhwZ7emio+tgcnYFQvtKh/JpW0+TtpvaUHh6fn9CYq8txfQ8q0hj/juEHX9ChEKa9P7INqhO9&#10;XEiXaOBOhvi381SW/a/WRa7/8xffAAAA//8DAFBLAQItABQABgAIAAAAIQC2gziS/gAAAOEBAAAT&#10;AAAAAAAAAAAAAAAAAAAAAABbQ29udGVudF9UeXBlc10ueG1sUEsBAi0AFAAGAAgAAAAhADj9If/W&#10;AAAAlAEAAAsAAAAAAAAAAAAAAAAALwEAAF9yZWxzLy5yZWxzUEsBAi0AFAAGAAgAAAAhAJTX7cQS&#10;AgAAKAQAAA4AAAAAAAAAAAAAAAAALgIAAGRycy9lMm9Eb2MueG1sUEsBAi0AFAAGAAgAAAAhAGNs&#10;+PvbAAAABwEAAA8AAAAAAAAAAAAAAAAAbAQAAGRycy9kb3ducmV2LnhtbFBLBQYAAAAABAAEAPMA&#10;AAB0BQAAAAA=&#10;"/>
              </w:pict>
            </w:r>
            <w:r w:rsidR="00900767" w:rsidRPr="003C1625">
              <w:rPr>
                <w:i/>
                <w:iCs/>
                <w:sz w:val="26"/>
                <w:szCs w:val="26"/>
                <w:lang w:val="vi-VN"/>
              </w:rPr>
              <w:t xml:space="preserve">      </w:t>
            </w:r>
          </w:p>
          <w:p w:rsidR="00900767" w:rsidRPr="003C1625" w:rsidRDefault="00900767" w:rsidP="008E774C">
            <w:pPr>
              <w:widowControl w:val="0"/>
              <w:spacing w:after="0" w:line="288" w:lineRule="auto"/>
              <w:ind w:firstLine="0"/>
              <w:jc w:val="right"/>
              <w:rPr>
                <w:i/>
                <w:iCs/>
                <w:sz w:val="26"/>
                <w:szCs w:val="26"/>
              </w:rPr>
            </w:pPr>
            <w:r w:rsidRPr="003C1625">
              <w:rPr>
                <w:i/>
                <w:iCs/>
                <w:sz w:val="26"/>
                <w:szCs w:val="26"/>
                <w:lang w:val="vi-VN"/>
              </w:rPr>
              <w:t>Hà Nội, ngày</w:t>
            </w:r>
            <w:r w:rsidR="00B0278F" w:rsidRPr="003C1625">
              <w:rPr>
                <w:i/>
                <w:iCs/>
                <w:sz w:val="26"/>
                <w:szCs w:val="26"/>
              </w:rPr>
              <w:t xml:space="preserve"> </w:t>
            </w:r>
            <w:r w:rsidR="00823999">
              <w:rPr>
                <w:i/>
                <w:iCs/>
                <w:sz w:val="26"/>
                <w:szCs w:val="26"/>
              </w:rPr>
              <w:t xml:space="preserve">29 </w:t>
            </w:r>
            <w:r w:rsidR="00B0278F" w:rsidRPr="003C1625">
              <w:rPr>
                <w:i/>
                <w:iCs/>
                <w:sz w:val="26"/>
                <w:szCs w:val="26"/>
              </w:rPr>
              <w:t xml:space="preserve"> </w:t>
            </w:r>
            <w:r w:rsidRPr="003C1625">
              <w:rPr>
                <w:i/>
                <w:iCs/>
                <w:sz w:val="26"/>
                <w:szCs w:val="26"/>
                <w:lang w:val="vi-VN"/>
              </w:rPr>
              <w:t>tháng</w:t>
            </w:r>
            <w:r w:rsidRPr="003C1625">
              <w:rPr>
                <w:i/>
                <w:iCs/>
                <w:sz w:val="26"/>
                <w:szCs w:val="26"/>
              </w:rPr>
              <w:t xml:space="preserve"> </w:t>
            </w:r>
            <w:r w:rsidR="00D63CF0" w:rsidRPr="003C1625">
              <w:rPr>
                <w:i/>
                <w:iCs/>
                <w:sz w:val="26"/>
                <w:szCs w:val="26"/>
              </w:rPr>
              <w:t xml:space="preserve">7 </w:t>
            </w:r>
            <w:r w:rsidRPr="003C1625">
              <w:rPr>
                <w:i/>
                <w:iCs/>
                <w:sz w:val="26"/>
                <w:szCs w:val="26"/>
                <w:lang w:val="vi-VN"/>
              </w:rPr>
              <w:t>năm 201</w:t>
            </w:r>
            <w:r w:rsidR="00547EF8" w:rsidRPr="003C1625">
              <w:rPr>
                <w:i/>
                <w:iCs/>
                <w:sz w:val="26"/>
                <w:szCs w:val="26"/>
              </w:rPr>
              <w:t>5</w:t>
            </w:r>
          </w:p>
        </w:tc>
      </w:tr>
    </w:tbl>
    <w:p w:rsidR="00900767" w:rsidRPr="003C1625" w:rsidRDefault="00900767" w:rsidP="00910F80">
      <w:pPr>
        <w:spacing w:line="288" w:lineRule="auto"/>
        <w:rPr>
          <w:sz w:val="26"/>
          <w:szCs w:val="26"/>
        </w:rPr>
      </w:pPr>
    </w:p>
    <w:p w:rsidR="00900767" w:rsidRPr="003C1625" w:rsidRDefault="00900767" w:rsidP="00910F80">
      <w:pPr>
        <w:spacing w:line="288" w:lineRule="auto"/>
        <w:ind w:firstLine="0"/>
        <w:jc w:val="center"/>
        <w:rPr>
          <w:b/>
          <w:sz w:val="26"/>
          <w:szCs w:val="26"/>
        </w:rPr>
      </w:pPr>
    </w:p>
    <w:p w:rsidR="00F22114" w:rsidRPr="003C1625" w:rsidRDefault="00F22114" w:rsidP="00910F80">
      <w:pPr>
        <w:spacing w:before="120" w:line="288" w:lineRule="auto"/>
        <w:ind w:firstLine="0"/>
        <w:jc w:val="center"/>
        <w:rPr>
          <w:b/>
          <w:sz w:val="26"/>
          <w:szCs w:val="26"/>
        </w:rPr>
      </w:pPr>
      <w:r w:rsidRPr="003C1625">
        <w:rPr>
          <w:b/>
          <w:sz w:val="26"/>
          <w:szCs w:val="26"/>
          <w:lang w:val="vi-VN"/>
        </w:rPr>
        <w:t>BÁO CÁO</w:t>
      </w:r>
    </w:p>
    <w:p w:rsidR="00F22114" w:rsidRPr="003C1625" w:rsidRDefault="00F22114" w:rsidP="00910F80">
      <w:pPr>
        <w:spacing w:before="120" w:line="288" w:lineRule="auto"/>
        <w:ind w:firstLine="0"/>
        <w:jc w:val="center"/>
        <w:rPr>
          <w:b/>
          <w:sz w:val="26"/>
          <w:szCs w:val="26"/>
        </w:rPr>
      </w:pPr>
      <w:r w:rsidRPr="003C1625">
        <w:rPr>
          <w:b/>
          <w:sz w:val="26"/>
          <w:szCs w:val="26"/>
        </w:rPr>
        <w:t xml:space="preserve">TÌNH HÌNH KINH TẾ THÁNG </w:t>
      </w:r>
      <w:r w:rsidR="00D63CF0" w:rsidRPr="003C1625">
        <w:rPr>
          <w:b/>
          <w:sz w:val="26"/>
          <w:szCs w:val="26"/>
        </w:rPr>
        <w:t>7 VÀ 7</w:t>
      </w:r>
      <w:r w:rsidRPr="003C1625">
        <w:rPr>
          <w:b/>
          <w:sz w:val="26"/>
          <w:szCs w:val="26"/>
        </w:rPr>
        <w:t xml:space="preserve"> THÁNG ĐẦU NĂM 2015</w:t>
      </w:r>
    </w:p>
    <w:p w:rsidR="00F22114" w:rsidRPr="003C1625" w:rsidRDefault="00F22114" w:rsidP="00910F80">
      <w:pPr>
        <w:pStyle w:val="Footer"/>
        <w:spacing w:before="120" w:line="288" w:lineRule="auto"/>
        <w:ind w:firstLine="0"/>
        <w:jc w:val="center"/>
        <w:rPr>
          <w:i/>
          <w:sz w:val="26"/>
          <w:szCs w:val="26"/>
        </w:rPr>
      </w:pPr>
      <w:r w:rsidRPr="003C1625">
        <w:rPr>
          <w:i/>
          <w:sz w:val="26"/>
          <w:szCs w:val="26"/>
          <w:lang w:val="vi-VN"/>
        </w:rPr>
        <w:t xml:space="preserve">(Tài liệu phục vụ </w:t>
      </w:r>
      <w:r w:rsidRPr="003C1625">
        <w:rPr>
          <w:i/>
          <w:sz w:val="26"/>
          <w:szCs w:val="26"/>
        </w:rPr>
        <w:t>phiên họp</w:t>
      </w:r>
      <w:r w:rsidR="00D63CF0" w:rsidRPr="003C1625">
        <w:rPr>
          <w:i/>
          <w:sz w:val="26"/>
          <w:szCs w:val="26"/>
        </w:rPr>
        <w:t xml:space="preserve"> Chính phủ tháng 7</w:t>
      </w:r>
      <w:r w:rsidRPr="003C1625">
        <w:rPr>
          <w:i/>
          <w:sz w:val="26"/>
          <w:szCs w:val="26"/>
        </w:rPr>
        <w:t>/2015</w:t>
      </w:r>
      <w:r w:rsidRPr="003C1625">
        <w:rPr>
          <w:i/>
          <w:sz w:val="26"/>
          <w:szCs w:val="26"/>
          <w:lang w:val="vi-VN"/>
        </w:rPr>
        <w:t>)</w:t>
      </w:r>
    </w:p>
    <w:p w:rsidR="00900767" w:rsidRPr="003C1625" w:rsidRDefault="00900767" w:rsidP="00910F80">
      <w:pPr>
        <w:pStyle w:val="Footer"/>
        <w:spacing w:before="120" w:line="288" w:lineRule="auto"/>
        <w:ind w:firstLine="0"/>
        <w:jc w:val="center"/>
        <w:rPr>
          <w:i/>
          <w:sz w:val="26"/>
          <w:szCs w:val="26"/>
        </w:rPr>
      </w:pPr>
    </w:p>
    <w:p w:rsidR="00BA2285" w:rsidRPr="00AC701B" w:rsidRDefault="00AC701B" w:rsidP="00910F80">
      <w:pPr>
        <w:pStyle w:val="Footer"/>
        <w:numPr>
          <w:ilvl w:val="0"/>
          <w:numId w:val="13"/>
        </w:numPr>
        <w:spacing w:before="120" w:line="288" w:lineRule="auto"/>
        <w:rPr>
          <w:i/>
          <w:sz w:val="26"/>
          <w:szCs w:val="26"/>
        </w:rPr>
      </w:pPr>
      <w:r w:rsidRPr="00AC701B">
        <w:rPr>
          <w:i/>
          <w:sz w:val="26"/>
          <w:szCs w:val="26"/>
        </w:rPr>
        <w:t>Kinh tế thế giới còn nhiều khó khăn và bất định năm 2015, IMF đã hạ dự báo tăng trưởng toàn cầu xuống 3,3%, giảm so với mức dự báo 3,5% hồi tháng 4 và giảm nhẹ so với mức tăng trưởng 3,4% của năm 2014.</w:t>
      </w:r>
      <w:r>
        <w:rPr>
          <w:i/>
          <w:sz w:val="26"/>
          <w:szCs w:val="26"/>
        </w:rPr>
        <w:t xml:space="preserve"> Mỹ là điểm sáng của kinh tế toàn cầu với nhiều dấu hiệu tăng trưởng tích cực; điều này làm tăng tính chắc chắn của việc FED tăng lãi suất vào cuối năm. Châu Âu, gói kích thích kinh tế dần phát huy tác dụng trong khi vấn đề Hy Lạp đã đạt được những thỏa thuận cần thiết. </w:t>
      </w:r>
      <w:r w:rsidR="00A82727">
        <w:rPr>
          <w:i/>
          <w:sz w:val="26"/>
          <w:szCs w:val="26"/>
        </w:rPr>
        <w:t xml:space="preserve">Trung Quốc đối diện với nhiều bất ổn vĩ mô khi giá thị trường tài sản giảm sâu bất chấp nỗ lực mở rộng cung tiền mạnh và các biện pháp hành chính cứng rắn. </w:t>
      </w:r>
    </w:p>
    <w:p w:rsidR="00BA2285" w:rsidRPr="003C1625" w:rsidRDefault="00A82727" w:rsidP="00910F80">
      <w:pPr>
        <w:pStyle w:val="Footer"/>
        <w:numPr>
          <w:ilvl w:val="0"/>
          <w:numId w:val="13"/>
        </w:numPr>
        <w:spacing w:before="120" w:line="288" w:lineRule="auto"/>
        <w:rPr>
          <w:i/>
          <w:sz w:val="26"/>
          <w:szCs w:val="26"/>
        </w:rPr>
      </w:pPr>
      <w:r>
        <w:rPr>
          <w:i/>
          <w:sz w:val="26"/>
          <w:szCs w:val="26"/>
        </w:rPr>
        <w:t xml:space="preserve">Trong nước, tăng trưởng duy trì đà phục hồi; đặc biệt ở khu vực sản xuất, nhất là công nghiệp chế biến chế tạo. </w:t>
      </w:r>
      <w:r w:rsidR="009A6EAE">
        <w:rPr>
          <w:i/>
          <w:sz w:val="26"/>
          <w:szCs w:val="26"/>
        </w:rPr>
        <w:t xml:space="preserve">Hoạt động XNK tăng tốt; tỷ lệ nhập siêu so với kim ngạch xuất khẩu giảm so với 6 tháng đầu năm 2015. Khu vực doanh nghiệp mở rộng về quy mô – mức cao nhất kể từ năm 2009. </w:t>
      </w:r>
    </w:p>
    <w:p w:rsidR="00BA2285" w:rsidRPr="003C1625" w:rsidRDefault="009A6EAE" w:rsidP="00910F80">
      <w:pPr>
        <w:pStyle w:val="Footer"/>
        <w:numPr>
          <w:ilvl w:val="0"/>
          <w:numId w:val="13"/>
        </w:numPr>
        <w:spacing w:before="120" w:line="288" w:lineRule="auto"/>
        <w:rPr>
          <w:i/>
          <w:sz w:val="26"/>
          <w:szCs w:val="26"/>
        </w:rPr>
      </w:pPr>
      <w:r>
        <w:rPr>
          <w:i/>
          <w:sz w:val="26"/>
          <w:szCs w:val="26"/>
        </w:rPr>
        <w:t>Tăng trưởng phục hồi khuyến khích tiêu dùng và đầu tư</w:t>
      </w:r>
      <w:r w:rsidR="00AA412D">
        <w:rPr>
          <w:i/>
          <w:sz w:val="26"/>
          <w:szCs w:val="26"/>
        </w:rPr>
        <w:t xml:space="preserve">. Tổng mức bán lẻ hàng hóa và dịch vụ tăng tốt nhất kể từ năm 2010; đầu tư tư nhân tăng khá. </w:t>
      </w:r>
    </w:p>
    <w:p w:rsidR="00BA2285" w:rsidRDefault="000B1CE1" w:rsidP="00910F80">
      <w:pPr>
        <w:pStyle w:val="Footer"/>
        <w:numPr>
          <w:ilvl w:val="0"/>
          <w:numId w:val="13"/>
        </w:numPr>
        <w:spacing w:before="120" w:line="288" w:lineRule="auto"/>
        <w:rPr>
          <w:i/>
          <w:sz w:val="26"/>
          <w:szCs w:val="26"/>
        </w:rPr>
      </w:pPr>
      <w:r>
        <w:rPr>
          <w:i/>
          <w:sz w:val="26"/>
          <w:szCs w:val="26"/>
        </w:rPr>
        <w:t>Ổn</w:t>
      </w:r>
      <w:r w:rsidR="00AA412D">
        <w:rPr>
          <w:i/>
          <w:sz w:val="26"/>
          <w:szCs w:val="26"/>
        </w:rPr>
        <w:t xml:space="preserve"> định được duy trì vững chắc. Lạm phát kiểm soát ở mức thấp, lạm phát cơ bản ổn định ở mức gần 3% trong 5 tháng qua. Thị trường tài chính ổn định, thanh khoản tốt, tăng tín dụng khá, giảm phụ thuộc vào thị trường liên ngân hàng. </w:t>
      </w:r>
    </w:p>
    <w:p w:rsidR="00F7112F" w:rsidRPr="003C1625" w:rsidRDefault="00AA412D" w:rsidP="000B1CE1">
      <w:pPr>
        <w:pStyle w:val="Footer"/>
        <w:numPr>
          <w:ilvl w:val="0"/>
          <w:numId w:val="13"/>
        </w:numPr>
        <w:spacing w:before="120" w:line="288" w:lineRule="auto"/>
        <w:rPr>
          <w:i/>
          <w:sz w:val="26"/>
          <w:szCs w:val="26"/>
        </w:rPr>
      </w:pPr>
      <w:r>
        <w:rPr>
          <w:i/>
          <w:sz w:val="26"/>
          <w:szCs w:val="26"/>
        </w:rPr>
        <w:t>Tuy nhiên, nền kinh tế đối diện với một số khó khăn nhất định; (i) Phát hành TPCP chỉ đạt 34% kế hoạch năm; lãi suất VND và TPCP đều tăng; (ii) Tốc độ thu NSNN chậm so với d</w:t>
      </w:r>
      <w:r w:rsidR="0091407F">
        <w:rPr>
          <w:i/>
          <w:sz w:val="26"/>
          <w:szCs w:val="26"/>
        </w:rPr>
        <w:t xml:space="preserve">ự kiến; chủ yếu do giảm thu từ dầu thô; (iii) Tỷ giá sẽ chịu một số áp lực 5 tháng cuối năm từ biến động kinh tế </w:t>
      </w:r>
      <w:r w:rsidR="009D4B06">
        <w:rPr>
          <w:i/>
          <w:sz w:val="26"/>
          <w:szCs w:val="26"/>
        </w:rPr>
        <w:t>quốc tế và tăng cầu ngoại tệ nhậ</w:t>
      </w:r>
      <w:r w:rsidR="0091407F">
        <w:rPr>
          <w:i/>
          <w:sz w:val="26"/>
          <w:szCs w:val="26"/>
        </w:rPr>
        <w:t xml:space="preserve">p khẩu trong nước. </w:t>
      </w:r>
    </w:p>
    <w:p w:rsidR="00D13B1D" w:rsidRPr="003C1625" w:rsidRDefault="00D13B1D" w:rsidP="00910F80">
      <w:pPr>
        <w:pStyle w:val="Footer"/>
        <w:spacing w:before="120" w:line="288" w:lineRule="auto"/>
        <w:ind w:firstLine="0"/>
        <w:rPr>
          <w:i/>
          <w:sz w:val="26"/>
          <w:szCs w:val="26"/>
        </w:rPr>
      </w:pPr>
    </w:p>
    <w:p w:rsidR="00F7112F" w:rsidRPr="003C1625" w:rsidRDefault="00F7112F" w:rsidP="00910F80">
      <w:pPr>
        <w:pStyle w:val="Footer"/>
        <w:spacing w:before="120" w:line="288" w:lineRule="auto"/>
        <w:ind w:firstLine="0"/>
        <w:rPr>
          <w:i/>
          <w:sz w:val="26"/>
          <w:szCs w:val="26"/>
        </w:rPr>
      </w:pPr>
    </w:p>
    <w:p w:rsidR="00F22114" w:rsidRPr="003C1625" w:rsidRDefault="00F22114" w:rsidP="00910F80">
      <w:pPr>
        <w:spacing w:after="200" w:line="288" w:lineRule="auto"/>
        <w:ind w:firstLine="0"/>
        <w:jc w:val="left"/>
        <w:rPr>
          <w:b/>
          <w:sz w:val="26"/>
          <w:szCs w:val="26"/>
        </w:rPr>
      </w:pPr>
      <w:r w:rsidRPr="003C1625">
        <w:rPr>
          <w:b/>
          <w:sz w:val="26"/>
          <w:szCs w:val="26"/>
        </w:rPr>
        <w:br w:type="page"/>
      </w:r>
    </w:p>
    <w:p w:rsidR="005926AC" w:rsidRPr="003C1625" w:rsidRDefault="005926AC" w:rsidP="00910F80">
      <w:pPr>
        <w:pStyle w:val="Footer"/>
        <w:numPr>
          <w:ilvl w:val="0"/>
          <w:numId w:val="12"/>
        </w:numPr>
        <w:tabs>
          <w:tab w:val="left" w:pos="284"/>
          <w:tab w:val="left" w:pos="567"/>
        </w:tabs>
        <w:spacing w:before="120" w:line="288" w:lineRule="auto"/>
        <w:ind w:hanging="1080"/>
        <w:rPr>
          <w:b/>
          <w:sz w:val="26"/>
          <w:szCs w:val="26"/>
        </w:rPr>
      </w:pPr>
      <w:r w:rsidRPr="003C1625">
        <w:rPr>
          <w:b/>
          <w:sz w:val="26"/>
          <w:szCs w:val="26"/>
        </w:rPr>
        <w:lastRenderedPageBreak/>
        <w:t>KINH TẾ THẾ GIỚI</w:t>
      </w:r>
      <w:r w:rsidR="008D2284" w:rsidRPr="003C1625">
        <w:rPr>
          <w:b/>
          <w:sz w:val="26"/>
          <w:szCs w:val="26"/>
        </w:rPr>
        <w:t xml:space="preserve"> </w:t>
      </w:r>
    </w:p>
    <w:p w:rsidR="00604F9C" w:rsidRPr="003C1625" w:rsidRDefault="00604F9C" w:rsidP="00910F80">
      <w:pPr>
        <w:spacing w:before="120" w:line="288" w:lineRule="auto"/>
        <w:ind w:firstLine="709"/>
        <w:rPr>
          <w:b/>
          <w:i/>
          <w:sz w:val="26"/>
          <w:szCs w:val="26"/>
        </w:rPr>
      </w:pPr>
      <w:r w:rsidRPr="003C1625">
        <w:rPr>
          <w:b/>
          <w:i/>
          <w:sz w:val="26"/>
          <w:szCs w:val="26"/>
        </w:rPr>
        <w:t>1. Kinh tế thế gi</w:t>
      </w:r>
      <w:r w:rsidR="009D4B06">
        <w:rPr>
          <w:b/>
          <w:i/>
          <w:sz w:val="26"/>
          <w:szCs w:val="26"/>
        </w:rPr>
        <w:t>ới vẫn còn phải đối mặt với nhiề</w:t>
      </w:r>
      <w:r w:rsidRPr="003C1625">
        <w:rPr>
          <w:b/>
          <w:i/>
          <w:sz w:val="26"/>
          <w:szCs w:val="26"/>
        </w:rPr>
        <w:t>u thách thức</w:t>
      </w:r>
    </w:p>
    <w:p w:rsidR="002C63CA" w:rsidRPr="003C1625" w:rsidRDefault="008E774C" w:rsidP="00910F80">
      <w:pPr>
        <w:spacing w:before="120" w:line="288" w:lineRule="auto"/>
        <w:ind w:firstLine="709"/>
        <w:rPr>
          <w:sz w:val="26"/>
          <w:szCs w:val="26"/>
        </w:rPr>
      </w:pPr>
      <w:r>
        <w:rPr>
          <w:sz w:val="26"/>
          <w:szCs w:val="26"/>
        </w:rPr>
        <w:t>K</w:t>
      </w:r>
      <w:r w:rsidR="002C63CA" w:rsidRPr="003C1625">
        <w:rPr>
          <w:sz w:val="26"/>
          <w:szCs w:val="26"/>
        </w:rPr>
        <w:t xml:space="preserve">inh tế thế giới </w:t>
      </w:r>
      <w:r>
        <w:rPr>
          <w:sz w:val="26"/>
          <w:szCs w:val="26"/>
        </w:rPr>
        <w:t xml:space="preserve">còn nhiều khó khăn và bất định năm 2015, IMF đã </w:t>
      </w:r>
      <w:r w:rsidR="00820B53" w:rsidRPr="003C1625">
        <w:rPr>
          <w:sz w:val="26"/>
          <w:szCs w:val="26"/>
        </w:rPr>
        <w:t>h</w:t>
      </w:r>
      <w:r w:rsidR="002C63CA" w:rsidRPr="003C1625">
        <w:rPr>
          <w:sz w:val="26"/>
          <w:szCs w:val="26"/>
        </w:rPr>
        <w:t xml:space="preserve">ạ dự báo tăng trưởng toàn cầu xuống 3,3%, giảm so với mức dự báo 3,5% hồi tháng 4 và giảm nhẹ so với mức tăng trưởng 3,4% của năm 2014. Tuy nhiên, triển vọng tăng trưởng năm 2016 </w:t>
      </w:r>
      <w:r>
        <w:rPr>
          <w:sz w:val="26"/>
          <w:szCs w:val="26"/>
        </w:rPr>
        <w:t xml:space="preserve">tích cực hơn với dự báo </w:t>
      </w:r>
      <w:r w:rsidR="002C63CA" w:rsidRPr="003C1625">
        <w:rPr>
          <w:sz w:val="26"/>
          <w:szCs w:val="26"/>
        </w:rPr>
        <w:t xml:space="preserve">3,8% </w:t>
      </w:r>
      <w:r w:rsidR="009D4B06">
        <w:rPr>
          <w:sz w:val="26"/>
          <w:szCs w:val="26"/>
        </w:rPr>
        <w:t>với</w:t>
      </w:r>
      <w:r>
        <w:rPr>
          <w:sz w:val="26"/>
          <w:szCs w:val="26"/>
        </w:rPr>
        <w:t xml:space="preserve"> kỳ vọng</w:t>
      </w:r>
      <w:r w:rsidR="002C63CA" w:rsidRPr="003C1625">
        <w:rPr>
          <w:sz w:val="26"/>
          <w:szCs w:val="26"/>
        </w:rPr>
        <w:t xml:space="preserve"> khó khăn của </w:t>
      </w:r>
      <w:r w:rsidR="005A7274" w:rsidRPr="003C1625">
        <w:rPr>
          <w:sz w:val="26"/>
          <w:szCs w:val="26"/>
        </w:rPr>
        <w:t>nhiều nên kinh tế và</w:t>
      </w:r>
      <w:r w:rsidR="002C63CA" w:rsidRPr="003C1625">
        <w:rPr>
          <w:sz w:val="26"/>
          <w:szCs w:val="26"/>
        </w:rPr>
        <w:t xml:space="preserve"> khu vực được cải thiện.</w:t>
      </w:r>
    </w:p>
    <w:p w:rsidR="002C63CA" w:rsidRPr="003C1625" w:rsidRDefault="002C63CA" w:rsidP="00910F80">
      <w:pPr>
        <w:spacing w:before="120" w:line="288" w:lineRule="auto"/>
        <w:ind w:firstLine="709"/>
        <w:rPr>
          <w:sz w:val="26"/>
          <w:szCs w:val="26"/>
        </w:rPr>
      </w:pPr>
      <w:r w:rsidRPr="003C1625">
        <w:rPr>
          <w:b/>
          <w:i/>
          <w:sz w:val="26"/>
          <w:szCs w:val="26"/>
        </w:rPr>
        <w:t>Mỹ,</w:t>
      </w:r>
      <w:r w:rsidRPr="003C1625">
        <w:rPr>
          <w:i/>
          <w:sz w:val="26"/>
          <w:szCs w:val="26"/>
        </w:rPr>
        <w:t xml:space="preserve"> </w:t>
      </w:r>
      <w:r w:rsidRPr="003C1625">
        <w:rPr>
          <w:sz w:val="26"/>
          <w:szCs w:val="26"/>
        </w:rPr>
        <w:t>tiếp tục là</w:t>
      </w:r>
      <w:r w:rsidRPr="003C1625">
        <w:rPr>
          <w:i/>
          <w:sz w:val="26"/>
          <w:szCs w:val="26"/>
        </w:rPr>
        <w:t xml:space="preserve"> </w:t>
      </w:r>
      <w:r w:rsidRPr="003C1625">
        <w:rPr>
          <w:sz w:val="26"/>
          <w:szCs w:val="26"/>
        </w:rPr>
        <w:t>điểm sáng của kinh tế thế giới khi đón nhận nhiều thông tin tích cực trong tháng 6</w:t>
      </w:r>
      <w:r w:rsidRPr="003C1625">
        <w:rPr>
          <w:rStyle w:val="FootnoteReference"/>
          <w:sz w:val="26"/>
          <w:szCs w:val="26"/>
        </w:rPr>
        <w:footnoteReference w:id="1"/>
      </w:r>
      <w:r w:rsidRPr="003C1625">
        <w:rPr>
          <w:sz w:val="26"/>
          <w:szCs w:val="26"/>
        </w:rPr>
        <w:t>. Hoạt động sản xuất của các nhà máy đạt 53,5 điểm</w:t>
      </w:r>
      <w:r w:rsidR="002970CD" w:rsidRPr="003C1625">
        <w:rPr>
          <w:sz w:val="26"/>
          <w:szCs w:val="26"/>
          <w:vertAlign w:val="superscript"/>
        </w:rPr>
        <w:t>1</w:t>
      </w:r>
      <w:r w:rsidRPr="003C1625">
        <w:rPr>
          <w:sz w:val="26"/>
          <w:szCs w:val="26"/>
        </w:rPr>
        <w:t xml:space="preserve"> (tăng so với mức 52,8 điểm của tháng 5, cao nhất kể từ tháng 1); chỉ số đơn đặt hàng mới 56% (tăng 0,2 điểm phần trăm so với tháng trước); tỷ lệ thất nghiệp giảm 0,1% xuống mức 5,3% trong tháng. Trước những tín hiệu </w:t>
      </w:r>
      <w:r w:rsidR="002970CD" w:rsidRPr="003C1625">
        <w:rPr>
          <w:sz w:val="26"/>
          <w:szCs w:val="26"/>
        </w:rPr>
        <w:t>khả quan</w:t>
      </w:r>
      <w:r w:rsidRPr="003C1625">
        <w:rPr>
          <w:sz w:val="26"/>
          <w:szCs w:val="26"/>
        </w:rPr>
        <w:t xml:space="preserve"> của nền kinh tế, Mỹ đã hạ dự báo thâm hụt ngân sách năm 2015 xuống 455 tỷ USD, giảm 128 tỷ USD so với mức ước tính đưa ra hồi tháng 2, nhờ cắt giảm chi tiêu và nguồn thu ngân sách ước tính tăng cao</w:t>
      </w:r>
      <w:r w:rsidRPr="003C1625">
        <w:rPr>
          <w:rStyle w:val="FootnoteReference"/>
          <w:sz w:val="26"/>
          <w:szCs w:val="26"/>
        </w:rPr>
        <w:footnoteReference w:id="2"/>
      </w:r>
      <w:r w:rsidRPr="003C1625">
        <w:rPr>
          <w:sz w:val="26"/>
          <w:szCs w:val="26"/>
        </w:rPr>
        <w:t xml:space="preserve">. Điều này sẽ làm tăng </w:t>
      </w:r>
      <w:r w:rsidR="008E774C">
        <w:rPr>
          <w:sz w:val="26"/>
          <w:szCs w:val="26"/>
        </w:rPr>
        <w:t xml:space="preserve">khả năng chắc chắn </w:t>
      </w:r>
      <w:r w:rsidRPr="003C1625">
        <w:rPr>
          <w:sz w:val="26"/>
          <w:szCs w:val="26"/>
        </w:rPr>
        <w:t xml:space="preserve">FED </w:t>
      </w:r>
      <w:r w:rsidR="008E774C">
        <w:rPr>
          <w:sz w:val="26"/>
          <w:szCs w:val="26"/>
        </w:rPr>
        <w:t xml:space="preserve">nâng lãi suất </w:t>
      </w:r>
      <w:r w:rsidRPr="003C1625">
        <w:rPr>
          <w:sz w:val="26"/>
          <w:szCs w:val="26"/>
        </w:rPr>
        <w:t xml:space="preserve">vào cuối năm nay. </w:t>
      </w:r>
    </w:p>
    <w:p w:rsidR="002C63CA" w:rsidRPr="003C1625" w:rsidRDefault="002C63CA" w:rsidP="00910F80">
      <w:pPr>
        <w:spacing w:before="120" w:line="288" w:lineRule="auto"/>
        <w:ind w:firstLine="709"/>
        <w:rPr>
          <w:sz w:val="26"/>
          <w:szCs w:val="26"/>
        </w:rPr>
      </w:pPr>
      <w:r w:rsidRPr="003C1625">
        <w:rPr>
          <w:b/>
          <w:i/>
          <w:sz w:val="26"/>
          <w:szCs w:val="26"/>
        </w:rPr>
        <w:t xml:space="preserve">Châu Âu, </w:t>
      </w:r>
      <w:r w:rsidRPr="003C1625">
        <w:rPr>
          <w:sz w:val="26"/>
          <w:szCs w:val="26"/>
        </w:rPr>
        <w:t xml:space="preserve">dự kiến </w:t>
      </w:r>
      <w:r w:rsidR="002970CD" w:rsidRPr="003C1625">
        <w:rPr>
          <w:sz w:val="26"/>
          <w:szCs w:val="26"/>
        </w:rPr>
        <w:t>tốc</w:t>
      </w:r>
      <w:r w:rsidRPr="003C1625">
        <w:rPr>
          <w:sz w:val="26"/>
          <w:szCs w:val="26"/>
        </w:rPr>
        <w:t xml:space="preserve"> độ tăng trưởng trong quý 2/2015 có thể tương đương với mức tăng 0,4% </w:t>
      </w:r>
      <w:r w:rsidR="002970CD" w:rsidRPr="003C1625">
        <w:rPr>
          <w:sz w:val="26"/>
          <w:szCs w:val="26"/>
        </w:rPr>
        <w:t xml:space="preserve">của </w:t>
      </w:r>
      <w:r w:rsidRPr="003C1625">
        <w:rPr>
          <w:sz w:val="26"/>
          <w:szCs w:val="26"/>
        </w:rPr>
        <w:t>quý 1/2015</w:t>
      </w:r>
      <w:r w:rsidRPr="003C1625">
        <w:rPr>
          <w:rStyle w:val="FootnoteReference"/>
          <w:sz w:val="26"/>
          <w:szCs w:val="26"/>
        </w:rPr>
        <w:footnoteReference w:id="3"/>
      </w:r>
      <w:r w:rsidRPr="003C1625">
        <w:rPr>
          <w:sz w:val="26"/>
          <w:szCs w:val="26"/>
        </w:rPr>
        <w:t>. Chỉ số PMI tháng 6 bao gồm hoạt động sản xuất và dịch vụ đạt 54,1 điểm</w:t>
      </w:r>
      <w:r w:rsidRPr="003C1625">
        <w:rPr>
          <w:rStyle w:val="FootnoteReference"/>
          <w:sz w:val="26"/>
          <w:szCs w:val="26"/>
        </w:rPr>
        <w:footnoteReference w:id="4"/>
      </w:r>
      <w:r w:rsidRPr="003C1625">
        <w:rPr>
          <w:sz w:val="26"/>
          <w:szCs w:val="26"/>
        </w:rPr>
        <w:t xml:space="preserve"> mức tăng cao nhất kể từ tháng 5/2011; tỷ lệ lạm phát tăng 0,2%; tỷ lệ thất nghiệp không đổi ở mức 11,1% trong tháng 5 so với tháng trước nhưng thấp hơn cùng kỳ 2014. </w:t>
      </w:r>
      <w:r w:rsidR="002970CD" w:rsidRPr="003C1625">
        <w:rPr>
          <w:sz w:val="26"/>
          <w:szCs w:val="26"/>
        </w:rPr>
        <w:t>K</w:t>
      </w:r>
      <w:r w:rsidRPr="003C1625">
        <w:rPr>
          <w:sz w:val="26"/>
          <w:szCs w:val="26"/>
        </w:rPr>
        <w:t>inh tế Eurozone có thể tăng trưởng 2% trong cả năm 2015</w:t>
      </w:r>
      <w:r w:rsidR="002970CD" w:rsidRPr="003C1625">
        <w:rPr>
          <w:sz w:val="26"/>
          <w:szCs w:val="26"/>
        </w:rPr>
        <w:t>;</w:t>
      </w:r>
      <w:r w:rsidRPr="003C1625">
        <w:rPr>
          <w:sz w:val="26"/>
          <w:szCs w:val="26"/>
        </w:rPr>
        <w:t xml:space="preserve"> điều này cho thấy chương trình kích thích kinh tế của ECB đang dần phát huy tác dụng. Ngày 13/7, ECB quyết định giữ nguyên khoản hỗ trợ tín dụng cho Hy Lạp (Hỗ trợ Thanh khoản khẩn cấp -ELA) ở mức 89 tỷ euro (tương đương 99 tỷ USD) với yêu cầu Quốc hội Hy Lạp phải thông qua những thay đổi sâu rộng về luật lao động, tiền lương, thuế VAT và các loại thuế khác</w:t>
      </w:r>
      <w:r w:rsidR="002970CD" w:rsidRPr="003C1625">
        <w:rPr>
          <w:sz w:val="26"/>
          <w:szCs w:val="26"/>
        </w:rPr>
        <w:t xml:space="preserve">, </w:t>
      </w:r>
      <w:r w:rsidRPr="003C1625">
        <w:rPr>
          <w:sz w:val="26"/>
          <w:szCs w:val="26"/>
        </w:rPr>
        <w:t xml:space="preserve"> </w:t>
      </w:r>
      <w:r w:rsidR="002970CD" w:rsidRPr="003C1625">
        <w:rPr>
          <w:sz w:val="26"/>
          <w:szCs w:val="26"/>
        </w:rPr>
        <w:t>động thái này đã xoa dịu</w:t>
      </w:r>
      <w:r w:rsidRPr="003C1625">
        <w:rPr>
          <w:sz w:val="26"/>
          <w:szCs w:val="26"/>
        </w:rPr>
        <w:t xml:space="preserve"> tình hình căng thẳng tại Hy Lạp.</w:t>
      </w:r>
    </w:p>
    <w:p w:rsidR="0013143E" w:rsidRPr="003C1625" w:rsidRDefault="0013143E" w:rsidP="0013143E">
      <w:pPr>
        <w:spacing w:before="120" w:line="288" w:lineRule="auto"/>
        <w:ind w:firstLine="709"/>
        <w:rPr>
          <w:sz w:val="26"/>
          <w:szCs w:val="26"/>
        </w:rPr>
      </w:pPr>
      <w:r w:rsidRPr="003C1625">
        <w:rPr>
          <w:b/>
          <w:i/>
          <w:sz w:val="26"/>
          <w:szCs w:val="26"/>
        </w:rPr>
        <w:t xml:space="preserve">Nhật Bản, </w:t>
      </w:r>
      <w:r w:rsidRPr="003C1625">
        <w:rPr>
          <w:sz w:val="26"/>
          <w:szCs w:val="26"/>
        </w:rPr>
        <w:t>nền kinh tế</w:t>
      </w:r>
      <w:r w:rsidRPr="003C1625">
        <w:rPr>
          <w:b/>
          <w:sz w:val="26"/>
          <w:szCs w:val="26"/>
        </w:rPr>
        <w:t xml:space="preserve"> </w:t>
      </w:r>
      <w:r w:rsidRPr="003C1625">
        <w:rPr>
          <w:sz w:val="26"/>
          <w:szCs w:val="26"/>
        </w:rPr>
        <w:t>có dấu hiệu chững lại khi dự báo chỉ tăng 1,3% trong quý II, giảm mạnh so với mức 3,9% trong quý I, tuy nhiên, mức giảm này là tạm thời bởi chi tiêu tiêu dùng, xuất khẩu và chi phí vốn đang có dấu hiệu tăng trong thời gian tới. Trong tháng 6, chỉ số PMI trong giảm xuống 49,9 điểm (tháng 5</w:t>
      </w:r>
      <w:r>
        <w:rPr>
          <w:sz w:val="26"/>
          <w:szCs w:val="26"/>
        </w:rPr>
        <w:t xml:space="preserve"> là</w:t>
      </w:r>
      <w:r w:rsidRPr="003C1625">
        <w:rPr>
          <w:sz w:val="26"/>
          <w:szCs w:val="26"/>
        </w:rPr>
        <w:t xml:space="preserve"> 50,9 điểm); chỉ số sản lượng sơ bộ giảm xuống 50,5 điểm từ 51,9 điểm trong tháng trước; các đơn đặt hàng mới sơ bộ giảm xuống 49,4 điểm từ 50,9 điểm trong tháng 5. Điểm sáng duy nhất là số các đơn hàng xuất khẩu mới tăng lên 53,6 điểm so với 50,6 điểm của tháng 5, giá tiêu dùng của nước này trong tháng 5/2015 đã tăng 0,1% so với cùng kỳ năm 2014, đánh dấu tháng tăng thứ 24 liên tiếp. </w:t>
      </w:r>
    </w:p>
    <w:p w:rsidR="002C63CA" w:rsidRPr="003C1625" w:rsidRDefault="002C63CA" w:rsidP="00910F80">
      <w:pPr>
        <w:spacing w:before="120" w:line="288" w:lineRule="auto"/>
        <w:ind w:firstLine="709"/>
        <w:rPr>
          <w:sz w:val="26"/>
          <w:szCs w:val="26"/>
        </w:rPr>
      </w:pPr>
      <w:r w:rsidRPr="003C1625">
        <w:rPr>
          <w:b/>
          <w:i/>
          <w:sz w:val="26"/>
          <w:szCs w:val="26"/>
        </w:rPr>
        <w:lastRenderedPageBreak/>
        <w:t>Trung Quốc,</w:t>
      </w:r>
      <w:r w:rsidRPr="003C1625">
        <w:rPr>
          <w:b/>
          <w:sz w:val="26"/>
          <w:szCs w:val="26"/>
        </w:rPr>
        <w:t xml:space="preserve"> </w:t>
      </w:r>
      <w:r w:rsidRPr="003C1625">
        <w:rPr>
          <w:sz w:val="26"/>
          <w:szCs w:val="26"/>
        </w:rPr>
        <w:t>sự giảm tốc</w:t>
      </w:r>
      <w:r w:rsidR="002970CD" w:rsidRPr="003C1625">
        <w:rPr>
          <w:sz w:val="26"/>
          <w:szCs w:val="26"/>
        </w:rPr>
        <w:t xml:space="preserve"> tăng trưởng</w:t>
      </w:r>
      <w:r w:rsidRPr="003C1625">
        <w:rPr>
          <w:sz w:val="26"/>
          <w:szCs w:val="26"/>
        </w:rPr>
        <w:t xml:space="preserve"> hiện nay của nước này đang kéo lùi tăng trưởng khu vực. Tăng trưởng GDP quý II bằng với quý I ở mức 7%</w:t>
      </w:r>
      <w:r w:rsidRPr="003C1625">
        <w:rPr>
          <w:rStyle w:val="FootnoteReference"/>
          <w:sz w:val="26"/>
          <w:szCs w:val="26"/>
        </w:rPr>
        <w:footnoteReference w:id="5"/>
      </w:r>
      <w:r w:rsidRPr="003C1625">
        <w:rPr>
          <w:sz w:val="26"/>
          <w:szCs w:val="26"/>
        </w:rPr>
        <w:t xml:space="preserve">. Trong tháng 6, chỉ số PMI mặc dù tăng lên 49,6 điểm cao nhất trong 3 tháng qua nhưng vẫn đang dưỡi ngưỡng 50 điểm; lạm phát tăng 1,4% so với cùng kỳ năm ngoái; chỉ số giá nhà sản xuất giảm xuống âm 4,8%, đánh dấu tháng thứ 39 giảm liên tiếp. Triển vọng của Trung Quốc trong bối cảnh đáng lo ngại khi đang phải đối mặt với </w:t>
      </w:r>
      <w:r w:rsidR="002970CD" w:rsidRPr="003C1625">
        <w:rPr>
          <w:sz w:val="26"/>
          <w:szCs w:val="26"/>
        </w:rPr>
        <w:t xml:space="preserve">sự suy giảm mạnh của </w:t>
      </w:r>
      <w:r w:rsidRPr="003C1625">
        <w:rPr>
          <w:sz w:val="26"/>
          <w:szCs w:val="26"/>
        </w:rPr>
        <w:t xml:space="preserve">thị trường bất động sản </w:t>
      </w:r>
      <w:r w:rsidR="002970CD" w:rsidRPr="003C1625">
        <w:rPr>
          <w:sz w:val="26"/>
          <w:szCs w:val="26"/>
        </w:rPr>
        <w:t>và thị trường chứng khoán</w:t>
      </w:r>
      <w:r w:rsidRPr="003C1625">
        <w:rPr>
          <w:sz w:val="26"/>
          <w:szCs w:val="26"/>
        </w:rPr>
        <w:t>, nhu cầu tiêu thụ toàn cầu sụt giảm, dòng vốn đầu tư nước ngoài đang tháo chạy</w:t>
      </w:r>
      <w:r w:rsidRPr="003C1625">
        <w:rPr>
          <w:rStyle w:val="FootnoteReference"/>
          <w:sz w:val="26"/>
          <w:szCs w:val="26"/>
        </w:rPr>
        <w:footnoteReference w:id="6"/>
      </w:r>
      <w:r w:rsidRPr="003C1625">
        <w:rPr>
          <w:sz w:val="26"/>
          <w:szCs w:val="26"/>
        </w:rPr>
        <w:t>, tỷ lệ nợ công cao</w:t>
      </w:r>
      <w:r w:rsidRPr="003C1625">
        <w:rPr>
          <w:rStyle w:val="FootnoteReference"/>
          <w:sz w:val="26"/>
          <w:szCs w:val="26"/>
        </w:rPr>
        <w:footnoteReference w:id="7"/>
      </w:r>
      <w:r w:rsidRPr="003C1625">
        <w:rPr>
          <w:sz w:val="26"/>
          <w:szCs w:val="26"/>
        </w:rPr>
        <w:t xml:space="preserve">. </w:t>
      </w:r>
    </w:p>
    <w:p w:rsidR="002C63CA" w:rsidRPr="003C1625" w:rsidRDefault="007249CA" w:rsidP="00910F80">
      <w:pPr>
        <w:spacing w:before="120" w:line="288" w:lineRule="auto"/>
        <w:ind w:firstLine="709"/>
        <w:rPr>
          <w:sz w:val="26"/>
          <w:szCs w:val="26"/>
        </w:rPr>
      </w:pPr>
      <w:r>
        <w:rPr>
          <w:noProof/>
          <w:sz w:val="26"/>
          <w:szCs w:val="26"/>
        </w:rPr>
        <w:pict>
          <v:rect id="Rectangle 4" o:spid="_x0000_s1028" style="position:absolute;left:0;text-align:left;margin-left:244.85pt;margin-top:10.3pt;width:3in;height:19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MRxgwIAAAcFAAAOAAAAZHJzL2Uyb0RvYy54bWysVNtuGyEQfa/Uf0C8O3sxvuwq6yhx6qpS&#10;2kZN+wEYWC8qC1vAXidV/70DaztO24eq6j6wDAyHMzNnuLzatwrthHXS6ApnFylGQjPDpd5U+Mvn&#10;1WiOkfNUc6qMFhV+FA5fLV6/uuy7UuSmMYoLiwBEu7LvKtx435VJ4lgjWuouTCc0bNbGttSDaTcJ&#10;t7QH9FYleZpOk95Y3lnDhHOwejts4kXEr2vB/Me6dsIjVWHg5uNo47gOY7K4pOXG0q6R7ECD/gOL&#10;lkoNl56gbqmnaGvlb1CtZNY4U/sLZtrE1LVkIsYA0WTpL9E8NLQTMRZIjutOaXL/D5Z92N1bJHmF&#10;xxhp2kKJPkHSqN4ogUhIT9+5ErweunsbAnTdnWFfHdJm2YCXuLbW9I2gHEhlwT95cSAYDo6idf/e&#10;cECnW29ipva1bQMg5ADtY0EeTwURe48YLOYzMoYqY8RgLyfjyXwaS5bQ8ni8s86/FaZFYVJhC+Qj&#10;PN3dOR/o0PLoEukbJflKKhUNu1kvlUU7CupYxS9GAFGeuykdnLUJxwbEYQVYwh1hL/CN1f5eZDlJ&#10;b/JitJrOZyOyIpNRMUvnozQrboppSgpyu/oRCGakbCTnQt9JLY7Ky8jfVfbQA4NmovZQX+Fikk9i&#10;7C/Yu/Mg0/j9KchWemhEJdsKz09OtAyVfaM5hE1LT6Ua5slL+jHLkIPjP2Yl6iCUfpCQ36/3gBL0&#10;sDb8ERRhDdQLaguvB0waY58w6qETK+y+bakVGKl3GlRVZISE1o0GmcxyMOz5zvp8h2oGUBX2GA3T&#10;pR/afdtZuWngpizmSJtrUGIto0aeWR30C90Wgzm8DKGdz+3o9fx+LX4CAAD//wMAUEsDBBQABgAI&#10;AAAAIQCsh1IK3gAAAAoBAAAPAAAAZHJzL2Rvd25yZXYueG1sTI/BTsMwDIbvSLxDZCRuLFkpZe2a&#10;TghpJ+DAhrSr12RtReOUJt3K22NOcLT/T78/l5vZ9eJsx9B50rBcKBCWam86ajR87Ld3KxAhIhns&#10;PVkN3zbAprq+KrEw/kLv9ryLjeASCgVqaGMcCilD3VqHYeEHS5yd/Ogw8jg20ox44XLXy0SpTDrs&#10;iC+0ONjn1tafu8lpwCw1X2+n+9f9y5Rh3sxq+3BQWt/ezE9rENHO8Q+GX31Wh4qdjn4iE0SvIV3l&#10;j4xqSFQGgoE8WfLiyIlKE5BVKf+/UP0AAAD//wMAUEsBAi0AFAAGAAgAAAAhALaDOJL+AAAA4QEA&#10;ABMAAAAAAAAAAAAAAAAAAAAAAFtDb250ZW50X1R5cGVzXS54bWxQSwECLQAUAAYACAAAACEAOP0h&#10;/9YAAACUAQAACwAAAAAAAAAAAAAAAAAvAQAAX3JlbHMvLnJlbHNQSwECLQAUAAYACAAAACEA9uDE&#10;cYMCAAAHBQAADgAAAAAAAAAAAAAAAAAuAgAAZHJzL2Uyb0RvYy54bWxQSwECLQAUAAYACAAAACEA&#10;rIdSCt4AAAAKAQAADwAAAAAAAAAAAAAAAADdBAAAZHJzL2Rvd25yZXYueG1sUEsFBgAAAAAEAAQA&#10;8wAAAOgFAAAAAA==&#10;" stroked="f">
            <v:textbox>
              <w:txbxContent>
                <w:p w:rsidR="003C1625" w:rsidRPr="00C16E13" w:rsidRDefault="003C1625" w:rsidP="00AE4F5D">
                  <w:pPr>
                    <w:ind w:firstLine="0"/>
                    <w:jc w:val="center"/>
                    <w:rPr>
                      <w:b/>
                      <w:sz w:val="24"/>
                    </w:rPr>
                  </w:pPr>
                  <w:r w:rsidRPr="00C16E13">
                    <w:rPr>
                      <w:b/>
                      <w:sz w:val="24"/>
                    </w:rPr>
                    <w:t>Hình 1: Chỉ số Shanghai Composite</w:t>
                  </w:r>
                </w:p>
                <w:p w:rsidR="003C1625" w:rsidRPr="00C16E13" w:rsidRDefault="003C1625" w:rsidP="00AE4F5D">
                  <w:pPr>
                    <w:ind w:firstLine="0"/>
                    <w:jc w:val="center"/>
                    <w:rPr>
                      <w:b/>
                      <w:sz w:val="24"/>
                    </w:rPr>
                  </w:pPr>
                  <w:r w:rsidRPr="00C16E13">
                    <w:rPr>
                      <w:noProof/>
                      <w:sz w:val="24"/>
                    </w:rPr>
                    <w:drawing>
                      <wp:inline distT="0" distB="0" distL="0" distR="0">
                        <wp:extent cx="2449002" cy="1820848"/>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1625" w:rsidRPr="00C16E13" w:rsidRDefault="003C1625" w:rsidP="002C63CA">
                  <w:pPr>
                    <w:jc w:val="right"/>
                    <w:rPr>
                      <w:sz w:val="24"/>
                    </w:rPr>
                  </w:pPr>
                  <w:r w:rsidRPr="00C16E13">
                    <w:rPr>
                      <w:i/>
                      <w:sz w:val="24"/>
                    </w:rPr>
                    <w:t>Nguồn:</w:t>
                  </w:r>
                  <w:r w:rsidRPr="00C16E13">
                    <w:rPr>
                      <w:sz w:val="24"/>
                    </w:rPr>
                    <w:t xml:space="preserve"> Investing.com</w:t>
                  </w:r>
                </w:p>
                <w:p w:rsidR="003C1625" w:rsidRPr="00C16E13" w:rsidRDefault="003C1625" w:rsidP="002C63CA">
                  <w:pPr>
                    <w:jc w:val="center"/>
                    <w:rPr>
                      <w:b/>
                      <w:sz w:val="24"/>
                    </w:rPr>
                  </w:pPr>
                </w:p>
                <w:p w:rsidR="003C1625" w:rsidRPr="00C16E13" w:rsidRDefault="003C1625" w:rsidP="002C63CA">
                  <w:pPr>
                    <w:jc w:val="center"/>
                    <w:rPr>
                      <w:b/>
                      <w:sz w:val="24"/>
                    </w:rPr>
                  </w:pPr>
                </w:p>
              </w:txbxContent>
            </v:textbox>
            <w10:wrap type="square"/>
          </v:rect>
        </w:pict>
      </w:r>
      <w:r w:rsidR="002C63CA" w:rsidRPr="003C1625">
        <w:rPr>
          <w:sz w:val="26"/>
          <w:szCs w:val="26"/>
        </w:rPr>
        <w:t>Thị trường chứng khoán nước này đã trải qua một năm đầy biến động khi đạt đỉnh ngày 12/6 với mức tăng 48,94% so với đầu năm và sau đó đã sụt giảm 23,38% trong vòng 4 tuần khiến thị trường tổn thất hơn 3.000 tỷ USD</w:t>
      </w:r>
      <w:r w:rsidR="002C63CA" w:rsidRPr="003C1625">
        <w:rPr>
          <w:rStyle w:val="FootnoteReference"/>
          <w:sz w:val="26"/>
          <w:szCs w:val="26"/>
        </w:rPr>
        <w:footnoteReference w:id="8"/>
      </w:r>
      <w:r w:rsidR="002C63CA" w:rsidRPr="003C1625">
        <w:rPr>
          <w:sz w:val="26"/>
          <w:szCs w:val="26"/>
        </w:rPr>
        <w:t xml:space="preserve">. </w:t>
      </w:r>
      <w:r w:rsidR="002970CD" w:rsidRPr="003C1625">
        <w:rPr>
          <w:sz w:val="26"/>
          <w:szCs w:val="26"/>
        </w:rPr>
        <w:t>Bất chấp nỗ lực mở rộng cung tiền của Chính phủ Trung Quốc</w:t>
      </w:r>
      <w:r w:rsidR="00BF0FC6" w:rsidRPr="003C1625">
        <w:rPr>
          <w:rStyle w:val="FootnoteReference"/>
          <w:sz w:val="26"/>
          <w:szCs w:val="26"/>
        </w:rPr>
        <w:footnoteReference w:id="9"/>
      </w:r>
      <w:r w:rsidR="002970CD" w:rsidRPr="003C1625">
        <w:rPr>
          <w:sz w:val="26"/>
          <w:szCs w:val="26"/>
        </w:rPr>
        <w:t xml:space="preserve"> thị trường chứng khoán vẫn </w:t>
      </w:r>
      <w:r w:rsidR="00537637">
        <w:rPr>
          <w:sz w:val="26"/>
          <w:szCs w:val="26"/>
        </w:rPr>
        <w:t>lao</w:t>
      </w:r>
      <w:r w:rsidR="002970CD" w:rsidRPr="003C1625">
        <w:rPr>
          <w:sz w:val="26"/>
          <w:szCs w:val="26"/>
        </w:rPr>
        <w:t xml:space="preserve"> dốc ngoài kiểm soát do: (i) </w:t>
      </w:r>
      <w:r w:rsidR="00BF0FC6" w:rsidRPr="003C1625">
        <w:rPr>
          <w:sz w:val="26"/>
          <w:szCs w:val="26"/>
        </w:rPr>
        <w:t xml:space="preserve">dòng tiền dễ dãi ồ ạt đầu tư vào TTCK; chất lượng nhà đầu tư thấp, tỷ lệ đòn bẩy cao; (ii) tăng trưởng đáng thất vọng, các bất ổn vĩ mô khác khiến dòng vốn rút khỏi thị trường. </w:t>
      </w:r>
      <w:r w:rsidR="002C63CA" w:rsidRPr="003C1625">
        <w:rPr>
          <w:sz w:val="26"/>
          <w:szCs w:val="26"/>
        </w:rPr>
        <w:t>Lo ngại thị trường chứng khoán đe dọa đến tăng trưởng của nền kinh tế, Trung Quốc đã tung nhiều biện pháp</w:t>
      </w:r>
      <w:r w:rsidR="00EA48CE" w:rsidRPr="003C1625">
        <w:rPr>
          <w:sz w:val="26"/>
          <w:szCs w:val="26"/>
        </w:rPr>
        <w:t xml:space="preserve"> </w:t>
      </w:r>
      <w:r w:rsidR="00537637">
        <w:rPr>
          <w:sz w:val="26"/>
          <w:szCs w:val="26"/>
        </w:rPr>
        <w:t>hành chính mạnh</w:t>
      </w:r>
      <w:r w:rsidR="00EA48CE" w:rsidRPr="003C1625">
        <w:rPr>
          <w:sz w:val="26"/>
          <w:szCs w:val="26"/>
        </w:rPr>
        <w:t xml:space="preserve"> như</w:t>
      </w:r>
      <w:r w:rsidR="002C63CA" w:rsidRPr="003C1625">
        <w:rPr>
          <w:sz w:val="26"/>
          <w:szCs w:val="26"/>
        </w:rPr>
        <w:t xml:space="preserve"> cấm các cổ đông lớn bán ra cổ phiếu, yêu cầu các công ty nhà nước mua cổ phiếu, cho phép hàng nghìn cổ phiếu ngừng giao dịch. Nước này cũng đã dành sẵn 483 tỉ USD cho Tập đoàn tài chính chứng khoán Trung Quốc (CSF) mua cổ phiếu và hỗ trợ thanh khoản cho thị trường. </w:t>
      </w:r>
    </w:p>
    <w:p w:rsidR="00604F9C" w:rsidRPr="003C1625" w:rsidRDefault="00604F9C" w:rsidP="00910F80">
      <w:pPr>
        <w:spacing w:before="120" w:line="288" w:lineRule="auto"/>
        <w:ind w:firstLine="709"/>
        <w:rPr>
          <w:b/>
          <w:i/>
          <w:sz w:val="26"/>
          <w:szCs w:val="26"/>
        </w:rPr>
      </w:pPr>
      <w:r w:rsidRPr="003C1625">
        <w:rPr>
          <w:b/>
          <w:i/>
          <w:sz w:val="26"/>
          <w:szCs w:val="26"/>
        </w:rPr>
        <w:t>2. Giá vàng và dầu thế giới biến động mạnh</w:t>
      </w:r>
    </w:p>
    <w:p w:rsidR="0013143E" w:rsidRDefault="0013143E" w:rsidP="00910F80">
      <w:pPr>
        <w:spacing w:before="120" w:line="288" w:lineRule="auto"/>
        <w:ind w:firstLine="709"/>
        <w:rPr>
          <w:sz w:val="26"/>
          <w:szCs w:val="26"/>
        </w:rPr>
      </w:pPr>
      <w:r w:rsidRPr="0013143E">
        <w:rPr>
          <w:sz w:val="26"/>
          <w:szCs w:val="26"/>
        </w:rPr>
        <w:t>Giá dầu lại đang có xu hướng giảm trong tháng 7 do nguồn cung tăng. EIA đã nâng dự báo triển vọng khai thác dầu thô tại Mỹ năm 2015 lên mức 750 ngàn thùng/ngày từ mức 720 ngàn thùng/ngày. Năm 2016, giá dầu tăng 7,5% so với năm 2015 do nền kinh tế thế giới hồi phục, tuy nhiên sản lượng dầu tăng sau khi Iran được dỡ bỏ lệnh cấm vận sẽ khiến giá dầu trong năm 2016 tiếp tục ở mức thấp so với năm 2014, theo tổ chức EIA và Capital Economic, giá dầu năm 2016 sẽ giao động ở mức 60-70USD/thùng.</w:t>
      </w:r>
    </w:p>
    <w:p w:rsidR="002C63CA" w:rsidRPr="003C1625" w:rsidRDefault="007249CA" w:rsidP="00910F80">
      <w:pPr>
        <w:spacing w:before="120" w:line="288" w:lineRule="auto"/>
        <w:ind w:firstLine="709"/>
        <w:rPr>
          <w:sz w:val="26"/>
          <w:szCs w:val="26"/>
        </w:rPr>
      </w:pPr>
      <w:r>
        <w:rPr>
          <w:noProof/>
          <w:sz w:val="26"/>
          <w:szCs w:val="26"/>
        </w:rPr>
        <w:lastRenderedPageBreak/>
        <w:pict>
          <v:rect id="Rectangle 5" o:spid="_x0000_s1027" style="position:absolute;left:0;text-align:left;margin-left:258.3pt;margin-top:1.75pt;width:204.75pt;height:21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26hAIAAA4FAAAOAAAAZHJzL2Uyb0RvYy54bWysVNuO0zAQfUfiHyy/t7mQXhJtutrdUoS0&#10;wIqFD3Bjp7Fw7GC7TRfEvzOetN0WeECIPDgeezw+Z+aMr673rSI7YZ00uqTJOKZE6MpwqTcl/fxp&#10;NZpT4jzTnCmjRUmfhKPXi5cvrvquEKlpjOLCEgiiXdF3JW2874ooclUjWubGphMaNmtjW+bBtJuI&#10;W9ZD9FZFaRxPo95Y3llTCedgdTls0gXGr2tR+Q917YQnqqSAzeNocVyHMVpcsWJjWdfI6gCD/QOK&#10;lkkNl55CLZlnZGvlb6FaWVnjTO3HlWkjU9eyEsgB2CTxL2weG9YJ5ALJcd0pTe7/ha3e7x4skbyk&#10;KSWatVCij5A0pjdKkElIT9+5ArweuwcbCLru3lRfHNHmrgEvcWOt6RvBOIBKgn90cSAYDo6Sdf/O&#10;cIjOtt5gpva1bUNAyAHZY0GeTgURe08qWEyncfwqnVBSwV46nU3SCWKKWHE83lnn3wjTkjApqQXw&#10;GJ7t7p0PcFhxdEH4Rkm+kkqhYTfrO2XJjoE6VvghA2B57qZ0cNYmHBsiDiuAEu4IewEvVvt7nqRZ&#10;fJvmo9V0Phtlq2wyymfxfBQn+W0+jbM8W65+BIBJVjSSc6HvpRZH5SXZ31X20AODZlB7pC9pDulB&#10;7hfo3TnJGL8/kWylh0ZUsi3p/OTEilDZ15oDbVZ4JtUwjy7hY5YhB8c/ZgV1EEo/SMjv13vUGYok&#10;yGJt+BMIwxooG7QmPCIwaYz9RkkPDVlS93XLrKBEvdUgrjzJstDBaGSTWQqGPd9Zn+8wXUGoknpK&#10;humdH7p+21m5aeCmBFOlzQ0IspYolWdUBxlD0yGnwwMRuvrcRq/nZ2zxEwAA//8DAFBLAwQUAAYA&#10;CAAAACEANV8CWOAAAAALAQAADwAAAGRycy9kb3ducmV2LnhtbEyPwU7DMBBE70j8g7VI3FqbuIma&#10;EKeqKvUEHGiRuG5jN4mI1yF22vD3mBM9ruZp5m25mW3PLmb0nSMFT0sBzFDtdEeNgo/jfrEG5gOS&#10;xt6RUfBjPGyq+7sSC+2u9G4uh9CwWEK+QAVtCEPBua9bY9Ev3WAoZmc3WgzxHBuuR7zGctvzRIiM&#10;W+woLrQ4mF1r6q/DZBVgttLfb2f5enyZMsybWezTT6HU48O8fQYWzBz+YfjTj+pQRaeTm0h71itI&#10;kzSPqILFOpfAIpHLdAXspEDKRACvSn77Q/ULAAD//wMAUEsBAi0AFAAGAAgAAAAhALaDOJL+AAAA&#10;4QEAABMAAAAAAAAAAAAAAAAAAAAAAFtDb250ZW50X1R5cGVzXS54bWxQSwECLQAUAAYACAAAACEA&#10;OP0h/9YAAACUAQAACwAAAAAAAAAAAAAAAAAvAQAAX3JlbHMvLnJlbHNQSwECLQAUAAYACAAAACEA&#10;qWmduoQCAAAOBQAADgAAAAAAAAAAAAAAAAAuAgAAZHJzL2Uyb0RvYy54bWxQSwECLQAUAAYACAAA&#10;ACEANV8CWOAAAAALAQAADwAAAAAAAAAAAAAAAADeBAAAZHJzL2Rvd25yZXYueG1sUEsFBgAAAAAE&#10;AAQA8wAAAOsFAAAAAA==&#10;" stroked="f">
            <v:textbox>
              <w:txbxContent>
                <w:p w:rsidR="003C1625" w:rsidRPr="00C16E13" w:rsidRDefault="003C1625" w:rsidP="00AE4F5D">
                  <w:pPr>
                    <w:ind w:firstLine="0"/>
                    <w:jc w:val="center"/>
                    <w:rPr>
                      <w:b/>
                      <w:sz w:val="24"/>
                    </w:rPr>
                  </w:pPr>
                  <w:r>
                    <w:rPr>
                      <w:b/>
                      <w:sz w:val="24"/>
                    </w:rPr>
                    <w:t>Hình 2</w:t>
                  </w:r>
                  <w:r w:rsidRPr="00C16E13">
                    <w:rPr>
                      <w:b/>
                      <w:sz w:val="24"/>
                    </w:rPr>
                    <w:t xml:space="preserve">: </w:t>
                  </w:r>
                  <w:r>
                    <w:rPr>
                      <w:b/>
                      <w:sz w:val="24"/>
                    </w:rPr>
                    <w:t>Giá vàng thế giới năm 2015</w:t>
                  </w:r>
                </w:p>
                <w:p w:rsidR="003C1625" w:rsidRDefault="003C1625" w:rsidP="00AE4F5D">
                  <w:pPr>
                    <w:ind w:firstLine="0"/>
                    <w:jc w:val="right"/>
                    <w:rPr>
                      <w:i/>
                      <w:sz w:val="24"/>
                    </w:rPr>
                  </w:pPr>
                  <w:r w:rsidRPr="005A39A5">
                    <w:rPr>
                      <w:b/>
                      <w:noProof/>
                      <w:sz w:val="24"/>
                    </w:rPr>
                    <w:drawing>
                      <wp:inline distT="0" distB="0" distL="0" distR="0">
                        <wp:extent cx="2416628" cy="1478478"/>
                        <wp:effectExtent l="0" t="0" r="0" b="0"/>
                        <wp:docPr id="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1625" w:rsidRPr="00C16E13" w:rsidRDefault="003C1625" w:rsidP="002C63CA">
                  <w:pPr>
                    <w:jc w:val="right"/>
                    <w:rPr>
                      <w:sz w:val="24"/>
                    </w:rPr>
                  </w:pPr>
                  <w:r w:rsidRPr="00C16E13">
                    <w:rPr>
                      <w:i/>
                      <w:sz w:val="24"/>
                    </w:rPr>
                    <w:t>Nguồn:</w:t>
                  </w:r>
                  <w:r w:rsidRPr="00C16E13">
                    <w:rPr>
                      <w:sz w:val="24"/>
                    </w:rPr>
                    <w:t xml:space="preserve"> Investing.com</w:t>
                  </w:r>
                </w:p>
                <w:p w:rsidR="003C1625" w:rsidRPr="00C16E13" w:rsidRDefault="003C1625" w:rsidP="002C63CA">
                  <w:pPr>
                    <w:jc w:val="center"/>
                    <w:rPr>
                      <w:b/>
                      <w:sz w:val="24"/>
                    </w:rPr>
                  </w:pPr>
                </w:p>
                <w:p w:rsidR="003C1625" w:rsidRPr="00C16E13" w:rsidRDefault="003C1625" w:rsidP="002C63CA">
                  <w:pPr>
                    <w:jc w:val="center"/>
                    <w:rPr>
                      <w:b/>
                      <w:sz w:val="24"/>
                    </w:rPr>
                  </w:pPr>
                </w:p>
              </w:txbxContent>
            </v:textbox>
            <w10:wrap type="square"/>
          </v:rect>
        </w:pict>
      </w:r>
      <w:r w:rsidR="002C63CA" w:rsidRPr="003C1625">
        <w:rPr>
          <w:sz w:val="26"/>
          <w:szCs w:val="26"/>
        </w:rPr>
        <w:t xml:space="preserve">Chứng khoán toàn cầu tăng điểm, triển vọng Mỹ sớm tăng lãi suất và đồng USD tăng </w:t>
      </w:r>
      <w:r w:rsidR="002970CD" w:rsidRPr="003C1625">
        <w:rPr>
          <w:sz w:val="26"/>
          <w:szCs w:val="26"/>
        </w:rPr>
        <w:t>giá</w:t>
      </w:r>
      <w:r w:rsidR="002C63CA" w:rsidRPr="003C1625">
        <w:rPr>
          <w:sz w:val="26"/>
          <w:szCs w:val="26"/>
        </w:rPr>
        <w:t xml:space="preserve"> khiến nhu cầu đầu tư vàng suy giảm. Mức nắm giữ của các ETF</w:t>
      </w:r>
      <w:r w:rsidR="002C63CA" w:rsidRPr="003C1625">
        <w:rPr>
          <w:rStyle w:val="FootnoteReference"/>
          <w:sz w:val="26"/>
          <w:szCs w:val="26"/>
        </w:rPr>
        <w:footnoteReference w:id="10"/>
      </w:r>
      <w:r w:rsidR="002C63CA" w:rsidRPr="003C1625">
        <w:rPr>
          <w:sz w:val="26"/>
          <w:szCs w:val="26"/>
        </w:rPr>
        <w:t xml:space="preserve"> vàng đã giảm 39% kể từ khi lập kỷ lục ở mức 2.632,52 tấn vào tháng 12/2012. Giá vàng đã mất 6,12% trong 11 phiên giảm điểm liên tiếp kéo mức giảm cả năm 2015 còn 7,25% chạm mức</w:t>
      </w:r>
      <w:r w:rsidR="0013143E">
        <w:rPr>
          <w:sz w:val="26"/>
          <w:szCs w:val="26"/>
        </w:rPr>
        <w:t xml:space="preserve"> </w:t>
      </w:r>
      <w:r w:rsidR="002C63CA" w:rsidRPr="003C1625">
        <w:rPr>
          <w:sz w:val="26"/>
          <w:szCs w:val="26"/>
        </w:rPr>
        <w:t>1.093,9 USD/oz điểm thấp nhất trong 2 năm qua.</w:t>
      </w:r>
    </w:p>
    <w:p w:rsidR="00BF2AA7" w:rsidRPr="003C1625" w:rsidRDefault="00BF2AA7" w:rsidP="009461E3">
      <w:pPr>
        <w:spacing w:before="120" w:line="288" w:lineRule="auto"/>
        <w:ind w:firstLine="709"/>
        <w:rPr>
          <w:b/>
          <w:sz w:val="26"/>
          <w:szCs w:val="26"/>
        </w:rPr>
      </w:pPr>
      <w:r w:rsidRPr="003C1625">
        <w:rPr>
          <w:b/>
          <w:sz w:val="26"/>
          <w:szCs w:val="26"/>
        </w:rPr>
        <w:br w:type="page"/>
      </w:r>
    </w:p>
    <w:p w:rsidR="005926AC" w:rsidRPr="003C1625" w:rsidRDefault="005926AC" w:rsidP="00910F80">
      <w:pPr>
        <w:pStyle w:val="Footer"/>
        <w:numPr>
          <w:ilvl w:val="0"/>
          <w:numId w:val="12"/>
        </w:numPr>
        <w:tabs>
          <w:tab w:val="left" w:pos="284"/>
          <w:tab w:val="left" w:pos="567"/>
        </w:tabs>
        <w:spacing w:before="120" w:line="288" w:lineRule="auto"/>
        <w:ind w:hanging="1080"/>
        <w:rPr>
          <w:b/>
          <w:sz w:val="26"/>
          <w:szCs w:val="26"/>
        </w:rPr>
      </w:pPr>
      <w:r w:rsidRPr="003C1625">
        <w:rPr>
          <w:b/>
          <w:sz w:val="26"/>
          <w:szCs w:val="26"/>
        </w:rPr>
        <w:lastRenderedPageBreak/>
        <w:t>KINH TẾ VIỆT NAM</w:t>
      </w:r>
    </w:p>
    <w:p w:rsidR="00AE4F5D" w:rsidRPr="003C1625" w:rsidRDefault="001649AF" w:rsidP="00910F80">
      <w:pPr>
        <w:spacing w:before="120" w:line="288" w:lineRule="auto"/>
        <w:ind w:firstLine="0"/>
        <w:jc w:val="left"/>
        <w:rPr>
          <w:b/>
          <w:sz w:val="26"/>
          <w:szCs w:val="26"/>
          <w:lang w:val="nl-NL"/>
        </w:rPr>
      </w:pPr>
      <w:r w:rsidRPr="003C1625">
        <w:rPr>
          <w:b/>
          <w:sz w:val="26"/>
          <w:szCs w:val="26"/>
          <w:lang w:val="nl-NL"/>
        </w:rPr>
        <w:t xml:space="preserve">1. </w:t>
      </w:r>
      <w:r w:rsidR="0055433C" w:rsidRPr="003C1625">
        <w:rPr>
          <w:b/>
          <w:sz w:val="26"/>
          <w:szCs w:val="26"/>
          <w:lang w:val="nl-NL"/>
        </w:rPr>
        <w:t>Tăng tr</w:t>
      </w:r>
      <w:r w:rsidR="003C1625" w:rsidRPr="003C1625">
        <w:rPr>
          <w:b/>
          <w:sz w:val="26"/>
          <w:szCs w:val="26"/>
          <w:lang w:val="nl-NL"/>
        </w:rPr>
        <w:t>ưở</w:t>
      </w:r>
      <w:r w:rsidR="0055433C" w:rsidRPr="003C1625">
        <w:rPr>
          <w:b/>
          <w:sz w:val="26"/>
          <w:szCs w:val="26"/>
          <w:lang w:val="nl-NL"/>
        </w:rPr>
        <w:t>ng tiếp tục đà hồi phục</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tblPr>
      <w:tblGrid>
        <w:gridCol w:w="4786"/>
        <w:gridCol w:w="4678"/>
      </w:tblGrid>
      <w:tr w:rsidR="001649AF" w:rsidRPr="009627D2" w:rsidTr="00C91E93">
        <w:trPr>
          <w:trHeight w:val="841"/>
        </w:trPr>
        <w:tc>
          <w:tcPr>
            <w:tcW w:w="4786" w:type="dxa"/>
          </w:tcPr>
          <w:p w:rsidR="003C1625" w:rsidRPr="003C1625" w:rsidRDefault="003C1625" w:rsidP="003C1625">
            <w:pPr>
              <w:spacing w:before="120" w:line="288" w:lineRule="auto"/>
              <w:ind w:firstLine="709"/>
              <w:rPr>
                <w:rFonts w:eastAsiaTheme="minorHAnsi"/>
                <w:sz w:val="26"/>
                <w:szCs w:val="26"/>
                <w:lang w:val="vi-VN"/>
              </w:rPr>
            </w:pPr>
            <w:r w:rsidRPr="003C1625">
              <w:rPr>
                <w:rFonts w:eastAsiaTheme="minorHAnsi"/>
                <w:sz w:val="26"/>
                <w:szCs w:val="26"/>
                <w:lang w:val="vi-VN"/>
              </w:rPr>
              <w:t xml:space="preserve">- Tăng trưởng GDP 6 tháng đầu năm 2015 đạt 6,28% (so với cùng kỳ năm trước). </w:t>
            </w:r>
            <w:r w:rsidRPr="003C1625">
              <w:rPr>
                <w:rFonts w:eastAsiaTheme="minorHAnsi"/>
                <w:b/>
                <w:i/>
                <w:sz w:val="26"/>
                <w:szCs w:val="26"/>
                <w:lang w:val="vi-VN"/>
              </w:rPr>
              <w:t>Với đà phục hồi trên, UBGSTCQG dự báo tăng trưởng GDP 9 tháng đầu năm 2015 ở mức 6,4%</w:t>
            </w:r>
            <w:r w:rsidR="00D52E29">
              <w:rPr>
                <w:rStyle w:val="FootnoteReference"/>
                <w:rFonts w:eastAsiaTheme="minorHAnsi"/>
                <w:b/>
                <w:i/>
                <w:sz w:val="26"/>
                <w:szCs w:val="26"/>
                <w:lang w:val="vi-VN"/>
              </w:rPr>
              <w:footnoteReference w:id="11"/>
            </w:r>
            <w:r w:rsidRPr="003C1625">
              <w:rPr>
                <w:rFonts w:eastAsiaTheme="minorHAnsi"/>
                <w:b/>
                <w:i/>
                <w:sz w:val="26"/>
                <w:szCs w:val="26"/>
                <w:lang w:val="vi-VN"/>
              </w:rPr>
              <w:t xml:space="preserve"> và</w:t>
            </w:r>
            <w:r w:rsidRPr="003C1625">
              <w:rPr>
                <w:rFonts w:eastAsiaTheme="minorHAnsi"/>
                <w:b/>
                <w:i/>
                <w:sz w:val="26"/>
                <w:szCs w:val="26"/>
                <w:lang w:val="pl-PL"/>
              </w:rPr>
              <w:t xml:space="preserve"> cả năm 2015 có khả năng ở mức 6,5%.</w:t>
            </w:r>
          </w:p>
          <w:p w:rsidR="003C1625" w:rsidRPr="000F3EAE" w:rsidRDefault="003C1625" w:rsidP="003C1625">
            <w:pPr>
              <w:spacing w:before="120" w:line="288" w:lineRule="auto"/>
              <w:ind w:firstLine="709"/>
              <w:rPr>
                <w:rFonts w:eastAsiaTheme="minorHAnsi"/>
                <w:spacing w:val="2"/>
                <w:sz w:val="26"/>
                <w:szCs w:val="26"/>
                <w:lang w:val="pl-PL"/>
              </w:rPr>
            </w:pPr>
            <w:r w:rsidRPr="000F3EAE">
              <w:rPr>
                <w:rFonts w:eastAsiaTheme="minorHAnsi"/>
                <w:i/>
                <w:spacing w:val="2"/>
                <w:sz w:val="26"/>
                <w:szCs w:val="26"/>
                <w:lang w:val="vi-VN"/>
              </w:rPr>
              <w:t>- Tăng trưởng phục hồi có đóng góp quan trọng của khu vực sản xuất, nhất là công nghiệp chế biến, chế tạo.</w:t>
            </w:r>
            <w:r w:rsidRPr="000F3EAE">
              <w:rPr>
                <w:rFonts w:eastAsiaTheme="minorHAnsi"/>
                <w:spacing w:val="2"/>
                <w:sz w:val="26"/>
                <w:szCs w:val="26"/>
                <w:lang w:val="vi-VN"/>
              </w:rPr>
              <w:t xml:space="preserve"> </w:t>
            </w:r>
            <w:r w:rsidR="000D7742" w:rsidRPr="000F3EAE">
              <w:rPr>
                <w:rFonts w:eastAsiaTheme="minorHAnsi"/>
                <w:spacing w:val="2"/>
                <w:sz w:val="26"/>
                <w:szCs w:val="26"/>
                <w:lang w:val="vi-VN"/>
              </w:rPr>
              <w:t xml:space="preserve">Tính chung 7 tháng đầu năm, chỉ số sản xuất công nghiệp IIP ước tăng 9,9% (so với cùng kỳ 2014), </w:t>
            </w:r>
            <w:r w:rsidR="000D7742" w:rsidRPr="000F3EAE">
              <w:rPr>
                <w:rFonts w:eastAsiaTheme="minorHAnsi"/>
                <w:spacing w:val="2"/>
                <w:sz w:val="26"/>
                <w:szCs w:val="26"/>
                <w:lang w:val="pl-PL"/>
              </w:rPr>
              <w:t xml:space="preserve">cao hơn nhiều so của cùng kỳ năm 2014 (6,2%). Trong đó IIP ngành công nghiệp chế biến chế tăng 10.1% (cùng kỳ 2013 tăng 5,8%, năm 2014 tăng </w:t>
            </w:r>
            <w:r w:rsidR="0013143E" w:rsidRPr="000F3EAE">
              <w:rPr>
                <w:rFonts w:eastAsiaTheme="minorHAnsi"/>
                <w:spacing w:val="2"/>
                <w:sz w:val="26"/>
                <w:szCs w:val="26"/>
                <w:lang w:val="pl-PL"/>
              </w:rPr>
              <w:t>8,</w:t>
            </w:r>
            <w:r w:rsidR="000D7742" w:rsidRPr="000F3EAE">
              <w:rPr>
                <w:rFonts w:eastAsiaTheme="minorHAnsi"/>
                <w:spacing w:val="2"/>
                <w:sz w:val="26"/>
                <w:szCs w:val="26"/>
                <w:lang w:val="pl-PL"/>
              </w:rPr>
              <w:t>1%). Chỉ số PMI</w:t>
            </w:r>
            <w:r w:rsidR="000D7742" w:rsidRPr="000F3EAE">
              <w:rPr>
                <w:rFonts w:eastAsiaTheme="minorHAnsi"/>
                <w:spacing w:val="2"/>
                <w:sz w:val="26"/>
                <w:szCs w:val="26"/>
                <w:vertAlign w:val="superscript"/>
                <w:lang w:val="pl-PL"/>
              </w:rPr>
              <w:footnoteReference w:id="12"/>
            </w:r>
            <w:r w:rsidR="000D7742" w:rsidRPr="000F3EAE">
              <w:rPr>
                <w:rFonts w:eastAsiaTheme="minorHAnsi"/>
                <w:spacing w:val="2"/>
                <w:sz w:val="26"/>
                <w:szCs w:val="26"/>
                <w:lang w:val="pl-PL"/>
              </w:rPr>
              <w:t xml:space="preserve"> bình quân 6 tháng đầu năm 2015 đạt 52,4 điểm, mức cao nhất trong 3 năm qua.</w:t>
            </w:r>
            <w:r w:rsidRPr="000F3EAE">
              <w:rPr>
                <w:rFonts w:eastAsiaTheme="minorHAnsi"/>
                <w:spacing w:val="2"/>
                <w:sz w:val="26"/>
                <w:szCs w:val="26"/>
                <w:lang w:val="pl-PL"/>
              </w:rPr>
              <w:t xml:space="preserve">  </w:t>
            </w:r>
          </w:p>
          <w:p w:rsidR="00A46CEF" w:rsidRPr="00A46CEF" w:rsidRDefault="00A46CEF" w:rsidP="00A46CEF">
            <w:pPr>
              <w:spacing w:before="120" w:line="288" w:lineRule="auto"/>
              <w:ind w:firstLine="709"/>
              <w:rPr>
                <w:rFonts w:eastAsiaTheme="minorHAnsi"/>
                <w:sz w:val="26"/>
                <w:szCs w:val="26"/>
                <w:lang w:val="pl-PL"/>
              </w:rPr>
            </w:pPr>
            <w:r w:rsidRPr="00A46CEF">
              <w:rPr>
                <w:rFonts w:eastAsiaTheme="minorHAnsi"/>
                <w:b/>
                <w:sz w:val="26"/>
                <w:szCs w:val="26"/>
                <w:lang w:val="pl-PL"/>
              </w:rPr>
              <w:t xml:space="preserve">- </w:t>
            </w:r>
            <w:r w:rsidRPr="00A46CEF">
              <w:rPr>
                <w:rFonts w:eastAsiaTheme="minorHAnsi"/>
                <w:i/>
                <w:sz w:val="26"/>
                <w:szCs w:val="26"/>
                <w:lang w:val="pl-PL"/>
              </w:rPr>
              <w:t xml:space="preserve">Hoạt động xuất nhập khẩu tăng trưởng tốt; nhập siêu so với kim ngạch xuất khẩu giảm so với 6 tháng đầu năm. </w:t>
            </w:r>
            <w:r w:rsidRPr="00A46CEF">
              <w:rPr>
                <w:rFonts w:eastAsiaTheme="minorHAnsi"/>
                <w:sz w:val="26"/>
                <w:szCs w:val="26"/>
                <w:lang w:val="pl-PL"/>
              </w:rPr>
              <w:t xml:space="preserve">Tính chung 7 tháng năm 2015, tổng kim ngạch </w:t>
            </w:r>
            <w:r w:rsidR="00950FE5">
              <w:rPr>
                <w:rFonts w:eastAsiaTheme="minorHAnsi"/>
                <w:sz w:val="26"/>
                <w:szCs w:val="26"/>
                <w:lang w:val="pl-PL"/>
              </w:rPr>
              <w:t>xuất khẩu</w:t>
            </w:r>
            <w:r w:rsidRPr="00A46CEF">
              <w:rPr>
                <w:rFonts w:eastAsiaTheme="minorHAnsi"/>
                <w:sz w:val="26"/>
                <w:szCs w:val="26"/>
                <w:lang w:val="pl-PL"/>
              </w:rPr>
              <w:t xml:space="preserve"> ước đạt 92,3 tỷ USD, tăng 16,4%; nhập siêu ước 3,4 tỷ USD, bằng 3,</w:t>
            </w:r>
            <w:r w:rsidR="00CE0ED1">
              <w:rPr>
                <w:rFonts w:eastAsiaTheme="minorHAnsi"/>
                <w:sz w:val="26"/>
                <w:szCs w:val="26"/>
                <w:lang w:val="pl-PL"/>
              </w:rPr>
              <w:t>6</w:t>
            </w:r>
            <w:r w:rsidRPr="00A46CEF">
              <w:rPr>
                <w:rFonts w:eastAsiaTheme="minorHAnsi"/>
                <w:sz w:val="26"/>
                <w:szCs w:val="26"/>
                <w:lang w:val="pl-PL"/>
              </w:rPr>
              <w:t>% tổng kim ngạch xuất khẩu (giảm 1,</w:t>
            </w:r>
            <w:r w:rsidR="00CE0ED1">
              <w:rPr>
                <w:rFonts w:eastAsiaTheme="minorHAnsi"/>
                <w:sz w:val="26"/>
                <w:szCs w:val="26"/>
                <w:lang w:val="pl-PL"/>
              </w:rPr>
              <w:t>2</w:t>
            </w:r>
            <w:r w:rsidRPr="00A46CEF">
              <w:rPr>
                <w:rFonts w:eastAsiaTheme="minorHAnsi"/>
                <w:sz w:val="26"/>
                <w:szCs w:val="26"/>
                <w:lang w:val="pl-PL"/>
              </w:rPr>
              <w:t xml:space="preserve"> điểm phần trăm so với 6 tháng năm 2015). </w:t>
            </w:r>
          </w:p>
          <w:p w:rsidR="00A46CEF" w:rsidRPr="00A46CEF" w:rsidRDefault="00A46CEF" w:rsidP="00A46CEF">
            <w:pPr>
              <w:spacing w:before="120" w:line="288" w:lineRule="auto"/>
              <w:ind w:firstLine="709"/>
              <w:rPr>
                <w:rFonts w:eastAsiaTheme="minorHAnsi"/>
                <w:sz w:val="26"/>
                <w:szCs w:val="26"/>
                <w:lang w:val="pl-PL"/>
              </w:rPr>
            </w:pPr>
            <w:r w:rsidRPr="00A46CEF">
              <w:rPr>
                <w:rFonts w:eastAsiaTheme="minorHAnsi"/>
                <w:sz w:val="26"/>
                <w:szCs w:val="26"/>
                <w:lang w:val="pl-PL"/>
              </w:rPr>
              <w:t>6 tháng đầu năm 2015 xuất siêu 3,7 tỷ USD</w:t>
            </w:r>
            <w:r w:rsidR="00950FE5">
              <w:rPr>
                <w:rStyle w:val="FootnoteReference"/>
                <w:rFonts w:eastAsiaTheme="minorHAnsi"/>
                <w:sz w:val="26"/>
                <w:szCs w:val="26"/>
                <w:lang w:val="pl-PL"/>
              </w:rPr>
              <w:footnoteReference w:id="13"/>
            </w:r>
            <w:r w:rsidRPr="00A46CEF">
              <w:rPr>
                <w:rFonts w:eastAsiaTheme="minorHAnsi"/>
                <w:sz w:val="26"/>
                <w:szCs w:val="26"/>
                <w:lang w:val="pl-PL"/>
              </w:rPr>
              <w:t xml:space="preserve">; trong đó, khu vực FDI xuất siêu 6,1 tỷ USD, khu vực doanh nghiệp trong nước nhập siêu 9,8 tỷ USD. Nhập siêu tăng do xuất khẩu tăng chậm và nhập khẩu tăng </w:t>
            </w:r>
            <w:r w:rsidRPr="00A46CEF">
              <w:rPr>
                <w:rFonts w:eastAsiaTheme="minorHAnsi"/>
                <w:sz w:val="26"/>
                <w:szCs w:val="26"/>
                <w:lang w:val="pl-PL"/>
              </w:rPr>
              <w:lastRenderedPageBreak/>
              <w:t>nhanh. Tính chung 6 tháng đầu năm 2015, tốc độ tăng xuất khẩu (so với cùng kỳ) thấp hơn nhiều so cùng kỳ 2014 (9,3% so với 15,4%). Kim ngạch xuất khẩu tăng chậm chủ yếu do yếu tố giá</w:t>
            </w:r>
            <w:r w:rsidRPr="00A46CEF">
              <w:rPr>
                <w:rFonts w:eastAsiaTheme="minorHAnsi"/>
                <w:sz w:val="26"/>
                <w:szCs w:val="26"/>
                <w:vertAlign w:val="superscript"/>
                <w:lang w:val="pl-PL"/>
              </w:rPr>
              <w:footnoteReference w:id="14"/>
            </w:r>
            <w:r w:rsidRPr="00A46CEF">
              <w:rPr>
                <w:rFonts w:eastAsiaTheme="minorHAnsi"/>
                <w:sz w:val="26"/>
                <w:szCs w:val="26"/>
                <w:lang w:val="pl-PL"/>
              </w:rPr>
              <w:t>, với mức giảm đơn giá bình quân ở một số mặt hàng khá cao</w:t>
            </w:r>
            <w:r w:rsidRPr="00A46CEF">
              <w:rPr>
                <w:rStyle w:val="FootnoteReference"/>
                <w:rFonts w:eastAsiaTheme="minorHAnsi"/>
                <w:sz w:val="26"/>
                <w:szCs w:val="26"/>
                <w:lang w:val="pl-PL"/>
              </w:rPr>
              <w:footnoteReference w:id="15"/>
            </w:r>
            <w:r w:rsidRPr="00A46CEF">
              <w:rPr>
                <w:rFonts w:eastAsiaTheme="minorHAnsi"/>
                <w:sz w:val="26"/>
                <w:szCs w:val="26"/>
                <w:lang w:val="pl-PL"/>
              </w:rPr>
              <w:t>: Trong đó, dầu thô là yếu tố sụt giảm mạnh nhất kéo xuất khẩu tăng chậm</w:t>
            </w:r>
            <w:r w:rsidRPr="00A46CEF">
              <w:rPr>
                <w:rFonts w:eastAsiaTheme="minorHAnsi"/>
                <w:sz w:val="26"/>
                <w:szCs w:val="26"/>
                <w:vertAlign w:val="superscript"/>
                <w:lang w:val="pl-PL"/>
              </w:rPr>
              <w:footnoteReference w:id="16"/>
            </w:r>
            <w:r w:rsidRPr="00A46CEF">
              <w:rPr>
                <w:rFonts w:eastAsiaTheme="minorHAnsi"/>
                <w:sz w:val="26"/>
                <w:szCs w:val="26"/>
                <w:lang w:val="pl-PL"/>
              </w:rPr>
              <w:t xml:space="preserve">. Tốc độ tăng nhập khẩu (so với cùng kỳ) </w:t>
            </w:r>
            <w:r w:rsidR="0013143E">
              <w:rPr>
                <w:rFonts w:eastAsiaTheme="minorHAnsi"/>
                <w:sz w:val="26"/>
                <w:szCs w:val="26"/>
                <w:lang w:val="pl-PL"/>
              </w:rPr>
              <w:t xml:space="preserve">trong </w:t>
            </w:r>
            <w:r w:rsidRPr="00A46CEF">
              <w:rPr>
                <w:rFonts w:eastAsiaTheme="minorHAnsi"/>
                <w:sz w:val="26"/>
                <w:szCs w:val="26"/>
                <w:lang w:val="pl-PL"/>
              </w:rPr>
              <w:t>6 tháng</w:t>
            </w:r>
            <w:r w:rsidR="0013143E">
              <w:rPr>
                <w:rFonts w:eastAsiaTheme="minorHAnsi"/>
                <w:sz w:val="26"/>
                <w:szCs w:val="26"/>
                <w:lang w:val="pl-PL"/>
              </w:rPr>
              <w:t xml:space="preserve"> </w:t>
            </w:r>
            <w:r w:rsidRPr="00A46CEF">
              <w:rPr>
                <w:rFonts w:eastAsiaTheme="minorHAnsi"/>
                <w:sz w:val="26"/>
                <w:szCs w:val="26"/>
                <w:lang w:val="pl-PL"/>
              </w:rPr>
              <w:t>2015 đạt 17,7%, cao hơn nhiều mức tăng 10,5% của cùng kỳ 2014</w:t>
            </w:r>
            <w:r w:rsidRPr="00A46CEF">
              <w:rPr>
                <w:rStyle w:val="FootnoteReference"/>
                <w:rFonts w:eastAsiaTheme="minorHAnsi"/>
                <w:sz w:val="26"/>
                <w:szCs w:val="26"/>
                <w:lang w:val="pl-PL"/>
              </w:rPr>
              <w:footnoteReference w:id="17"/>
            </w:r>
            <w:r w:rsidRPr="00A46CEF">
              <w:rPr>
                <w:rFonts w:eastAsiaTheme="minorHAnsi"/>
                <w:sz w:val="26"/>
                <w:szCs w:val="26"/>
                <w:lang w:val="pl-PL"/>
              </w:rPr>
              <w:t xml:space="preserve">. Nhập khẩu tăng chủ yếu do yếu tố lượng. </w:t>
            </w:r>
            <w:r w:rsidRPr="00A46CEF">
              <w:rPr>
                <w:rFonts w:eastAsiaTheme="minorHAnsi"/>
                <w:sz w:val="26"/>
                <w:szCs w:val="26"/>
                <w:lang w:val="vi-VN"/>
              </w:rPr>
              <w:t>Nếu loại trừ yếu tố giá, kim ngạch hàng hóa nhập khẩu 6 tháng đầu năm ước tính đạt 84,6 tỷ USD, tăng 22,1% so với cùng kỳ năm trước.</w:t>
            </w:r>
            <w:r w:rsidRPr="00A46CEF">
              <w:rPr>
                <w:rFonts w:eastAsiaTheme="minorHAnsi"/>
                <w:sz w:val="26"/>
                <w:szCs w:val="26"/>
                <w:lang w:val="pl-PL"/>
              </w:rPr>
              <w:t xml:space="preserve"> Điều này cho thấy nhập siêu tăng chủ yếu do cơ cấu kinh tế phụ thuộc nhiều vào nhập khẩu máy móc thiết bị, nguyên vật liệu sản xuất và giá dầu thô trên thế giới giảm mạnh. </w:t>
            </w:r>
          </w:p>
          <w:p w:rsidR="00997047" w:rsidRPr="00991F7F" w:rsidRDefault="00997047" w:rsidP="00421929">
            <w:pPr>
              <w:spacing w:before="120" w:line="288" w:lineRule="auto"/>
              <w:ind w:firstLine="567"/>
              <w:rPr>
                <w:rFonts w:eastAsiaTheme="minorEastAsia"/>
                <w:spacing w:val="4"/>
                <w:sz w:val="26"/>
                <w:szCs w:val="26"/>
                <w:lang w:val="pl-PL"/>
              </w:rPr>
            </w:pPr>
            <w:r w:rsidRPr="00991F7F">
              <w:rPr>
                <w:rFonts w:eastAsiaTheme="minorEastAsia"/>
                <w:i/>
                <w:spacing w:val="4"/>
                <w:sz w:val="26"/>
                <w:szCs w:val="26"/>
                <w:lang w:val="pl-PL"/>
              </w:rPr>
              <w:t xml:space="preserve">- Khu vực doanh nghiệp có dấu hiệu phục hồi khá, tăng trưởng về quy mô tốt nhất kể từ năm 2009. </w:t>
            </w:r>
            <w:r w:rsidRPr="00991F7F">
              <w:rPr>
                <w:rFonts w:eastAsiaTheme="minorEastAsia"/>
                <w:spacing w:val="4"/>
                <w:sz w:val="26"/>
                <w:szCs w:val="26"/>
                <w:lang w:val="pl-PL"/>
              </w:rPr>
              <w:t>Quy mô khu vực doanh nghiệp phi tài chính</w:t>
            </w:r>
            <w:r w:rsidRPr="00991F7F">
              <w:rPr>
                <w:rStyle w:val="FootnoteReference"/>
                <w:rFonts w:eastAsiaTheme="minorEastAsia"/>
                <w:spacing w:val="4"/>
                <w:sz w:val="26"/>
                <w:szCs w:val="26"/>
                <w:lang w:val="pl-PL"/>
              </w:rPr>
              <w:footnoteReference w:id="18"/>
            </w:r>
            <w:r w:rsidRPr="00991F7F">
              <w:rPr>
                <w:rFonts w:eastAsiaTheme="minorEastAsia"/>
                <w:spacing w:val="4"/>
                <w:sz w:val="26"/>
                <w:szCs w:val="26"/>
                <w:lang w:val="pl-PL"/>
              </w:rPr>
              <w:t xml:space="preserve"> tại Q1/2015 tăng mạnh so với cùng kỳ năm 2014. Tổng doanh thu bình quân, tổng tài sản bình quân và </w:t>
            </w:r>
            <w:r w:rsidR="0013143E" w:rsidRPr="00991F7F">
              <w:rPr>
                <w:rFonts w:eastAsiaTheme="minorEastAsia"/>
                <w:spacing w:val="4"/>
                <w:sz w:val="26"/>
                <w:szCs w:val="26"/>
                <w:lang w:val="pl-PL"/>
              </w:rPr>
              <w:t>vốn chủ sở hữu</w:t>
            </w:r>
            <w:r w:rsidRPr="00991F7F">
              <w:rPr>
                <w:rFonts w:eastAsiaTheme="minorEastAsia"/>
                <w:spacing w:val="4"/>
                <w:sz w:val="26"/>
                <w:szCs w:val="26"/>
                <w:lang w:val="pl-PL"/>
              </w:rPr>
              <w:t xml:space="preserve"> bình quân toàn khu vực trong quý I năm 2015 lần lượt tăng 49,29%; 86,31% và 79,69% so với cùng kỳ năm 2014; mức cao nhất kể từ Q1/2009. Trước những dấu hiệu tích cực từ những yếu tố kinh tế vĩ mô, như GDP tăng trưởng </w:t>
            </w:r>
            <w:r w:rsidR="008A1E4C" w:rsidRPr="00991F7F">
              <w:rPr>
                <w:rFonts w:eastAsiaTheme="minorEastAsia"/>
                <w:spacing w:val="4"/>
                <w:sz w:val="26"/>
                <w:szCs w:val="26"/>
                <w:lang w:val="pl-PL"/>
              </w:rPr>
              <w:t>khá</w:t>
            </w:r>
            <w:r w:rsidRPr="00991F7F">
              <w:rPr>
                <w:rFonts w:eastAsiaTheme="minorEastAsia"/>
                <w:spacing w:val="4"/>
                <w:sz w:val="26"/>
                <w:szCs w:val="26"/>
                <w:lang w:val="pl-PL"/>
              </w:rPr>
              <w:t xml:space="preserve">, lạm phát thấp, hoạt </w:t>
            </w:r>
            <w:r w:rsidRPr="00991F7F">
              <w:rPr>
                <w:rFonts w:eastAsiaTheme="minorEastAsia"/>
                <w:spacing w:val="4"/>
                <w:sz w:val="26"/>
                <w:szCs w:val="26"/>
                <w:lang w:val="pl-PL"/>
              </w:rPr>
              <w:lastRenderedPageBreak/>
              <w:t xml:space="preserve">động sản xuất kinh doanh của khu vực doanh nghiệp phi tài chính đang dần ổn định hơn. </w:t>
            </w:r>
          </w:p>
          <w:p w:rsidR="00997047" w:rsidRPr="001649AF" w:rsidRDefault="0013143E" w:rsidP="00EE7E27">
            <w:pPr>
              <w:spacing w:before="120" w:line="288" w:lineRule="auto"/>
              <w:ind w:firstLine="709"/>
              <w:rPr>
                <w:rFonts w:eastAsiaTheme="minorHAnsi"/>
                <w:sz w:val="26"/>
                <w:szCs w:val="26"/>
                <w:lang w:val="pl-PL"/>
              </w:rPr>
            </w:pPr>
            <w:r>
              <w:rPr>
                <w:rFonts w:eastAsiaTheme="minorEastAsia"/>
                <w:sz w:val="26"/>
                <w:szCs w:val="26"/>
                <w:lang w:val="pl-PL"/>
              </w:rPr>
              <w:t>Nhóm doanh nghiệp</w:t>
            </w:r>
            <w:r w:rsidR="00997047" w:rsidRPr="00C91E93">
              <w:rPr>
                <w:rFonts w:eastAsiaTheme="minorEastAsia"/>
                <w:sz w:val="26"/>
                <w:szCs w:val="26"/>
                <w:lang w:val="pl-PL"/>
              </w:rPr>
              <w:t xml:space="preserve"> SMEs</w:t>
            </w:r>
            <w:r w:rsidR="00600980">
              <w:rPr>
                <w:rStyle w:val="FootnoteReference"/>
                <w:rFonts w:eastAsiaTheme="minorEastAsia"/>
                <w:sz w:val="26"/>
                <w:szCs w:val="26"/>
                <w:lang w:val="pl-PL"/>
              </w:rPr>
              <w:footnoteReference w:id="19"/>
            </w:r>
            <w:r w:rsidR="00EE7E27">
              <w:rPr>
                <w:rFonts w:eastAsiaTheme="minorEastAsia"/>
                <w:sz w:val="26"/>
                <w:szCs w:val="26"/>
                <w:lang w:val="pl-PL"/>
              </w:rPr>
              <w:t xml:space="preserve"> </w:t>
            </w:r>
            <w:r w:rsidR="00997047" w:rsidRPr="00C91E93">
              <w:rPr>
                <w:rFonts w:eastAsiaTheme="minorEastAsia"/>
                <w:sz w:val="26"/>
                <w:szCs w:val="26"/>
                <w:lang w:val="pl-PL"/>
              </w:rPr>
              <w:t xml:space="preserve"> tiếp tục đà phục </w:t>
            </w:r>
            <w:r w:rsidR="008A1E4C" w:rsidRPr="00C91E93">
              <w:rPr>
                <w:rFonts w:eastAsiaTheme="minorEastAsia"/>
                <w:sz w:val="26"/>
                <w:szCs w:val="26"/>
                <w:lang w:val="pl-PL"/>
              </w:rPr>
              <w:t xml:space="preserve">hồi </w:t>
            </w:r>
            <w:r w:rsidR="00997047" w:rsidRPr="00C91E93">
              <w:rPr>
                <w:rFonts w:eastAsiaTheme="minorEastAsia"/>
                <w:sz w:val="26"/>
                <w:szCs w:val="26"/>
                <w:lang w:val="pl-PL"/>
              </w:rPr>
              <w:t>mạnh mẽ kể từ cuố</w:t>
            </w:r>
            <w:r>
              <w:rPr>
                <w:rFonts w:eastAsiaTheme="minorEastAsia"/>
                <w:sz w:val="26"/>
                <w:szCs w:val="26"/>
                <w:lang w:val="pl-PL"/>
              </w:rPr>
              <w:t xml:space="preserve">i năm 2014. </w:t>
            </w:r>
            <w:r w:rsidR="00997047" w:rsidRPr="00C91E93">
              <w:rPr>
                <w:rFonts w:eastAsiaTheme="minorEastAsia"/>
                <w:sz w:val="26"/>
                <w:szCs w:val="26"/>
                <w:lang w:val="pl-PL"/>
              </w:rPr>
              <w:t>Tăng trưởng doanh thu bình quân tại Q1/2015 của khu vực là 60,93% cao hơn so với cùng kỳ</w:t>
            </w:r>
            <w:r w:rsidR="00991F7F">
              <w:rPr>
                <w:rFonts w:eastAsiaTheme="minorEastAsia"/>
                <w:sz w:val="26"/>
                <w:szCs w:val="26"/>
                <w:lang w:val="pl-PL"/>
              </w:rPr>
              <w:t xml:space="preserve"> năm 2014 (Q1/2014 là -</w:t>
            </w:r>
            <w:r w:rsidR="00997047" w:rsidRPr="00C91E93">
              <w:rPr>
                <w:rFonts w:eastAsiaTheme="minorEastAsia"/>
                <w:sz w:val="26"/>
                <w:szCs w:val="26"/>
                <w:lang w:val="pl-PL"/>
              </w:rPr>
              <w:t>15,89%). Cùng với đó, ROA, ROE tại Q1/2015 lần lượt là</w:t>
            </w:r>
            <w:r w:rsidR="00991F7F">
              <w:rPr>
                <w:rFonts w:eastAsiaTheme="minorEastAsia"/>
                <w:sz w:val="26"/>
                <w:szCs w:val="26"/>
                <w:lang w:val="pl-PL"/>
              </w:rPr>
              <w:t xml:space="preserve"> 0,81% và 1,31% (tăng 3,16 và 5,</w:t>
            </w:r>
            <w:r w:rsidR="00997047" w:rsidRPr="00C91E93">
              <w:rPr>
                <w:rFonts w:eastAsiaTheme="minorEastAsia"/>
                <w:sz w:val="26"/>
                <w:szCs w:val="26"/>
                <w:lang w:val="pl-PL"/>
              </w:rPr>
              <w:t>28 điểm % so với cùng kỳ năm 2014). Sau thời gian dài, cùng với sự nỗ lực từ phía các doanh nghiệp và các chính sách hỗ trợ của nhà nước, tình hình sản xuất kinh doanh của  khu vực SMEs đã có nhiều cải thiện tích cực.</w:t>
            </w:r>
          </w:p>
        </w:tc>
        <w:tc>
          <w:tcPr>
            <w:tcW w:w="4678" w:type="dxa"/>
          </w:tcPr>
          <w:p w:rsidR="001649AF" w:rsidRPr="001649AF" w:rsidRDefault="001649AF" w:rsidP="004D73AA">
            <w:pPr>
              <w:spacing w:after="0"/>
              <w:ind w:firstLine="0"/>
              <w:jc w:val="center"/>
              <w:rPr>
                <w:rFonts w:eastAsia="Calibri"/>
                <w:b/>
                <w:sz w:val="24"/>
                <w:szCs w:val="26"/>
                <w:lang w:val="de-DE"/>
              </w:rPr>
            </w:pPr>
            <w:r w:rsidRPr="001649AF">
              <w:rPr>
                <w:rFonts w:eastAsia="Calibri"/>
                <w:b/>
                <w:sz w:val="24"/>
                <w:szCs w:val="26"/>
                <w:lang w:val="de-DE"/>
              </w:rPr>
              <w:lastRenderedPageBreak/>
              <w:t xml:space="preserve">Hình </w:t>
            </w:r>
            <w:r w:rsidR="001276F4" w:rsidRPr="003C1625">
              <w:rPr>
                <w:rFonts w:eastAsia="Calibri"/>
                <w:b/>
                <w:sz w:val="24"/>
                <w:szCs w:val="26"/>
                <w:lang w:val="de-DE"/>
              </w:rPr>
              <w:t>3</w:t>
            </w:r>
            <w:r w:rsidRPr="001649AF">
              <w:rPr>
                <w:rFonts w:eastAsia="Calibri"/>
                <w:b/>
                <w:sz w:val="24"/>
                <w:szCs w:val="26"/>
                <w:lang w:val="de-DE"/>
              </w:rPr>
              <w:t>: Tăng trưởng và tăng trưởng loại bỏ tính mùa vụ Q1/2012-Q4/2015, % tăng GDP giá 2010 so cùng kỳ</w:t>
            </w:r>
          </w:p>
          <w:p w:rsidR="001649AF" w:rsidRPr="001649AF" w:rsidRDefault="003C1625" w:rsidP="004D73AA">
            <w:pPr>
              <w:spacing w:after="0"/>
              <w:ind w:firstLine="0"/>
              <w:jc w:val="center"/>
              <w:rPr>
                <w:rFonts w:eastAsia="Calibri"/>
                <w:b/>
                <w:sz w:val="24"/>
                <w:szCs w:val="26"/>
                <w:lang w:val="de-DE"/>
              </w:rPr>
            </w:pPr>
            <w:r w:rsidRPr="003C1625">
              <w:rPr>
                <w:rFonts w:eastAsia="Calibri"/>
                <w:b/>
                <w:noProof/>
                <w:sz w:val="24"/>
                <w:szCs w:val="26"/>
              </w:rPr>
              <w:drawing>
                <wp:inline distT="0" distB="0" distL="0" distR="0">
                  <wp:extent cx="2735248" cy="1510748"/>
                  <wp:effectExtent l="0" t="0" r="0" b="0"/>
                  <wp:docPr id="5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49AF" w:rsidRPr="001649AF" w:rsidRDefault="001649AF" w:rsidP="004D73AA">
            <w:pPr>
              <w:spacing w:after="0"/>
              <w:ind w:firstLine="0"/>
              <w:jc w:val="right"/>
              <w:rPr>
                <w:rFonts w:eastAsia="Calibri"/>
                <w:i/>
                <w:sz w:val="24"/>
                <w:szCs w:val="26"/>
                <w:lang w:val="de-DE"/>
              </w:rPr>
            </w:pPr>
            <w:r w:rsidRPr="001649AF">
              <w:rPr>
                <w:rFonts w:eastAsia="Calibri"/>
                <w:i/>
                <w:sz w:val="24"/>
                <w:szCs w:val="26"/>
                <w:lang w:val="de-DE"/>
              </w:rPr>
              <w:t>Số quý 3,4/2015 là dự báo của UBGSTCQG.</w:t>
            </w:r>
          </w:p>
          <w:p w:rsidR="001649AF" w:rsidRPr="001649AF" w:rsidRDefault="001649AF" w:rsidP="004D73AA">
            <w:pPr>
              <w:spacing w:after="0"/>
              <w:ind w:firstLine="0"/>
              <w:jc w:val="right"/>
              <w:rPr>
                <w:rFonts w:eastAsia="Calibri"/>
                <w:sz w:val="24"/>
                <w:szCs w:val="26"/>
                <w:lang w:val="de-DE"/>
              </w:rPr>
            </w:pPr>
            <w:r w:rsidRPr="001649AF">
              <w:rPr>
                <w:rFonts w:eastAsia="Calibri"/>
                <w:i/>
                <w:sz w:val="24"/>
                <w:szCs w:val="26"/>
                <w:lang w:val="de-DE"/>
              </w:rPr>
              <w:t xml:space="preserve">Nguồn: </w:t>
            </w:r>
            <w:r w:rsidRPr="001649AF">
              <w:rPr>
                <w:rFonts w:eastAsia="Calibri"/>
                <w:sz w:val="24"/>
                <w:szCs w:val="26"/>
                <w:lang w:val="de-DE"/>
              </w:rPr>
              <w:t>TCTK và tính toán của UBGSTCQG.</w:t>
            </w:r>
          </w:p>
          <w:p w:rsidR="004D73AA" w:rsidRDefault="004D73AA" w:rsidP="004D73AA">
            <w:pPr>
              <w:spacing w:after="0"/>
              <w:ind w:firstLine="0"/>
              <w:jc w:val="center"/>
              <w:rPr>
                <w:rFonts w:eastAsia="Calibri"/>
                <w:b/>
                <w:sz w:val="24"/>
                <w:szCs w:val="26"/>
                <w:lang w:val="de-DE"/>
              </w:rPr>
            </w:pPr>
          </w:p>
          <w:p w:rsidR="004D73AA" w:rsidRDefault="004D73AA" w:rsidP="004D73AA">
            <w:pPr>
              <w:ind w:firstLine="0"/>
              <w:jc w:val="center"/>
              <w:rPr>
                <w:rFonts w:eastAsia="Calibri"/>
                <w:b/>
                <w:sz w:val="24"/>
                <w:szCs w:val="26"/>
                <w:lang w:val="de-DE"/>
              </w:rPr>
            </w:pPr>
          </w:p>
          <w:p w:rsidR="001649AF" w:rsidRPr="001649AF" w:rsidRDefault="001649AF" w:rsidP="004D73AA">
            <w:pPr>
              <w:ind w:firstLine="0"/>
              <w:jc w:val="center"/>
              <w:rPr>
                <w:rFonts w:eastAsia="Calibri"/>
                <w:b/>
                <w:sz w:val="24"/>
                <w:szCs w:val="26"/>
                <w:lang w:val="de-DE"/>
              </w:rPr>
            </w:pPr>
            <w:r w:rsidRPr="001649AF">
              <w:rPr>
                <w:rFonts w:eastAsia="Calibri"/>
                <w:b/>
                <w:sz w:val="24"/>
                <w:szCs w:val="26"/>
                <w:lang w:val="de-DE"/>
              </w:rPr>
              <w:t xml:space="preserve">Hình </w:t>
            </w:r>
            <w:r w:rsidR="001276F4" w:rsidRPr="003C1625">
              <w:rPr>
                <w:rFonts w:eastAsia="Calibri"/>
                <w:b/>
                <w:sz w:val="24"/>
                <w:szCs w:val="26"/>
                <w:lang w:val="de-DE"/>
              </w:rPr>
              <w:t>4</w:t>
            </w:r>
            <w:r w:rsidRPr="001649AF">
              <w:rPr>
                <w:rFonts w:eastAsia="Calibri"/>
                <w:b/>
                <w:sz w:val="24"/>
                <w:szCs w:val="26"/>
                <w:lang w:val="de-DE"/>
              </w:rPr>
              <w:t>: Tăng trưởng do chu kỳ Q1/2012-Q4/2015, % tăng GDP giá 2010 so cùng kỳ</w:t>
            </w:r>
          </w:p>
          <w:p w:rsidR="001649AF" w:rsidRPr="001649AF" w:rsidRDefault="001649AF" w:rsidP="004D73AA">
            <w:pPr>
              <w:spacing w:after="0"/>
              <w:ind w:firstLine="0"/>
              <w:jc w:val="center"/>
              <w:rPr>
                <w:rFonts w:eastAsia="Calibri"/>
                <w:b/>
                <w:sz w:val="24"/>
                <w:szCs w:val="26"/>
                <w:lang w:val="de-DE"/>
              </w:rPr>
            </w:pPr>
            <w:r w:rsidRPr="001649AF">
              <w:rPr>
                <w:rFonts w:eastAsia="Calibri"/>
                <w:b/>
                <w:noProof/>
                <w:sz w:val="24"/>
                <w:szCs w:val="26"/>
              </w:rPr>
              <w:drawing>
                <wp:inline distT="0" distB="0" distL="0" distR="0">
                  <wp:extent cx="2774701" cy="1343770"/>
                  <wp:effectExtent l="0" t="0" r="6599" b="0"/>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49AF" w:rsidRPr="001649AF" w:rsidRDefault="001649AF" w:rsidP="004D73AA">
            <w:pPr>
              <w:spacing w:after="0"/>
              <w:ind w:firstLine="0"/>
              <w:jc w:val="right"/>
              <w:rPr>
                <w:rFonts w:eastAsia="Calibri"/>
                <w:sz w:val="24"/>
                <w:szCs w:val="26"/>
                <w:lang w:val="de-DE"/>
              </w:rPr>
            </w:pPr>
            <w:r w:rsidRPr="001649AF">
              <w:rPr>
                <w:rFonts w:eastAsia="Calibri"/>
                <w:i/>
                <w:sz w:val="24"/>
                <w:szCs w:val="26"/>
                <w:lang w:val="de-DE"/>
              </w:rPr>
              <w:t>Số quý 3, 4/2015 là dự báo của UBGSTCQG</w:t>
            </w:r>
            <w:r w:rsidRPr="001649AF">
              <w:rPr>
                <w:rFonts w:eastAsia="Calibri"/>
                <w:sz w:val="24"/>
                <w:szCs w:val="26"/>
                <w:lang w:val="de-DE"/>
              </w:rPr>
              <w:t>.</w:t>
            </w:r>
          </w:p>
          <w:p w:rsidR="001649AF" w:rsidRPr="001649AF" w:rsidRDefault="001649AF" w:rsidP="004D73AA">
            <w:pPr>
              <w:spacing w:after="0"/>
              <w:ind w:firstLine="0"/>
              <w:jc w:val="right"/>
              <w:rPr>
                <w:rFonts w:eastAsia="Calibri"/>
                <w:sz w:val="24"/>
                <w:szCs w:val="26"/>
                <w:lang w:val="de-DE"/>
              </w:rPr>
            </w:pPr>
            <w:r w:rsidRPr="001649AF">
              <w:rPr>
                <w:rFonts w:eastAsia="Calibri"/>
                <w:i/>
                <w:sz w:val="24"/>
                <w:szCs w:val="26"/>
                <w:lang w:val="de-DE"/>
              </w:rPr>
              <w:t xml:space="preserve">Nguồn: </w:t>
            </w:r>
            <w:r w:rsidRPr="001649AF">
              <w:rPr>
                <w:rFonts w:eastAsia="Calibri"/>
                <w:sz w:val="24"/>
                <w:szCs w:val="26"/>
                <w:lang w:val="de-DE"/>
              </w:rPr>
              <w:t>TCTK và tính toán của UBGSTCQG.</w:t>
            </w:r>
          </w:p>
          <w:p w:rsidR="004D73AA" w:rsidRDefault="004D73AA" w:rsidP="004D73AA">
            <w:pPr>
              <w:spacing w:after="0"/>
              <w:ind w:firstLine="0"/>
              <w:jc w:val="center"/>
              <w:rPr>
                <w:rFonts w:eastAsiaTheme="minorEastAsia"/>
                <w:b/>
                <w:sz w:val="24"/>
                <w:szCs w:val="26"/>
                <w:lang w:val="pl-PL"/>
              </w:rPr>
            </w:pPr>
          </w:p>
          <w:p w:rsidR="004D73AA" w:rsidRDefault="004D73AA" w:rsidP="004D73AA">
            <w:pPr>
              <w:ind w:firstLine="0"/>
              <w:jc w:val="center"/>
              <w:rPr>
                <w:rFonts w:eastAsiaTheme="minorEastAsia"/>
                <w:b/>
                <w:sz w:val="24"/>
                <w:szCs w:val="26"/>
                <w:lang w:val="pl-PL"/>
              </w:rPr>
            </w:pPr>
          </w:p>
          <w:p w:rsidR="001649AF" w:rsidRPr="001649AF" w:rsidRDefault="001276F4" w:rsidP="004D73AA">
            <w:pPr>
              <w:ind w:firstLine="0"/>
              <w:jc w:val="center"/>
              <w:rPr>
                <w:rFonts w:eastAsiaTheme="minorEastAsia"/>
                <w:b/>
                <w:sz w:val="24"/>
                <w:szCs w:val="26"/>
                <w:lang w:val="pl-PL"/>
              </w:rPr>
            </w:pPr>
            <w:r w:rsidRPr="000D7742">
              <w:rPr>
                <w:rFonts w:eastAsiaTheme="minorEastAsia"/>
                <w:b/>
                <w:sz w:val="24"/>
                <w:szCs w:val="26"/>
                <w:lang w:val="pl-PL"/>
              </w:rPr>
              <w:t>Hình 5</w:t>
            </w:r>
            <w:r w:rsidR="001649AF" w:rsidRPr="000D7742">
              <w:rPr>
                <w:rFonts w:eastAsiaTheme="minorEastAsia"/>
                <w:b/>
                <w:sz w:val="24"/>
                <w:szCs w:val="26"/>
                <w:lang w:val="pl-PL"/>
              </w:rPr>
              <w:t xml:space="preserve">: Chỉ số IIP tính chung các tháng đầu năm </w:t>
            </w:r>
            <w:r w:rsidR="000D7742" w:rsidRPr="000D7742">
              <w:rPr>
                <w:rFonts w:eastAsiaTheme="minorEastAsia"/>
                <w:b/>
                <w:sz w:val="24"/>
                <w:szCs w:val="26"/>
                <w:lang w:val="pl-PL"/>
              </w:rPr>
              <w:t>7/2014-7</w:t>
            </w:r>
            <w:r w:rsidR="001649AF" w:rsidRPr="000D7742">
              <w:rPr>
                <w:rFonts w:eastAsiaTheme="minorEastAsia"/>
                <w:b/>
                <w:sz w:val="24"/>
                <w:szCs w:val="26"/>
                <w:lang w:val="pl-PL"/>
              </w:rPr>
              <w:t>/2015, % tăng so cùng kì</w:t>
            </w:r>
          </w:p>
          <w:p w:rsidR="001649AF" w:rsidRPr="000D7742" w:rsidRDefault="000D7742" w:rsidP="004D73AA">
            <w:pPr>
              <w:spacing w:after="0"/>
              <w:ind w:firstLine="0"/>
              <w:jc w:val="center"/>
              <w:rPr>
                <w:rFonts w:eastAsiaTheme="minorEastAsia"/>
                <w:b/>
                <w:sz w:val="24"/>
                <w:szCs w:val="26"/>
                <w:lang w:val="pl-PL"/>
              </w:rPr>
            </w:pPr>
            <w:r w:rsidRPr="000D7742">
              <w:rPr>
                <w:rFonts w:eastAsiaTheme="minorEastAsia"/>
                <w:b/>
                <w:noProof/>
                <w:sz w:val="24"/>
                <w:szCs w:val="26"/>
              </w:rPr>
              <w:drawing>
                <wp:inline distT="0" distB="0" distL="0" distR="0">
                  <wp:extent cx="2615979" cy="1383527"/>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49AF" w:rsidRPr="003C1625" w:rsidRDefault="001649AF" w:rsidP="004D73AA">
            <w:pPr>
              <w:spacing w:after="0"/>
              <w:ind w:firstLine="0"/>
              <w:jc w:val="right"/>
              <w:rPr>
                <w:rFonts w:eastAsiaTheme="minorEastAsia"/>
                <w:sz w:val="24"/>
                <w:szCs w:val="26"/>
                <w:lang w:val="pl-PL"/>
              </w:rPr>
            </w:pPr>
            <w:r w:rsidRPr="001649AF">
              <w:rPr>
                <w:rFonts w:eastAsiaTheme="minorEastAsia"/>
                <w:i/>
                <w:sz w:val="24"/>
                <w:szCs w:val="26"/>
                <w:lang w:val="pl-PL"/>
              </w:rPr>
              <w:t xml:space="preserve">Nguồn: </w:t>
            </w:r>
            <w:r w:rsidRPr="001649AF">
              <w:rPr>
                <w:rFonts w:eastAsiaTheme="minorEastAsia"/>
                <w:sz w:val="24"/>
                <w:szCs w:val="26"/>
                <w:lang w:val="pl-PL"/>
              </w:rPr>
              <w:t>TCTK.</w:t>
            </w:r>
          </w:p>
          <w:p w:rsidR="0055433C" w:rsidRPr="003C1625" w:rsidRDefault="0055433C" w:rsidP="004D73AA">
            <w:pPr>
              <w:spacing w:after="0"/>
              <w:ind w:firstLine="0"/>
              <w:jc w:val="right"/>
              <w:rPr>
                <w:rFonts w:eastAsiaTheme="minorEastAsia"/>
                <w:sz w:val="24"/>
                <w:szCs w:val="26"/>
                <w:lang w:val="pl-PL"/>
              </w:rPr>
            </w:pPr>
          </w:p>
          <w:p w:rsidR="0055433C" w:rsidRPr="001649AF" w:rsidRDefault="001276F4" w:rsidP="004D73AA">
            <w:pPr>
              <w:spacing w:before="120" w:after="0"/>
              <w:ind w:firstLine="0"/>
              <w:jc w:val="center"/>
              <w:rPr>
                <w:rFonts w:eastAsiaTheme="minorEastAsia"/>
                <w:b/>
                <w:sz w:val="24"/>
                <w:szCs w:val="26"/>
                <w:lang w:val="pl-PL"/>
              </w:rPr>
            </w:pPr>
            <w:r w:rsidRPr="003C1625">
              <w:rPr>
                <w:rFonts w:eastAsiaTheme="minorEastAsia"/>
                <w:b/>
                <w:sz w:val="24"/>
                <w:szCs w:val="26"/>
                <w:lang w:val="pl-PL"/>
              </w:rPr>
              <w:t>Hình 6</w:t>
            </w:r>
            <w:r w:rsidR="0055433C" w:rsidRPr="001649AF">
              <w:rPr>
                <w:rFonts w:eastAsiaTheme="minorEastAsia"/>
                <w:b/>
                <w:sz w:val="24"/>
                <w:szCs w:val="26"/>
                <w:lang w:val="pl-PL"/>
              </w:rPr>
              <w:t>: Chỉ số PMI T6/14-T6/15</w:t>
            </w:r>
          </w:p>
          <w:p w:rsidR="0055433C" w:rsidRPr="001649AF" w:rsidRDefault="0055433C" w:rsidP="004D73AA">
            <w:pPr>
              <w:spacing w:after="0"/>
              <w:ind w:firstLine="0"/>
              <w:rPr>
                <w:rFonts w:eastAsiaTheme="minorEastAsia"/>
                <w:b/>
                <w:sz w:val="24"/>
                <w:szCs w:val="26"/>
                <w:lang w:val="pl-PL"/>
              </w:rPr>
            </w:pPr>
            <w:r w:rsidRPr="001649AF">
              <w:rPr>
                <w:rFonts w:eastAsiaTheme="minorEastAsia"/>
                <w:b/>
                <w:noProof/>
                <w:sz w:val="24"/>
                <w:szCs w:val="26"/>
              </w:rPr>
              <w:drawing>
                <wp:inline distT="0" distB="0" distL="0" distR="0">
                  <wp:extent cx="3018348" cy="1868556"/>
                  <wp:effectExtent l="19050" t="0" r="0" b="0"/>
                  <wp:docPr id="4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433C" w:rsidRDefault="0055433C" w:rsidP="004D73AA">
            <w:pPr>
              <w:spacing w:after="0"/>
              <w:ind w:firstLine="0"/>
              <w:jc w:val="right"/>
              <w:rPr>
                <w:rFonts w:eastAsiaTheme="minorEastAsia"/>
                <w:sz w:val="24"/>
                <w:szCs w:val="26"/>
                <w:lang w:val="pl-PL"/>
              </w:rPr>
            </w:pPr>
            <w:r w:rsidRPr="001649AF">
              <w:rPr>
                <w:rFonts w:eastAsiaTheme="minorEastAsia"/>
                <w:i/>
                <w:sz w:val="24"/>
                <w:szCs w:val="26"/>
                <w:lang w:val="pl-PL"/>
              </w:rPr>
              <w:t xml:space="preserve">Nguồn: </w:t>
            </w:r>
            <w:r w:rsidRPr="001649AF">
              <w:rPr>
                <w:rFonts w:eastAsiaTheme="minorEastAsia"/>
                <w:sz w:val="24"/>
                <w:szCs w:val="26"/>
                <w:lang w:val="pl-PL"/>
              </w:rPr>
              <w:t>HSBC và Markit Economics.</w:t>
            </w:r>
          </w:p>
          <w:p w:rsidR="00997047" w:rsidRDefault="00997047" w:rsidP="00997047">
            <w:pPr>
              <w:spacing w:before="120"/>
              <w:ind w:firstLine="0"/>
              <w:jc w:val="center"/>
              <w:rPr>
                <w:b/>
                <w:sz w:val="24"/>
                <w:szCs w:val="26"/>
                <w:lang w:val="it-IT"/>
              </w:rPr>
            </w:pPr>
          </w:p>
          <w:p w:rsidR="00997047" w:rsidRDefault="00997047" w:rsidP="00997047">
            <w:pPr>
              <w:spacing w:before="120"/>
              <w:ind w:firstLine="0"/>
              <w:jc w:val="center"/>
              <w:rPr>
                <w:b/>
                <w:sz w:val="24"/>
                <w:szCs w:val="26"/>
                <w:lang w:val="it-IT"/>
              </w:rPr>
            </w:pPr>
          </w:p>
          <w:p w:rsidR="00997047" w:rsidRDefault="00997047" w:rsidP="00997047">
            <w:pPr>
              <w:spacing w:before="120"/>
              <w:ind w:firstLine="0"/>
              <w:jc w:val="center"/>
              <w:rPr>
                <w:b/>
                <w:sz w:val="24"/>
                <w:szCs w:val="26"/>
                <w:lang w:val="it-IT"/>
              </w:rPr>
            </w:pPr>
          </w:p>
          <w:p w:rsidR="00997047" w:rsidRDefault="00997047" w:rsidP="00997047">
            <w:pPr>
              <w:spacing w:before="120"/>
              <w:ind w:firstLine="0"/>
              <w:jc w:val="center"/>
              <w:rPr>
                <w:b/>
                <w:sz w:val="24"/>
                <w:szCs w:val="26"/>
                <w:lang w:val="it-IT"/>
              </w:rPr>
            </w:pPr>
          </w:p>
          <w:p w:rsidR="000F3EAE" w:rsidRDefault="000F3EAE" w:rsidP="00997047">
            <w:pPr>
              <w:spacing w:before="120"/>
              <w:ind w:firstLine="0"/>
              <w:jc w:val="center"/>
              <w:rPr>
                <w:b/>
                <w:sz w:val="24"/>
                <w:szCs w:val="26"/>
                <w:lang w:val="it-IT"/>
              </w:rPr>
            </w:pPr>
          </w:p>
          <w:p w:rsidR="000F3EAE" w:rsidRDefault="000F3EAE" w:rsidP="00997047">
            <w:pPr>
              <w:spacing w:before="120"/>
              <w:ind w:firstLine="0"/>
              <w:jc w:val="center"/>
              <w:rPr>
                <w:b/>
                <w:sz w:val="24"/>
                <w:szCs w:val="26"/>
                <w:lang w:val="it-IT"/>
              </w:rPr>
            </w:pPr>
          </w:p>
          <w:p w:rsidR="000F3EAE" w:rsidRDefault="000F3EAE" w:rsidP="00997047">
            <w:pPr>
              <w:spacing w:before="120"/>
              <w:ind w:firstLine="0"/>
              <w:jc w:val="center"/>
              <w:rPr>
                <w:b/>
                <w:sz w:val="24"/>
                <w:szCs w:val="26"/>
                <w:lang w:val="it-IT"/>
              </w:rPr>
            </w:pPr>
          </w:p>
          <w:p w:rsidR="000F3EAE" w:rsidRDefault="000F3EAE" w:rsidP="00997047">
            <w:pPr>
              <w:spacing w:before="120"/>
              <w:ind w:firstLine="0"/>
              <w:jc w:val="center"/>
              <w:rPr>
                <w:b/>
                <w:sz w:val="24"/>
                <w:szCs w:val="26"/>
                <w:lang w:val="it-IT"/>
              </w:rPr>
            </w:pPr>
          </w:p>
          <w:p w:rsidR="00997047" w:rsidRPr="003C1625" w:rsidRDefault="00997047" w:rsidP="00997047">
            <w:pPr>
              <w:spacing w:before="120"/>
              <w:ind w:firstLine="0"/>
              <w:jc w:val="center"/>
              <w:rPr>
                <w:b/>
                <w:sz w:val="24"/>
                <w:szCs w:val="26"/>
                <w:lang w:val="it-IT"/>
              </w:rPr>
            </w:pPr>
            <w:r w:rsidRPr="003C1625">
              <w:rPr>
                <w:b/>
                <w:sz w:val="24"/>
                <w:szCs w:val="26"/>
                <w:lang w:val="it-IT"/>
              </w:rPr>
              <w:t xml:space="preserve">Hình </w:t>
            </w:r>
            <w:r>
              <w:rPr>
                <w:b/>
                <w:sz w:val="24"/>
                <w:szCs w:val="26"/>
                <w:lang w:val="it-IT"/>
              </w:rPr>
              <w:t>7</w:t>
            </w:r>
            <w:r w:rsidRPr="003C1625">
              <w:rPr>
                <w:b/>
                <w:sz w:val="24"/>
                <w:szCs w:val="26"/>
                <w:lang w:val="it-IT"/>
              </w:rPr>
              <w:t>: Tăng trưởng doanh thu bình quân, tổng tài bình quân, vốn chủ sở hữu bình quân doanh nghiệp phi tài chính</w:t>
            </w:r>
          </w:p>
          <w:p w:rsidR="00997047" w:rsidRPr="000F3EAE" w:rsidRDefault="00997047" w:rsidP="000F3EAE">
            <w:pPr>
              <w:spacing w:after="0" w:line="288" w:lineRule="auto"/>
              <w:ind w:firstLine="0"/>
              <w:jc w:val="right"/>
              <w:rPr>
                <w:b/>
                <w:sz w:val="24"/>
                <w:szCs w:val="26"/>
                <w:lang w:val="it-IT"/>
              </w:rPr>
            </w:pPr>
            <w:r w:rsidRPr="003C1625">
              <w:rPr>
                <w:b/>
                <w:noProof/>
                <w:sz w:val="24"/>
                <w:szCs w:val="26"/>
              </w:rPr>
              <w:drawing>
                <wp:inline distT="0" distB="0" distL="0" distR="0">
                  <wp:extent cx="2806811" cy="1860605"/>
                  <wp:effectExtent l="0" t="0" r="0" b="0"/>
                  <wp:docPr id="8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C1625">
              <w:rPr>
                <w:i/>
                <w:sz w:val="24"/>
                <w:szCs w:val="26"/>
                <w:lang w:val="it-IT"/>
              </w:rPr>
              <w:t>Nguồn</w:t>
            </w:r>
            <w:r w:rsidRPr="003C1625">
              <w:rPr>
                <w:sz w:val="24"/>
                <w:szCs w:val="26"/>
                <w:lang w:val="it-IT"/>
              </w:rPr>
              <w:t>: Stoxplus và tính toán của UBGSTCQG</w:t>
            </w:r>
          </w:p>
          <w:p w:rsidR="000F3EAE" w:rsidRDefault="000F3EAE" w:rsidP="00997047">
            <w:pPr>
              <w:spacing w:before="120" w:line="288" w:lineRule="auto"/>
              <w:ind w:firstLine="0"/>
              <w:jc w:val="center"/>
              <w:rPr>
                <w:b/>
                <w:sz w:val="24"/>
                <w:szCs w:val="26"/>
                <w:lang w:val="sv-SE"/>
              </w:rPr>
            </w:pPr>
          </w:p>
          <w:p w:rsidR="000F3EAE" w:rsidRDefault="000F3EAE" w:rsidP="00997047">
            <w:pPr>
              <w:spacing w:before="120" w:line="288" w:lineRule="auto"/>
              <w:ind w:firstLine="0"/>
              <w:jc w:val="center"/>
              <w:rPr>
                <w:b/>
                <w:sz w:val="24"/>
                <w:szCs w:val="26"/>
                <w:lang w:val="sv-SE"/>
              </w:rPr>
            </w:pPr>
          </w:p>
          <w:p w:rsidR="00997047" w:rsidRPr="003C1625" w:rsidRDefault="00997047" w:rsidP="00997047">
            <w:pPr>
              <w:spacing w:before="120" w:line="288" w:lineRule="auto"/>
              <w:ind w:firstLine="0"/>
              <w:jc w:val="center"/>
              <w:rPr>
                <w:b/>
                <w:sz w:val="24"/>
                <w:szCs w:val="26"/>
                <w:lang w:val="sv-SE"/>
              </w:rPr>
            </w:pPr>
            <w:r>
              <w:rPr>
                <w:b/>
                <w:sz w:val="24"/>
                <w:szCs w:val="26"/>
                <w:lang w:val="sv-SE"/>
              </w:rPr>
              <w:t>Hình 8:</w:t>
            </w:r>
            <w:r w:rsidRPr="003C1625">
              <w:rPr>
                <w:b/>
                <w:sz w:val="24"/>
                <w:szCs w:val="26"/>
                <w:lang w:val="sv-SE"/>
              </w:rPr>
              <w:t xml:space="preserve"> ROA, ROE  khu vực SMEs</w:t>
            </w:r>
          </w:p>
          <w:p w:rsidR="00997047" w:rsidRPr="003C1625" w:rsidRDefault="00997047" w:rsidP="00997047">
            <w:pPr>
              <w:spacing w:after="0" w:line="288" w:lineRule="auto"/>
              <w:ind w:firstLine="0"/>
              <w:jc w:val="center"/>
              <w:rPr>
                <w:sz w:val="24"/>
                <w:szCs w:val="26"/>
                <w:lang w:val="sv-SE"/>
              </w:rPr>
            </w:pPr>
            <w:r w:rsidRPr="003C1625">
              <w:rPr>
                <w:noProof/>
                <w:sz w:val="24"/>
                <w:szCs w:val="26"/>
              </w:rPr>
              <w:drawing>
                <wp:inline distT="0" distB="0" distL="0" distR="0">
                  <wp:extent cx="2785730" cy="2349796"/>
                  <wp:effectExtent l="0" t="0" r="0" b="0"/>
                  <wp:docPr id="8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7047" w:rsidRPr="001649AF" w:rsidRDefault="00997047" w:rsidP="00997047">
            <w:pPr>
              <w:spacing w:after="0"/>
              <w:ind w:firstLine="0"/>
              <w:jc w:val="right"/>
              <w:rPr>
                <w:rFonts w:eastAsiaTheme="minorEastAsia"/>
                <w:i/>
                <w:sz w:val="24"/>
                <w:szCs w:val="26"/>
                <w:lang w:val="pl-PL"/>
              </w:rPr>
            </w:pPr>
            <w:r w:rsidRPr="003C1625">
              <w:rPr>
                <w:i/>
                <w:sz w:val="24"/>
                <w:szCs w:val="26"/>
                <w:lang w:val="sv-SE"/>
              </w:rPr>
              <w:t>Nguồn</w:t>
            </w:r>
            <w:r w:rsidRPr="003C1625">
              <w:rPr>
                <w:sz w:val="24"/>
                <w:szCs w:val="26"/>
                <w:lang w:val="sv-SE"/>
              </w:rPr>
              <w:t>: Stoxplus và tính toán của UBGSTCQG</w:t>
            </w:r>
          </w:p>
        </w:tc>
      </w:tr>
    </w:tbl>
    <w:p w:rsidR="001649AF" w:rsidRDefault="001649AF" w:rsidP="00910F80">
      <w:pPr>
        <w:spacing w:before="120" w:line="288" w:lineRule="auto"/>
        <w:ind w:firstLine="0"/>
        <w:rPr>
          <w:rFonts w:eastAsiaTheme="minorEastAsia"/>
          <w:b/>
          <w:sz w:val="26"/>
          <w:szCs w:val="26"/>
          <w:lang w:val="de-DE"/>
        </w:rPr>
      </w:pPr>
      <w:r w:rsidRPr="003C1625">
        <w:rPr>
          <w:rFonts w:eastAsiaTheme="minorEastAsia"/>
          <w:b/>
          <w:sz w:val="26"/>
          <w:szCs w:val="26"/>
          <w:lang w:val="pl-PL"/>
        </w:rPr>
        <w:lastRenderedPageBreak/>
        <w:t>2.</w:t>
      </w:r>
      <w:r w:rsidRPr="003C1625">
        <w:rPr>
          <w:rFonts w:eastAsia="Calibri"/>
          <w:b/>
          <w:sz w:val="26"/>
          <w:lang w:val="de-DE"/>
        </w:rPr>
        <w:t xml:space="preserve"> </w:t>
      </w:r>
      <w:r w:rsidRPr="003C1625">
        <w:rPr>
          <w:rFonts w:eastAsiaTheme="minorEastAsia"/>
          <w:b/>
          <w:sz w:val="26"/>
          <w:szCs w:val="26"/>
          <w:lang w:val="de-DE"/>
        </w:rPr>
        <w:t>Tăng trưởng phục hồi khuyến khích tiêu dùng và đầu tư tư nhân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6"/>
        <w:gridCol w:w="4855"/>
      </w:tblGrid>
      <w:tr w:rsidR="004D73AA" w:rsidTr="00C91E93">
        <w:tc>
          <w:tcPr>
            <w:tcW w:w="4785" w:type="dxa"/>
          </w:tcPr>
          <w:p w:rsidR="004D73AA" w:rsidRPr="00991F7F" w:rsidRDefault="004D73AA" w:rsidP="00997047">
            <w:pPr>
              <w:spacing w:before="120" w:line="288" w:lineRule="auto"/>
              <w:ind w:firstLine="709"/>
              <w:rPr>
                <w:rFonts w:eastAsiaTheme="minorEastAsia"/>
                <w:sz w:val="26"/>
                <w:szCs w:val="26"/>
                <w:lang w:val="pl-PL"/>
              </w:rPr>
            </w:pPr>
            <w:r w:rsidRPr="00991F7F">
              <w:rPr>
                <w:rFonts w:eastAsiaTheme="minorEastAsia"/>
                <w:i/>
                <w:sz w:val="26"/>
                <w:szCs w:val="26"/>
                <w:lang w:val="pl-PL"/>
              </w:rPr>
              <w:t>- Tiêu dùng tăng trưởng tốt.</w:t>
            </w:r>
            <w:r w:rsidRPr="00991F7F">
              <w:rPr>
                <w:rFonts w:eastAsiaTheme="minorEastAsia"/>
                <w:sz w:val="26"/>
                <w:szCs w:val="26"/>
                <w:lang w:val="pl-PL"/>
              </w:rPr>
              <w:t xml:space="preserve"> Tổng mức bán lẻ hàng hóa và dịch vụ tiêu dùng 7 tháng đầu năm 2015 ước tăng 9,9%, nếu loại trừ yếu tố giá tăng 8,3% (cùng kỳ năm trước tăng 6,3%), mức cao nhất so với cùng kỳ trong 5 năm gần đây. </w:t>
            </w:r>
          </w:p>
          <w:p w:rsidR="00562652" w:rsidRDefault="00562652" w:rsidP="00562652">
            <w:pPr>
              <w:spacing w:before="120" w:line="288" w:lineRule="auto"/>
              <w:ind w:firstLine="567"/>
              <w:rPr>
                <w:i/>
                <w:sz w:val="26"/>
                <w:szCs w:val="26"/>
                <w:lang w:val="sv-SE"/>
              </w:rPr>
            </w:pPr>
          </w:p>
          <w:p w:rsidR="00562652" w:rsidRDefault="00562652" w:rsidP="00562652">
            <w:pPr>
              <w:spacing w:before="120" w:line="288" w:lineRule="auto"/>
              <w:ind w:firstLine="567"/>
              <w:rPr>
                <w:sz w:val="26"/>
                <w:szCs w:val="26"/>
                <w:lang w:val="sv-SE"/>
              </w:rPr>
            </w:pPr>
            <w:r w:rsidRPr="003C1625">
              <w:rPr>
                <w:i/>
                <w:sz w:val="26"/>
                <w:szCs w:val="26"/>
                <w:lang w:val="sv-SE"/>
              </w:rPr>
              <w:t>- Chỉ số niềm tin người tiêu dùng – CCI</w:t>
            </w:r>
            <w:r w:rsidRPr="003C1625">
              <w:rPr>
                <w:sz w:val="26"/>
                <w:szCs w:val="26"/>
                <w:lang w:val="sv-SE"/>
              </w:rPr>
              <w:t xml:space="preserve"> do ANZ cố bố, tại T7/2015 ở mức 138,6 điểm, giảm 4,5 điểm so với tháng trước. Tuy nhiên, chỉ số này vẫn ở mức cao hơn cùng kỳ năm 2014 là 7,6 điểm, và cao hơn mức trung bình của năm 2014 (trung bình năm 2014 là 133 điểm)</w:t>
            </w:r>
            <w:r>
              <w:rPr>
                <w:sz w:val="26"/>
                <w:szCs w:val="26"/>
                <w:lang w:val="sv-SE"/>
              </w:rPr>
              <w:t>.</w:t>
            </w:r>
          </w:p>
          <w:p w:rsidR="00562652" w:rsidRDefault="00562652" w:rsidP="00562652">
            <w:pPr>
              <w:spacing w:before="120" w:line="288" w:lineRule="auto"/>
              <w:ind w:firstLine="567"/>
              <w:rPr>
                <w:rFonts w:eastAsiaTheme="minorEastAsia"/>
                <w:i/>
                <w:sz w:val="26"/>
                <w:szCs w:val="26"/>
                <w:lang w:val="pl-PL"/>
              </w:rPr>
            </w:pPr>
          </w:p>
          <w:p w:rsidR="00562652" w:rsidRDefault="00562652" w:rsidP="000D30BA">
            <w:pPr>
              <w:spacing w:before="120" w:line="288" w:lineRule="auto"/>
              <w:ind w:firstLine="567"/>
              <w:rPr>
                <w:rFonts w:eastAsiaTheme="minorEastAsia"/>
                <w:b/>
                <w:sz w:val="26"/>
                <w:szCs w:val="26"/>
                <w:lang w:val="pl-PL"/>
              </w:rPr>
            </w:pPr>
            <w:r w:rsidRPr="003C1625">
              <w:rPr>
                <w:rFonts w:eastAsiaTheme="minorEastAsia"/>
                <w:i/>
                <w:sz w:val="26"/>
                <w:szCs w:val="26"/>
                <w:lang w:val="pl-PL"/>
              </w:rPr>
              <w:t xml:space="preserve">- So với cùng kỳ, 6 tháng năm 2015 đầu tư khu vực tư nhân tăng 11,4%, là mức tăng cao nhất so với các khu vực còn </w:t>
            </w:r>
            <w:r w:rsidRPr="003C1625">
              <w:rPr>
                <w:rFonts w:eastAsiaTheme="minorEastAsia"/>
                <w:i/>
                <w:sz w:val="26"/>
                <w:szCs w:val="26"/>
                <w:lang w:val="pl-PL"/>
              </w:rPr>
              <w:lastRenderedPageBreak/>
              <w:t xml:space="preserve">lại của nền kinh tế. </w:t>
            </w:r>
            <w:r>
              <w:rPr>
                <w:rFonts w:eastAsiaTheme="minorEastAsia"/>
                <w:i/>
                <w:sz w:val="26"/>
                <w:szCs w:val="26"/>
                <w:lang w:val="pl-PL"/>
              </w:rPr>
              <w:t xml:space="preserve"> </w:t>
            </w:r>
            <w:r>
              <w:rPr>
                <w:rFonts w:eastAsiaTheme="minorEastAsia"/>
                <w:sz w:val="26"/>
                <w:szCs w:val="26"/>
                <w:lang w:val="pl-PL"/>
              </w:rPr>
              <w:t>Tính đế</w:t>
            </w:r>
            <w:r w:rsidR="00F21F26">
              <w:rPr>
                <w:rFonts w:eastAsiaTheme="minorEastAsia"/>
                <w:sz w:val="26"/>
                <w:szCs w:val="26"/>
                <w:lang w:val="pl-PL"/>
              </w:rPr>
              <w:t>n 20/07, tín</w:t>
            </w:r>
            <w:r>
              <w:rPr>
                <w:rFonts w:eastAsiaTheme="minorEastAsia"/>
                <w:sz w:val="26"/>
                <w:szCs w:val="26"/>
                <w:lang w:val="pl-PL"/>
              </w:rPr>
              <w:t xml:space="preserve"> dụng đối với nền kinh tế ước tăng 7,32% so với cuối năm 2014 (cùng kỳ 2014 tăng 3,15%). </w:t>
            </w:r>
            <w:r w:rsidRPr="003C1625">
              <w:rPr>
                <w:rFonts w:eastAsiaTheme="minorEastAsia"/>
                <w:sz w:val="26"/>
                <w:szCs w:val="26"/>
                <w:lang w:val="pl-PL"/>
              </w:rPr>
              <w:t>Theo khảo sát tại Q2/2015 của UBGSTCQG</w:t>
            </w:r>
            <w:r w:rsidRPr="003C1625">
              <w:rPr>
                <w:rFonts w:eastAsiaTheme="minorEastAsia"/>
                <w:sz w:val="26"/>
                <w:szCs w:val="26"/>
                <w:vertAlign w:val="superscript"/>
              </w:rPr>
              <w:footnoteReference w:id="20"/>
            </w:r>
            <w:r w:rsidRPr="003C1625">
              <w:rPr>
                <w:rFonts w:eastAsiaTheme="minorEastAsia"/>
                <w:sz w:val="26"/>
                <w:szCs w:val="26"/>
                <w:lang w:val="pl-PL"/>
              </w:rPr>
              <w:t>, hộ gia đình có xu hướng đầu tư vào sản xuất trở lại kể từ Q1/2014. 31% số người được hỏi đang có dự định đầu tư vào sản xuất và cung cấp dịch vụ, tăng 10 điểm % so với Q1/2014 và ở mức tương đương với Q3/2014. Cũng theo cuộc khảo sát này, 51% số người được khảo sát có tiền gửi tạ</w:t>
            </w:r>
            <w:r w:rsidR="000D30BA">
              <w:rPr>
                <w:rFonts w:eastAsiaTheme="minorEastAsia"/>
                <w:sz w:val="26"/>
                <w:szCs w:val="26"/>
                <w:lang w:val="pl-PL"/>
              </w:rPr>
              <w:t xml:space="preserve">i các TCTD </w:t>
            </w:r>
            <w:r w:rsidRPr="003C1625">
              <w:rPr>
                <w:rFonts w:eastAsiaTheme="minorEastAsia"/>
                <w:sz w:val="26"/>
                <w:szCs w:val="26"/>
                <w:lang w:val="pl-PL"/>
              </w:rPr>
              <w:t>giảm khoảng 11% so với khảo sát trước đó vào Q3/2014 (63%) và ở mức thấp nhất kể từ năm 2012.</w:t>
            </w:r>
            <w:r w:rsidR="000D30BA">
              <w:rPr>
                <w:rFonts w:eastAsiaTheme="minorEastAsia"/>
                <w:sz w:val="26"/>
                <w:szCs w:val="26"/>
                <w:lang w:val="pl-PL"/>
              </w:rPr>
              <w:t xml:space="preserve"> Điều này cũng tương xứng với thông tin các hộ gia đình tăng đầu tư vào sản xuất, kinh doanh.</w:t>
            </w:r>
          </w:p>
        </w:tc>
        <w:tc>
          <w:tcPr>
            <w:tcW w:w="4786" w:type="dxa"/>
          </w:tcPr>
          <w:p w:rsidR="004D73AA" w:rsidRPr="001649AF" w:rsidRDefault="004D73AA" w:rsidP="004D73AA">
            <w:pPr>
              <w:spacing w:before="120" w:line="288" w:lineRule="auto"/>
              <w:ind w:firstLine="0"/>
              <w:jc w:val="center"/>
              <w:rPr>
                <w:rFonts w:eastAsiaTheme="minorEastAsia"/>
                <w:b/>
                <w:sz w:val="24"/>
                <w:szCs w:val="26"/>
                <w:lang w:val="pl-PL"/>
              </w:rPr>
            </w:pPr>
            <w:r w:rsidRPr="001649AF">
              <w:rPr>
                <w:rFonts w:eastAsiaTheme="minorEastAsia"/>
                <w:b/>
                <w:sz w:val="24"/>
                <w:szCs w:val="26"/>
                <w:lang w:val="pl-PL"/>
              </w:rPr>
              <w:lastRenderedPageBreak/>
              <w:t xml:space="preserve">Hình </w:t>
            </w:r>
            <w:r w:rsidR="00997047">
              <w:rPr>
                <w:rFonts w:eastAsiaTheme="minorEastAsia"/>
                <w:b/>
                <w:sz w:val="24"/>
                <w:szCs w:val="26"/>
                <w:lang w:val="pl-PL"/>
              </w:rPr>
              <w:t>9</w:t>
            </w:r>
            <w:r w:rsidRPr="001649AF">
              <w:rPr>
                <w:rFonts w:eastAsiaTheme="minorEastAsia"/>
                <w:b/>
                <w:sz w:val="24"/>
                <w:szCs w:val="26"/>
                <w:lang w:val="pl-PL"/>
              </w:rPr>
              <w:t xml:space="preserve">: Bán lẻ hh và doanh thu dvtd </w:t>
            </w:r>
            <w:r w:rsidR="000D7742">
              <w:rPr>
                <w:rFonts w:eastAsiaTheme="minorEastAsia"/>
                <w:b/>
                <w:sz w:val="24"/>
                <w:szCs w:val="26"/>
                <w:lang w:val="pl-PL"/>
              </w:rPr>
              <w:t>7</w:t>
            </w:r>
            <w:r w:rsidRPr="001649AF">
              <w:rPr>
                <w:rFonts w:eastAsiaTheme="minorEastAsia"/>
                <w:b/>
                <w:sz w:val="24"/>
                <w:szCs w:val="26"/>
                <w:lang w:val="pl-PL"/>
              </w:rPr>
              <w:t xml:space="preserve"> tháng đầu năm 2011-2015 (cộng dồn loại trừ yếu tố giá), % tăng so với cùng kỳ</w:t>
            </w:r>
          </w:p>
          <w:p w:rsidR="004D73AA" w:rsidRPr="001649AF" w:rsidRDefault="000D7742" w:rsidP="004D73AA">
            <w:pPr>
              <w:spacing w:before="120" w:line="288" w:lineRule="auto"/>
              <w:ind w:firstLine="0"/>
              <w:jc w:val="center"/>
              <w:rPr>
                <w:rFonts w:eastAsiaTheme="minorEastAsia"/>
                <w:b/>
                <w:sz w:val="24"/>
                <w:szCs w:val="26"/>
                <w:lang w:val="pl-PL"/>
              </w:rPr>
            </w:pPr>
            <w:r w:rsidRPr="000D7742">
              <w:rPr>
                <w:rFonts w:eastAsiaTheme="minorEastAsia"/>
                <w:b/>
                <w:noProof/>
                <w:sz w:val="24"/>
                <w:szCs w:val="26"/>
              </w:rPr>
              <w:drawing>
                <wp:inline distT="0" distB="0" distL="0" distR="0">
                  <wp:extent cx="2671948" cy="1294411"/>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2652" w:rsidRDefault="004D73AA" w:rsidP="004D73AA">
            <w:pPr>
              <w:spacing w:before="120" w:line="288" w:lineRule="auto"/>
              <w:ind w:firstLine="0"/>
              <w:jc w:val="right"/>
              <w:rPr>
                <w:rFonts w:eastAsiaTheme="minorEastAsia"/>
                <w:sz w:val="24"/>
                <w:szCs w:val="26"/>
                <w:lang w:val="pl-PL"/>
              </w:rPr>
            </w:pPr>
            <w:r w:rsidRPr="001649AF">
              <w:rPr>
                <w:rFonts w:eastAsiaTheme="minorEastAsia"/>
                <w:i/>
                <w:sz w:val="24"/>
                <w:szCs w:val="26"/>
                <w:lang w:val="pl-PL"/>
              </w:rPr>
              <w:t xml:space="preserve">Nguồn: </w:t>
            </w:r>
            <w:r w:rsidRPr="001649AF">
              <w:rPr>
                <w:rFonts w:eastAsiaTheme="minorEastAsia"/>
                <w:sz w:val="24"/>
                <w:szCs w:val="26"/>
                <w:lang w:val="pl-PL"/>
              </w:rPr>
              <w:t>TCTK</w:t>
            </w:r>
          </w:p>
          <w:p w:rsidR="00562652" w:rsidRPr="003C1625" w:rsidRDefault="00562652" w:rsidP="00562652">
            <w:pPr>
              <w:spacing w:before="120" w:line="288" w:lineRule="auto"/>
              <w:ind w:firstLine="0"/>
              <w:jc w:val="center"/>
              <w:rPr>
                <w:b/>
                <w:sz w:val="24"/>
                <w:szCs w:val="26"/>
                <w:lang w:val="sv-SE"/>
              </w:rPr>
            </w:pPr>
            <w:r w:rsidRPr="003C1625">
              <w:rPr>
                <w:b/>
                <w:sz w:val="24"/>
                <w:szCs w:val="26"/>
                <w:lang w:val="sv-SE"/>
              </w:rPr>
              <w:t xml:space="preserve">Hình </w:t>
            </w:r>
            <w:r>
              <w:rPr>
                <w:b/>
                <w:sz w:val="24"/>
                <w:szCs w:val="26"/>
                <w:lang w:val="sv-SE"/>
              </w:rPr>
              <w:t>10</w:t>
            </w:r>
            <w:r w:rsidRPr="003C1625">
              <w:rPr>
                <w:b/>
                <w:sz w:val="24"/>
                <w:szCs w:val="26"/>
                <w:lang w:val="sv-SE"/>
              </w:rPr>
              <w:t>: Chỉ số niềm tin tiêu dùng</w:t>
            </w:r>
          </w:p>
          <w:p w:rsidR="00562652" w:rsidRPr="003C1625" w:rsidRDefault="00562652" w:rsidP="00562652">
            <w:pPr>
              <w:spacing w:after="0" w:line="288" w:lineRule="auto"/>
              <w:ind w:firstLine="0"/>
              <w:jc w:val="center"/>
              <w:rPr>
                <w:b/>
                <w:sz w:val="24"/>
                <w:szCs w:val="26"/>
                <w:lang w:val="sv-SE"/>
              </w:rPr>
            </w:pPr>
            <w:r w:rsidRPr="003C1625">
              <w:rPr>
                <w:b/>
                <w:noProof/>
                <w:sz w:val="24"/>
                <w:szCs w:val="26"/>
              </w:rPr>
              <w:drawing>
                <wp:inline distT="0" distB="0" distL="0" distR="0">
                  <wp:extent cx="2873829" cy="1389413"/>
                  <wp:effectExtent l="0" t="0" r="0" b="0"/>
                  <wp:docPr id="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2652" w:rsidRPr="003C1625" w:rsidRDefault="00562652" w:rsidP="00562652">
            <w:pPr>
              <w:spacing w:line="288" w:lineRule="auto"/>
              <w:ind w:firstLine="0"/>
              <w:jc w:val="right"/>
              <w:rPr>
                <w:rFonts w:eastAsiaTheme="minorEastAsia"/>
                <w:b/>
                <w:sz w:val="24"/>
                <w:szCs w:val="26"/>
                <w:lang w:val="pl-PL"/>
              </w:rPr>
            </w:pPr>
            <w:r w:rsidRPr="003C1625">
              <w:rPr>
                <w:i/>
                <w:sz w:val="24"/>
                <w:szCs w:val="26"/>
                <w:lang w:val="sv-SE"/>
              </w:rPr>
              <w:t>Nguồn</w:t>
            </w:r>
            <w:r w:rsidRPr="003C1625">
              <w:rPr>
                <w:sz w:val="24"/>
                <w:szCs w:val="26"/>
                <w:lang w:val="sv-SE"/>
              </w:rPr>
              <w:t>: ANZ</w:t>
            </w:r>
          </w:p>
          <w:p w:rsidR="00562652" w:rsidRPr="001649AF" w:rsidRDefault="00562652" w:rsidP="00562652">
            <w:pPr>
              <w:spacing w:before="120" w:line="288" w:lineRule="auto"/>
              <w:ind w:firstLine="0"/>
              <w:jc w:val="center"/>
              <w:rPr>
                <w:rFonts w:eastAsiaTheme="minorEastAsia"/>
                <w:b/>
                <w:sz w:val="24"/>
                <w:szCs w:val="26"/>
                <w:lang w:val="pl-PL"/>
              </w:rPr>
            </w:pPr>
            <w:r w:rsidRPr="001649AF">
              <w:rPr>
                <w:rFonts w:eastAsiaTheme="minorEastAsia"/>
                <w:b/>
                <w:sz w:val="24"/>
                <w:szCs w:val="26"/>
                <w:lang w:val="pl-PL"/>
              </w:rPr>
              <w:lastRenderedPageBreak/>
              <w:t xml:space="preserve">Hình </w:t>
            </w:r>
            <w:r>
              <w:rPr>
                <w:rFonts w:eastAsiaTheme="minorEastAsia"/>
                <w:b/>
                <w:sz w:val="24"/>
                <w:szCs w:val="26"/>
                <w:lang w:val="pl-PL"/>
              </w:rPr>
              <w:t>11</w:t>
            </w:r>
            <w:r w:rsidRPr="001649AF">
              <w:rPr>
                <w:rFonts w:eastAsiaTheme="minorEastAsia"/>
                <w:b/>
                <w:sz w:val="24"/>
                <w:szCs w:val="26"/>
                <w:lang w:val="pl-PL"/>
              </w:rPr>
              <w:t>: Xu hướng đầu tư sản xuất, cung cấp dịch vụ, % số người được hỏi</w:t>
            </w:r>
          </w:p>
          <w:p w:rsidR="00562652" w:rsidRPr="001649AF" w:rsidRDefault="00562652" w:rsidP="00562652">
            <w:pPr>
              <w:spacing w:before="120" w:line="288" w:lineRule="auto"/>
              <w:ind w:firstLine="0"/>
              <w:jc w:val="center"/>
              <w:rPr>
                <w:rFonts w:eastAsia="Calibri"/>
                <w:b/>
                <w:sz w:val="24"/>
                <w:szCs w:val="26"/>
                <w:lang w:val="pl-PL"/>
              </w:rPr>
            </w:pPr>
            <w:r w:rsidRPr="001649AF">
              <w:rPr>
                <w:rFonts w:eastAsia="Calibri"/>
                <w:b/>
                <w:noProof/>
                <w:sz w:val="24"/>
                <w:szCs w:val="26"/>
              </w:rPr>
              <w:drawing>
                <wp:inline distT="0" distB="0" distL="0" distR="0">
                  <wp:extent cx="2892056" cy="1190846"/>
                  <wp:effectExtent l="0" t="0" r="0" b="0"/>
                  <wp:docPr id="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2652" w:rsidRPr="001649AF" w:rsidRDefault="00562652" w:rsidP="00562652">
            <w:pPr>
              <w:spacing w:before="120" w:line="288" w:lineRule="auto"/>
              <w:ind w:firstLine="0"/>
              <w:jc w:val="right"/>
              <w:rPr>
                <w:rFonts w:eastAsia="Calibri"/>
                <w:i/>
                <w:sz w:val="24"/>
                <w:szCs w:val="26"/>
                <w:lang w:val="pl-PL"/>
              </w:rPr>
            </w:pPr>
            <w:r w:rsidRPr="001649AF">
              <w:rPr>
                <w:rFonts w:eastAsia="Calibri"/>
                <w:i/>
                <w:sz w:val="24"/>
                <w:szCs w:val="26"/>
                <w:lang w:val="pl-PL"/>
              </w:rPr>
              <w:t xml:space="preserve">Nguồn: </w:t>
            </w:r>
            <w:r w:rsidRPr="001649AF">
              <w:rPr>
                <w:rFonts w:eastAsia="Calibri"/>
                <w:sz w:val="24"/>
                <w:szCs w:val="26"/>
                <w:lang w:val="pl-PL"/>
              </w:rPr>
              <w:t>UBGSTCQG.</w:t>
            </w:r>
          </w:p>
          <w:p w:rsidR="00562652" w:rsidRPr="001649AF" w:rsidRDefault="00562652" w:rsidP="00562652">
            <w:pPr>
              <w:spacing w:before="120" w:line="288" w:lineRule="auto"/>
              <w:ind w:firstLine="0"/>
              <w:jc w:val="center"/>
              <w:rPr>
                <w:rFonts w:eastAsiaTheme="minorEastAsia"/>
                <w:b/>
                <w:sz w:val="24"/>
                <w:szCs w:val="26"/>
                <w:lang w:val="pl-PL"/>
              </w:rPr>
            </w:pPr>
            <w:r w:rsidRPr="001649AF">
              <w:rPr>
                <w:rFonts w:eastAsiaTheme="minorEastAsia"/>
                <w:b/>
                <w:sz w:val="24"/>
                <w:szCs w:val="26"/>
                <w:lang w:val="pl-PL"/>
              </w:rPr>
              <w:t xml:space="preserve">Hình </w:t>
            </w:r>
            <w:r>
              <w:rPr>
                <w:rFonts w:eastAsiaTheme="minorEastAsia"/>
                <w:b/>
                <w:sz w:val="24"/>
                <w:szCs w:val="26"/>
                <w:lang w:val="pl-PL"/>
              </w:rPr>
              <w:t>12</w:t>
            </w:r>
            <w:r w:rsidRPr="001649AF">
              <w:rPr>
                <w:rFonts w:eastAsiaTheme="minorEastAsia"/>
                <w:b/>
                <w:sz w:val="24"/>
                <w:szCs w:val="26"/>
                <w:lang w:val="pl-PL"/>
              </w:rPr>
              <w:t>: Tiết kiệm của hộ gia đình Q1/2012-Q1/2015, % số người được hỏi</w:t>
            </w:r>
          </w:p>
          <w:p w:rsidR="00562652" w:rsidRPr="001649AF" w:rsidRDefault="00562652" w:rsidP="00562652">
            <w:pPr>
              <w:spacing w:before="120" w:line="288" w:lineRule="auto"/>
              <w:ind w:firstLine="0"/>
              <w:jc w:val="center"/>
              <w:rPr>
                <w:rFonts w:eastAsiaTheme="minorEastAsia"/>
                <w:b/>
                <w:sz w:val="24"/>
                <w:szCs w:val="26"/>
                <w:lang w:val="pl-PL"/>
              </w:rPr>
            </w:pPr>
            <w:r w:rsidRPr="001649AF">
              <w:rPr>
                <w:rFonts w:eastAsiaTheme="minorEastAsia"/>
                <w:b/>
                <w:noProof/>
                <w:sz w:val="24"/>
                <w:szCs w:val="26"/>
              </w:rPr>
              <w:drawing>
                <wp:inline distT="0" distB="0" distL="0" distR="0">
                  <wp:extent cx="2945219" cy="1063255"/>
                  <wp:effectExtent l="0" t="0" r="0" b="0"/>
                  <wp:docPr id="4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73AA" w:rsidRPr="004D73AA" w:rsidRDefault="00562652" w:rsidP="00562652">
            <w:pPr>
              <w:spacing w:before="120" w:line="288" w:lineRule="auto"/>
              <w:ind w:firstLine="0"/>
              <w:jc w:val="right"/>
              <w:rPr>
                <w:rFonts w:eastAsiaTheme="minorEastAsia"/>
                <w:i/>
                <w:sz w:val="24"/>
                <w:szCs w:val="26"/>
                <w:lang w:val="pl-PL"/>
              </w:rPr>
            </w:pPr>
            <w:r w:rsidRPr="001649AF">
              <w:rPr>
                <w:rFonts w:eastAsiaTheme="minorEastAsia"/>
                <w:i/>
                <w:sz w:val="24"/>
                <w:szCs w:val="26"/>
                <w:lang w:val="pl-PL"/>
              </w:rPr>
              <w:t>Nguồn :</w:t>
            </w:r>
            <w:r w:rsidRPr="001649AF">
              <w:rPr>
                <w:rFonts w:eastAsiaTheme="minorEastAsia"/>
                <w:sz w:val="24"/>
                <w:szCs w:val="26"/>
                <w:lang w:val="pl-PL"/>
              </w:rPr>
              <w:t>UBGSTCQG.</w:t>
            </w:r>
            <w:r w:rsidR="004D73AA" w:rsidRPr="001649AF">
              <w:rPr>
                <w:rFonts w:eastAsiaTheme="minorEastAsia"/>
                <w:sz w:val="24"/>
                <w:szCs w:val="26"/>
                <w:lang w:val="pl-PL"/>
              </w:rPr>
              <w:t>.</w:t>
            </w:r>
          </w:p>
        </w:tc>
      </w:tr>
    </w:tbl>
    <w:p w:rsidR="001649AF" w:rsidRPr="003C1625" w:rsidRDefault="001649AF" w:rsidP="00910F80">
      <w:pPr>
        <w:spacing w:before="120" w:line="288" w:lineRule="auto"/>
        <w:ind w:firstLine="0"/>
        <w:rPr>
          <w:rFonts w:eastAsiaTheme="minorEastAsia"/>
          <w:b/>
          <w:sz w:val="26"/>
          <w:szCs w:val="26"/>
          <w:lang w:val="pl-PL"/>
        </w:rPr>
      </w:pPr>
      <w:r w:rsidRPr="003C1625">
        <w:rPr>
          <w:rFonts w:eastAsiaTheme="minorEastAsia"/>
          <w:b/>
          <w:sz w:val="26"/>
          <w:szCs w:val="26"/>
          <w:lang w:val="pl-PL"/>
        </w:rPr>
        <w:lastRenderedPageBreak/>
        <w:t>3. Ổn định kinh tế vĩ mô được duy trì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C1625" w:rsidRPr="003C1625" w:rsidTr="00C91E93">
        <w:tc>
          <w:tcPr>
            <w:tcW w:w="4785" w:type="dxa"/>
          </w:tcPr>
          <w:p w:rsidR="003C1625" w:rsidRPr="004D73AA" w:rsidRDefault="003C1625" w:rsidP="004016E4">
            <w:pPr>
              <w:spacing w:before="120" w:line="288" w:lineRule="auto"/>
              <w:ind w:firstLine="567"/>
              <w:rPr>
                <w:b/>
                <w:i/>
                <w:sz w:val="16"/>
                <w:szCs w:val="16"/>
                <w:lang w:val="pl-PL"/>
              </w:rPr>
            </w:pPr>
            <w:r w:rsidRPr="003C1625">
              <w:rPr>
                <w:rFonts w:eastAsiaTheme="minorEastAsia"/>
                <w:i/>
                <w:sz w:val="26"/>
                <w:szCs w:val="26"/>
                <w:lang w:val="pl-PL"/>
              </w:rPr>
              <w:t xml:space="preserve">- </w:t>
            </w:r>
            <w:r w:rsidRPr="003C1625">
              <w:rPr>
                <w:i/>
                <w:sz w:val="26"/>
                <w:szCs w:val="26"/>
                <w:lang w:val="pl-PL"/>
              </w:rPr>
              <w:t xml:space="preserve">Lạm phát thấp và ổn định. </w:t>
            </w:r>
            <w:r w:rsidR="004016E4" w:rsidRPr="004016E4">
              <w:rPr>
                <w:sz w:val="26"/>
                <w:szCs w:val="26"/>
                <w:lang w:val="pl-PL"/>
              </w:rPr>
              <w:t>L</w:t>
            </w:r>
            <w:r w:rsidRPr="003C1625">
              <w:rPr>
                <w:sz w:val="26"/>
                <w:szCs w:val="26"/>
                <w:lang w:val="pl-PL"/>
              </w:rPr>
              <w:t xml:space="preserve">ạm phát CPI tháng 7 ước tăng 0,68% so với cuối năm 2014; CPI bình quân 7 tháng đầu năm tăng khoảng 8,6% so với cùng kỳ năm trước và lạm phát cơ bản  là 2,42%. Nhìn chung, cả lạm phát và lạm phát cơ bản hầu như giữ nguyên trong 5 tháng gần đây. </w:t>
            </w:r>
            <w:r w:rsidRPr="003C1625">
              <w:rPr>
                <w:b/>
                <w:i/>
                <w:sz w:val="26"/>
                <w:szCs w:val="26"/>
                <w:lang w:val="pl-PL"/>
              </w:rPr>
              <w:t xml:space="preserve">UBGSTCQG dự báo năm 2015 lạm phát cơ bản khoảng 3% </w:t>
            </w:r>
            <w:r w:rsidR="008A1E4C">
              <w:rPr>
                <w:b/>
                <w:i/>
                <w:sz w:val="26"/>
                <w:szCs w:val="26"/>
                <w:lang w:val="pl-PL"/>
              </w:rPr>
              <w:t>.</w:t>
            </w:r>
          </w:p>
        </w:tc>
        <w:tc>
          <w:tcPr>
            <w:tcW w:w="4786" w:type="dxa"/>
          </w:tcPr>
          <w:p w:rsidR="003C1625" w:rsidRPr="003C1625" w:rsidRDefault="003C1625" w:rsidP="004D73AA">
            <w:pPr>
              <w:spacing w:before="120" w:line="288" w:lineRule="auto"/>
              <w:ind w:firstLine="0"/>
              <w:jc w:val="center"/>
              <w:rPr>
                <w:rFonts w:eastAsiaTheme="minorEastAsia"/>
                <w:b/>
                <w:sz w:val="24"/>
                <w:szCs w:val="26"/>
                <w:lang w:val="pl-PL"/>
              </w:rPr>
            </w:pPr>
            <w:r w:rsidRPr="003C1625">
              <w:rPr>
                <w:rFonts w:eastAsiaTheme="minorEastAsia"/>
                <w:b/>
                <w:sz w:val="24"/>
                <w:szCs w:val="26"/>
                <w:lang w:val="pl-PL"/>
              </w:rPr>
              <w:t xml:space="preserve">Hình </w:t>
            </w:r>
            <w:r w:rsidR="00C91E93">
              <w:rPr>
                <w:rFonts w:eastAsiaTheme="minorEastAsia"/>
                <w:b/>
                <w:sz w:val="24"/>
                <w:szCs w:val="26"/>
                <w:lang w:val="pl-PL"/>
              </w:rPr>
              <w:t>13</w:t>
            </w:r>
            <w:r w:rsidRPr="003C1625">
              <w:rPr>
                <w:rFonts w:eastAsiaTheme="minorEastAsia"/>
                <w:b/>
                <w:sz w:val="24"/>
                <w:szCs w:val="26"/>
                <w:lang w:val="pl-PL"/>
              </w:rPr>
              <w:t xml:space="preserve">: </w:t>
            </w:r>
            <w:r w:rsidRPr="003C1625">
              <w:rPr>
                <w:rFonts w:eastAsiaTheme="minorEastAsia"/>
                <w:b/>
                <w:sz w:val="24"/>
                <w:szCs w:val="26"/>
                <w:lang w:val="vi-VN"/>
              </w:rPr>
              <w:t>Lạm phát và lạm cơ bản</w:t>
            </w:r>
            <w:r w:rsidRPr="003C1625">
              <w:rPr>
                <w:rFonts w:eastAsiaTheme="minorEastAsia"/>
                <w:b/>
                <w:sz w:val="24"/>
                <w:szCs w:val="26"/>
                <w:lang w:val="pl-PL"/>
              </w:rPr>
              <w:t xml:space="preserve"> 7/2014-7/2015,  </w:t>
            </w:r>
            <w:r w:rsidRPr="003C1625">
              <w:rPr>
                <w:rFonts w:eastAsiaTheme="minorEastAsia"/>
                <w:b/>
                <w:sz w:val="24"/>
                <w:szCs w:val="26"/>
                <w:lang w:val="vi-VN"/>
              </w:rPr>
              <w:t>%</w:t>
            </w:r>
            <w:r w:rsidRPr="003C1625">
              <w:rPr>
                <w:rFonts w:eastAsiaTheme="minorEastAsia"/>
                <w:b/>
                <w:sz w:val="24"/>
                <w:szCs w:val="26"/>
                <w:lang w:val="pl-PL"/>
              </w:rPr>
              <w:t xml:space="preserve"> </w:t>
            </w:r>
            <w:r w:rsidRPr="003C1625">
              <w:rPr>
                <w:rFonts w:eastAsiaTheme="minorEastAsia"/>
                <w:b/>
                <w:sz w:val="24"/>
                <w:szCs w:val="26"/>
                <w:lang w:val="vi-VN"/>
              </w:rPr>
              <w:t>tăng CPI so cùng kỳ</w:t>
            </w:r>
          </w:p>
          <w:p w:rsidR="003C1625" w:rsidRPr="003C1625" w:rsidRDefault="003C1625" w:rsidP="003C1625">
            <w:pPr>
              <w:spacing w:before="120" w:line="288" w:lineRule="auto"/>
              <w:ind w:firstLine="0"/>
              <w:rPr>
                <w:rFonts w:eastAsiaTheme="minorEastAsia"/>
                <w:i/>
                <w:sz w:val="26"/>
                <w:szCs w:val="26"/>
                <w:lang w:val="pl-PL"/>
              </w:rPr>
            </w:pPr>
            <w:r w:rsidRPr="003C1625">
              <w:rPr>
                <w:rFonts w:eastAsiaTheme="minorEastAsia"/>
                <w:i/>
                <w:noProof/>
                <w:sz w:val="26"/>
                <w:szCs w:val="26"/>
              </w:rPr>
              <w:drawing>
                <wp:inline distT="0" distB="0" distL="0" distR="0">
                  <wp:extent cx="2699308" cy="1316736"/>
                  <wp:effectExtent l="0" t="0" r="0" b="0"/>
                  <wp:docPr id="6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1625" w:rsidRPr="003C1625" w:rsidRDefault="003C1625" w:rsidP="004D73AA">
            <w:pPr>
              <w:spacing w:before="120" w:line="288" w:lineRule="auto"/>
              <w:ind w:firstLine="0"/>
              <w:jc w:val="right"/>
              <w:rPr>
                <w:rFonts w:eastAsiaTheme="minorEastAsia"/>
                <w:sz w:val="24"/>
                <w:szCs w:val="26"/>
                <w:lang w:val="pl-PL"/>
              </w:rPr>
            </w:pPr>
            <w:r w:rsidRPr="003C1625">
              <w:rPr>
                <w:rFonts w:eastAsiaTheme="minorEastAsia"/>
                <w:i/>
                <w:sz w:val="24"/>
                <w:szCs w:val="26"/>
                <w:lang w:val="pl-PL"/>
              </w:rPr>
              <w:t>Nguồn:</w:t>
            </w:r>
            <w:r w:rsidRPr="003C1625">
              <w:rPr>
                <w:rFonts w:eastAsiaTheme="minorEastAsia"/>
                <w:b/>
                <w:i/>
                <w:sz w:val="24"/>
                <w:szCs w:val="26"/>
                <w:lang w:val="pl-PL"/>
              </w:rPr>
              <w:t xml:space="preserve"> </w:t>
            </w:r>
            <w:r w:rsidR="004D73AA">
              <w:rPr>
                <w:rFonts w:eastAsiaTheme="minorEastAsia"/>
                <w:sz w:val="24"/>
                <w:szCs w:val="26"/>
                <w:lang w:val="pl-PL"/>
              </w:rPr>
              <w:t>UBGSTCQG tính</w:t>
            </w:r>
            <w:r w:rsidRPr="003C1625">
              <w:rPr>
                <w:rFonts w:eastAsiaTheme="minorEastAsia"/>
                <w:sz w:val="24"/>
                <w:szCs w:val="26"/>
                <w:lang w:val="pl-PL"/>
              </w:rPr>
              <w:t xml:space="preserve"> toán</w:t>
            </w:r>
          </w:p>
        </w:tc>
      </w:tr>
    </w:tbl>
    <w:p w:rsidR="00962E9C" w:rsidRPr="00B72EBA" w:rsidRDefault="001649AF" w:rsidP="00B72EBA">
      <w:pPr>
        <w:spacing w:before="120" w:line="288" w:lineRule="auto"/>
        <w:rPr>
          <w:rFonts w:eastAsiaTheme="minorHAnsi"/>
          <w:sz w:val="26"/>
          <w:szCs w:val="26"/>
          <w:lang w:val="pl-PL"/>
        </w:rPr>
      </w:pPr>
      <w:r w:rsidRPr="00B72EBA">
        <w:rPr>
          <w:rFonts w:eastAsiaTheme="minorHAnsi"/>
          <w:i/>
          <w:sz w:val="26"/>
          <w:szCs w:val="26"/>
          <w:lang w:val="pl-PL"/>
        </w:rPr>
        <w:t xml:space="preserve">- </w:t>
      </w:r>
      <w:r w:rsidR="0064120E" w:rsidRPr="00B72EBA">
        <w:rPr>
          <w:rFonts w:eastAsiaTheme="minorHAnsi"/>
          <w:i/>
          <w:sz w:val="26"/>
          <w:szCs w:val="26"/>
          <w:lang w:val="pl-PL"/>
        </w:rPr>
        <w:t>Thị trường ngoại hối tiếp tục duy trì ổn định</w:t>
      </w:r>
      <w:r w:rsidR="00562652">
        <w:rPr>
          <w:rFonts w:eastAsiaTheme="minorHAnsi"/>
          <w:i/>
          <w:sz w:val="26"/>
          <w:szCs w:val="26"/>
          <w:lang w:val="pl-PL"/>
        </w:rPr>
        <w:t xml:space="preserve"> 7 tháng năm 2015</w:t>
      </w:r>
      <w:r w:rsidR="0064120E" w:rsidRPr="00B72EBA">
        <w:rPr>
          <w:rFonts w:eastAsiaTheme="minorHAnsi"/>
          <w:i/>
          <w:sz w:val="26"/>
          <w:szCs w:val="26"/>
          <w:lang w:val="pl-PL"/>
        </w:rPr>
        <w:t>, tỷ giá USD/VND chủ yếu đi ngang trong biên độ 21</w:t>
      </w:r>
      <w:r w:rsidR="00DD3AFA" w:rsidRPr="00B72EBA">
        <w:rPr>
          <w:rFonts w:eastAsiaTheme="minorHAnsi"/>
          <w:i/>
          <w:sz w:val="26"/>
          <w:szCs w:val="26"/>
          <w:lang w:val="pl-PL"/>
        </w:rPr>
        <w:t>.</w:t>
      </w:r>
      <w:r w:rsidR="0064120E" w:rsidRPr="00B72EBA">
        <w:rPr>
          <w:rFonts w:eastAsiaTheme="minorHAnsi"/>
          <w:i/>
          <w:sz w:val="26"/>
          <w:szCs w:val="26"/>
          <w:lang w:val="pl-PL"/>
        </w:rPr>
        <w:t>805</w:t>
      </w:r>
      <w:r w:rsidR="004016E4">
        <w:rPr>
          <w:rFonts w:eastAsiaTheme="minorHAnsi"/>
          <w:i/>
          <w:sz w:val="26"/>
          <w:szCs w:val="26"/>
          <w:lang w:val="pl-PL"/>
        </w:rPr>
        <w:t xml:space="preserve"> </w:t>
      </w:r>
      <w:r w:rsidR="0064120E" w:rsidRPr="00B72EBA">
        <w:rPr>
          <w:rFonts w:eastAsiaTheme="minorHAnsi"/>
          <w:i/>
          <w:sz w:val="26"/>
          <w:szCs w:val="26"/>
          <w:lang w:val="pl-PL"/>
        </w:rPr>
        <w:t>-</w:t>
      </w:r>
      <w:r w:rsidR="004016E4">
        <w:rPr>
          <w:rFonts w:eastAsiaTheme="minorHAnsi"/>
          <w:i/>
          <w:sz w:val="26"/>
          <w:szCs w:val="26"/>
          <w:lang w:val="pl-PL"/>
        </w:rPr>
        <w:t xml:space="preserve"> </w:t>
      </w:r>
      <w:r w:rsidR="0064120E" w:rsidRPr="00B72EBA">
        <w:rPr>
          <w:rFonts w:eastAsiaTheme="minorHAnsi"/>
          <w:i/>
          <w:sz w:val="26"/>
          <w:szCs w:val="26"/>
          <w:lang w:val="pl-PL"/>
        </w:rPr>
        <w:t>21</w:t>
      </w:r>
      <w:r w:rsidR="00DD3AFA" w:rsidRPr="00B72EBA">
        <w:rPr>
          <w:rFonts w:eastAsiaTheme="minorHAnsi"/>
          <w:i/>
          <w:sz w:val="26"/>
          <w:szCs w:val="26"/>
          <w:lang w:val="pl-PL"/>
        </w:rPr>
        <w:t>.</w:t>
      </w:r>
      <w:r w:rsidR="0064120E" w:rsidRPr="00B72EBA">
        <w:rPr>
          <w:rFonts w:eastAsiaTheme="minorHAnsi"/>
          <w:i/>
          <w:sz w:val="26"/>
          <w:szCs w:val="26"/>
          <w:lang w:val="pl-PL"/>
        </w:rPr>
        <w:t xml:space="preserve">815. </w:t>
      </w:r>
      <w:r w:rsidR="0064120E" w:rsidRPr="00B72EBA">
        <w:rPr>
          <w:rFonts w:eastAsiaTheme="minorHAnsi"/>
          <w:sz w:val="26"/>
          <w:szCs w:val="26"/>
          <w:lang w:val="pl-PL"/>
        </w:rPr>
        <w:t>Các yếu tố giúp thị trườ</w:t>
      </w:r>
      <w:r w:rsidR="00063004" w:rsidRPr="00B72EBA">
        <w:rPr>
          <w:rFonts w:eastAsiaTheme="minorHAnsi"/>
          <w:sz w:val="26"/>
          <w:szCs w:val="26"/>
          <w:lang w:val="pl-PL"/>
        </w:rPr>
        <w:t>ng ngoại hối duy trì sự ổn định</w:t>
      </w:r>
      <w:r w:rsidR="0064120E" w:rsidRPr="00B72EBA">
        <w:rPr>
          <w:rFonts w:eastAsiaTheme="minorHAnsi"/>
          <w:sz w:val="26"/>
          <w:szCs w:val="26"/>
          <w:lang w:val="pl-PL"/>
        </w:rPr>
        <w:t>: (</w:t>
      </w:r>
      <w:r w:rsidR="00063004" w:rsidRPr="00B72EBA">
        <w:rPr>
          <w:rFonts w:eastAsiaTheme="minorHAnsi"/>
          <w:sz w:val="26"/>
          <w:szCs w:val="26"/>
          <w:lang w:val="pl-PL"/>
        </w:rPr>
        <w:t>i</w:t>
      </w:r>
      <w:r w:rsidR="0064120E" w:rsidRPr="00B72EBA">
        <w:rPr>
          <w:rFonts w:eastAsiaTheme="minorHAnsi"/>
          <w:sz w:val="26"/>
          <w:szCs w:val="26"/>
          <w:lang w:val="pl-PL"/>
        </w:rPr>
        <w:t>) NHNN cho thấy sự nhất quán trong điều hành tỷ giá. Và mức giá bán ra của NHNN 21</w:t>
      </w:r>
      <w:r w:rsidR="00DD3AFA" w:rsidRPr="00B72EBA">
        <w:rPr>
          <w:rFonts w:eastAsiaTheme="minorHAnsi"/>
          <w:sz w:val="26"/>
          <w:szCs w:val="26"/>
          <w:lang w:val="pl-PL"/>
        </w:rPr>
        <w:t>.</w:t>
      </w:r>
      <w:r w:rsidR="0064120E" w:rsidRPr="00B72EBA">
        <w:rPr>
          <w:rFonts w:eastAsiaTheme="minorHAnsi"/>
          <w:sz w:val="26"/>
          <w:szCs w:val="26"/>
          <w:lang w:val="pl-PL"/>
        </w:rPr>
        <w:t xml:space="preserve">820 vẫn giữ vai trò ngưỡng chặn trên vững chắc của thị trường; </w:t>
      </w:r>
      <w:r w:rsidR="00063004" w:rsidRPr="00B72EBA">
        <w:rPr>
          <w:rFonts w:eastAsiaTheme="minorHAnsi"/>
          <w:sz w:val="26"/>
          <w:szCs w:val="26"/>
          <w:lang w:val="pl-PL"/>
        </w:rPr>
        <w:t>(ii</w:t>
      </w:r>
      <w:r w:rsidR="00F45C7B">
        <w:rPr>
          <w:rFonts w:eastAsiaTheme="minorHAnsi"/>
          <w:sz w:val="26"/>
          <w:szCs w:val="26"/>
          <w:lang w:val="pl-PL"/>
        </w:rPr>
        <w:t xml:space="preserve">) </w:t>
      </w:r>
      <w:r w:rsidR="00F95C6C">
        <w:rPr>
          <w:rFonts w:eastAsiaTheme="minorHAnsi"/>
          <w:sz w:val="26"/>
          <w:szCs w:val="26"/>
          <w:lang w:val="pl-PL"/>
        </w:rPr>
        <w:t xml:space="preserve">theo Tổng cục Hải quan, </w:t>
      </w:r>
      <w:r w:rsidR="00F95C6C" w:rsidRPr="00B72EBA">
        <w:rPr>
          <w:rFonts w:eastAsiaTheme="minorHAnsi"/>
          <w:sz w:val="26"/>
          <w:szCs w:val="26"/>
          <w:lang w:val="pl-PL"/>
        </w:rPr>
        <w:t>CCTM có sự cải thiện trong nửa cuối tháng 6, cả tháng 6 nhập siêu 140 triệ</w:t>
      </w:r>
      <w:r w:rsidR="00F95C6C">
        <w:rPr>
          <w:rFonts w:eastAsiaTheme="minorHAnsi"/>
          <w:sz w:val="26"/>
          <w:szCs w:val="26"/>
          <w:lang w:val="pl-PL"/>
        </w:rPr>
        <w:t xml:space="preserve">u USD, </w:t>
      </w:r>
      <w:r w:rsidR="00F95C6C" w:rsidRPr="00B72EBA">
        <w:rPr>
          <w:rFonts w:eastAsiaTheme="minorHAnsi"/>
          <w:sz w:val="26"/>
          <w:szCs w:val="26"/>
          <w:lang w:val="pl-PL"/>
        </w:rPr>
        <w:t>thấp hơn mức ước tính 700 triệu USD trước đây</w:t>
      </w:r>
      <w:r w:rsidR="00F95C6C">
        <w:rPr>
          <w:rFonts w:eastAsiaTheme="minorHAnsi"/>
          <w:sz w:val="26"/>
          <w:szCs w:val="26"/>
          <w:lang w:val="pl-PL"/>
        </w:rPr>
        <w:t>; (iii) k</w:t>
      </w:r>
      <w:r w:rsidR="00962E9C" w:rsidRPr="00B72EBA">
        <w:rPr>
          <w:rFonts w:eastAsiaTheme="minorHAnsi"/>
          <w:sz w:val="26"/>
          <w:szCs w:val="26"/>
          <w:lang w:val="pl-PL"/>
        </w:rPr>
        <w:t xml:space="preserve">iều hối năm 2015 </w:t>
      </w:r>
      <w:r w:rsidR="00962E9C" w:rsidRPr="00B72EBA">
        <w:rPr>
          <w:rFonts w:eastAsiaTheme="minorHAnsi"/>
          <w:sz w:val="26"/>
          <w:szCs w:val="26"/>
          <w:lang w:val="pl-PL"/>
        </w:rPr>
        <w:lastRenderedPageBreak/>
        <w:t>dự kiến lên tới 13</w:t>
      </w:r>
      <w:r w:rsidR="001805BC">
        <w:rPr>
          <w:rFonts w:eastAsiaTheme="minorHAnsi"/>
          <w:sz w:val="26"/>
          <w:szCs w:val="26"/>
          <w:lang w:val="pl-PL"/>
        </w:rPr>
        <w:t xml:space="preserve"> </w:t>
      </w:r>
      <w:r w:rsidR="00962E9C" w:rsidRPr="00B72EBA">
        <w:rPr>
          <w:rFonts w:eastAsiaTheme="minorHAnsi"/>
          <w:sz w:val="26"/>
          <w:szCs w:val="26"/>
          <w:lang w:val="pl-PL"/>
        </w:rPr>
        <w:t>-</w:t>
      </w:r>
      <w:r w:rsidR="001805BC">
        <w:rPr>
          <w:rFonts w:eastAsiaTheme="minorHAnsi"/>
          <w:sz w:val="26"/>
          <w:szCs w:val="26"/>
          <w:lang w:val="pl-PL"/>
        </w:rPr>
        <w:t xml:space="preserve"> </w:t>
      </w:r>
      <w:r w:rsidR="00962E9C" w:rsidRPr="00B72EBA">
        <w:rPr>
          <w:rFonts w:eastAsiaTheme="minorHAnsi"/>
          <w:sz w:val="26"/>
          <w:szCs w:val="26"/>
          <w:lang w:val="pl-PL"/>
        </w:rPr>
        <w:t>14 tỷ</w:t>
      </w:r>
      <w:r w:rsidR="00F95C6C">
        <w:rPr>
          <w:rFonts w:eastAsiaTheme="minorHAnsi"/>
          <w:sz w:val="26"/>
          <w:szCs w:val="26"/>
          <w:lang w:val="pl-PL"/>
        </w:rPr>
        <w:t xml:space="preserve"> USD; </w:t>
      </w:r>
      <w:r w:rsidR="00F95C6C" w:rsidRPr="00B72EBA">
        <w:rPr>
          <w:rFonts w:eastAsiaTheme="minorHAnsi"/>
          <w:sz w:val="26"/>
          <w:szCs w:val="26"/>
          <w:lang w:val="pl-PL"/>
        </w:rPr>
        <w:t xml:space="preserve">vốn </w:t>
      </w:r>
      <w:r w:rsidR="00F95C6C">
        <w:rPr>
          <w:rFonts w:eastAsiaTheme="minorHAnsi"/>
          <w:sz w:val="26"/>
          <w:szCs w:val="26"/>
          <w:lang w:val="pl-PL"/>
        </w:rPr>
        <w:t>FDI</w:t>
      </w:r>
      <w:r w:rsidR="00F95C6C">
        <w:rPr>
          <w:rStyle w:val="FootnoteReference"/>
          <w:rFonts w:eastAsiaTheme="minorHAnsi"/>
          <w:sz w:val="26"/>
          <w:szCs w:val="26"/>
          <w:lang w:val="pl-PL"/>
        </w:rPr>
        <w:footnoteReference w:id="21"/>
      </w:r>
      <w:r w:rsidR="00F95C6C" w:rsidRPr="00B72EBA">
        <w:rPr>
          <w:rFonts w:eastAsiaTheme="minorHAnsi"/>
          <w:sz w:val="26"/>
          <w:szCs w:val="26"/>
          <w:lang w:val="pl-PL"/>
        </w:rPr>
        <w:t xml:space="preserve"> giải ngân 6 tháng đầu năm 2015 đạt 6,3 tỷ USD, tăng 9,6% so với cùng kỳ</w:t>
      </w:r>
      <w:r w:rsidR="00F95C6C">
        <w:rPr>
          <w:rFonts w:eastAsiaTheme="minorHAnsi"/>
          <w:sz w:val="26"/>
          <w:szCs w:val="26"/>
          <w:lang w:val="pl-PL"/>
        </w:rPr>
        <w:t xml:space="preserve"> 2014. </w:t>
      </w:r>
    </w:p>
    <w:p w:rsidR="00FF27B1" w:rsidRPr="003C1625" w:rsidRDefault="00D83BE6" w:rsidP="00CE0ED1">
      <w:pPr>
        <w:spacing w:before="120" w:line="288" w:lineRule="auto"/>
        <w:ind w:firstLine="709"/>
        <w:rPr>
          <w:rFonts w:eastAsiaTheme="minorHAnsi"/>
          <w:i/>
          <w:sz w:val="26"/>
          <w:szCs w:val="26"/>
          <w:lang w:val="pl-PL"/>
        </w:rPr>
      </w:pPr>
      <w:r w:rsidRPr="00950FE5">
        <w:rPr>
          <w:rFonts w:eastAsiaTheme="minorHAnsi"/>
          <w:i/>
          <w:sz w:val="26"/>
          <w:szCs w:val="26"/>
          <w:lang w:val="pl-PL"/>
        </w:rPr>
        <w:t xml:space="preserve">- </w:t>
      </w:r>
      <w:r w:rsidR="001649AF" w:rsidRPr="00950FE5">
        <w:rPr>
          <w:rFonts w:eastAsiaTheme="minorHAnsi"/>
          <w:i/>
          <w:sz w:val="26"/>
          <w:szCs w:val="26"/>
          <w:lang w:val="pl-PL"/>
        </w:rPr>
        <w:t>Hệ thống tài chính ổn định:</w:t>
      </w:r>
      <w:r w:rsidR="001649AF" w:rsidRPr="003C1625">
        <w:rPr>
          <w:rFonts w:eastAsiaTheme="minorHAnsi"/>
          <w:i/>
          <w:sz w:val="26"/>
          <w:szCs w:val="26"/>
          <w:lang w:val="pl-PL"/>
        </w:rPr>
        <w:t xml:space="preserve"> </w:t>
      </w:r>
    </w:p>
    <w:p w:rsidR="00FF27B1" w:rsidRPr="003C1625" w:rsidRDefault="001649AF" w:rsidP="00910F80">
      <w:pPr>
        <w:spacing w:before="120" w:line="288" w:lineRule="auto"/>
        <w:rPr>
          <w:sz w:val="26"/>
          <w:szCs w:val="26"/>
          <w:lang w:val="sv-SE"/>
        </w:rPr>
      </w:pPr>
      <w:r w:rsidRPr="003C1625">
        <w:rPr>
          <w:rFonts w:eastAsiaTheme="minorHAnsi"/>
          <w:i/>
          <w:sz w:val="26"/>
          <w:szCs w:val="26"/>
          <w:lang w:val="pl-PL"/>
        </w:rPr>
        <w:t xml:space="preserve">(i) </w:t>
      </w:r>
      <w:r w:rsidRPr="003C1625">
        <w:rPr>
          <w:rFonts w:eastAsiaTheme="minorHAnsi"/>
          <w:i/>
          <w:sz w:val="26"/>
          <w:szCs w:val="26"/>
          <w:lang w:val="it-IT"/>
        </w:rPr>
        <w:t>Thanh khoản của hệ thống TCTD ổn định.</w:t>
      </w:r>
      <w:r w:rsidRPr="003C1625">
        <w:rPr>
          <w:rFonts w:eastAsiaTheme="minorHAnsi"/>
          <w:b/>
          <w:i/>
          <w:sz w:val="26"/>
          <w:szCs w:val="26"/>
          <w:lang w:val="it-IT"/>
        </w:rPr>
        <w:t xml:space="preserve"> </w:t>
      </w:r>
      <w:r w:rsidRPr="003C1625">
        <w:rPr>
          <w:rFonts w:eastAsiaTheme="minorHAnsi"/>
          <w:sz w:val="26"/>
          <w:szCs w:val="26"/>
          <w:lang w:val="it-IT"/>
        </w:rPr>
        <w:t>Tỷ lệ LDR tăng nhẹ từ 83,3% (</w:t>
      </w:r>
      <w:r w:rsidR="001805BC">
        <w:rPr>
          <w:rFonts w:eastAsiaTheme="minorHAnsi"/>
          <w:sz w:val="26"/>
          <w:szCs w:val="26"/>
          <w:lang w:val="it-IT"/>
        </w:rPr>
        <w:t xml:space="preserve">năm </w:t>
      </w:r>
      <w:r w:rsidRPr="003C1625">
        <w:rPr>
          <w:rFonts w:eastAsiaTheme="minorHAnsi"/>
          <w:sz w:val="26"/>
          <w:szCs w:val="26"/>
          <w:lang w:val="it-IT"/>
        </w:rPr>
        <w:t xml:space="preserve">2014) lên 84,7% (tháng 5/2015). Tiền gửi và vay liên </w:t>
      </w:r>
      <w:r w:rsidR="001805BC">
        <w:rPr>
          <w:rFonts w:eastAsiaTheme="minorHAnsi"/>
          <w:sz w:val="26"/>
          <w:szCs w:val="26"/>
          <w:lang w:val="it-IT"/>
        </w:rPr>
        <w:t>ngân hàng</w:t>
      </w:r>
      <w:r w:rsidRPr="003C1625">
        <w:rPr>
          <w:rFonts w:eastAsiaTheme="minorHAnsi"/>
          <w:sz w:val="26"/>
          <w:szCs w:val="26"/>
          <w:lang w:val="it-IT"/>
        </w:rPr>
        <w:t xml:space="preserve"> giảm đáng kể so với cuối năm 2014 (giảm 16,83%), do đó tỷ trọng vốn liên ngân hàng/tổng nguồn vốn cũng giảm từ 13,9% (tháng 12/2014) xuống còn 11,5% (tháng 5/2015).</w:t>
      </w:r>
      <w:r w:rsidRPr="003C1625">
        <w:rPr>
          <w:sz w:val="26"/>
          <w:szCs w:val="26"/>
          <w:lang w:val="sv-SE"/>
        </w:rPr>
        <w:t xml:space="preserve"> Trừ một số </w:t>
      </w:r>
      <w:r w:rsidR="001805BC">
        <w:rPr>
          <w:sz w:val="26"/>
          <w:szCs w:val="26"/>
          <w:lang w:val="sv-SE"/>
        </w:rPr>
        <w:t>ngân hàng</w:t>
      </w:r>
      <w:r w:rsidRPr="003C1625">
        <w:rPr>
          <w:sz w:val="26"/>
          <w:szCs w:val="26"/>
          <w:lang w:val="sv-SE"/>
        </w:rPr>
        <w:t xml:space="preserve"> đang trong diện tái cơ cấu, cần hỗ trợ thanh khoản, các TCTD khác thanh khoản tương đối ổn định. </w:t>
      </w:r>
    </w:p>
    <w:p w:rsidR="00FF27B1" w:rsidRPr="003C1625" w:rsidRDefault="001649AF" w:rsidP="00910F80">
      <w:pPr>
        <w:spacing w:before="120" w:line="288" w:lineRule="auto"/>
        <w:rPr>
          <w:sz w:val="26"/>
          <w:szCs w:val="26"/>
          <w:lang w:val="sv-SE"/>
        </w:rPr>
      </w:pPr>
      <w:r w:rsidRPr="003C1625">
        <w:rPr>
          <w:i/>
          <w:sz w:val="26"/>
          <w:szCs w:val="26"/>
          <w:lang w:val="sv-SE"/>
        </w:rPr>
        <w:t>(ii)</w:t>
      </w:r>
      <w:r w:rsidRPr="003C1625">
        <w:rPr>
          <w:sz w:val="26"/>
          <w:szCs w:val="26"/>
          <w:lang w:val="sv-SE"/>
        </w:rPr>
        <w:t xml:space="preserve"> </w:t>
      </w:r>
      <w:r w:rsidRPr="003C1625">
        <w:rPr>
          <w:i/>
          <w:sz w:val="26"/>
          <w:szCs w:val="26"/>
          <w:lang w:val="sv-SE"/>
        </w:rPr>
        <w:t>K</w:t>
      </w:r>
      <w:r w:rsidR="00FF27B1" w:rsidRPr="003C1625">
        <w:rPr>
          <w:i/>
          <w:sz w:val="26"/>
          <w:szCs w:val="26"/>
          <w:lang w:val="sv-SE"/>
        </w:rPr>
        <w:t>ết quả kinh doanh toàn hệ thống</w:t>
      </w:r>
      <w:r w:rsidRPr="003C1625">
        <w:rPr>
          <w:i/>
          <w:sz w:val="26"/>
          <w:szCs w:val="26"/>
          <w:lang w:val="sv-SE"/>
        </w:rPr>
        <w:t xml:space="preserve"> </w:t>
      </w:r>
      <w:r w:rsidR="00F45C7B">
        <w:rPr>
          <w:i/>
          <w:sz w:val="26"/>
          <w:szCs w:val="26"/>
          <w:lang w:val="sv-SE"/>
        </w:rPr>
        <w:t xml:space="preserve">TCTD </w:t>
      </w:r>
      <w:r w:rsidRPr="003C1625">
        <w:rPr>
          <w:i/>
          <w:sz w:val="26"/>
          <w:szCs w:val="26"/>
          <w:lang w:val="sv-SE"/>
        </w:rPr>
        <w:t>tương đối khả quan</w:t>
      </w:r>
      <w:r w:rsidRPr="003C1625">
        <w:rPr>
          <w:sz w:val="26"/>
          <w:szCs w:val="26"/>
          <w:lang w:val="sv-SE"/>
        </w:rPr>
        <w:t xml:space="preserve">. </w:t>
      </w:r>
      <w:r w:rsidR="00F95C6C">
        <w:rPr>
          <w:sz w:val="26"/>
          <w:szCs w:val="26"/>
          <w:lang w:val="sv-SE"/>
        </w:rPr>
        <w:t xml:space="preserve">Tín dụng tăng khá, tính đến ngày 20/7 tăng trưởng tín dụng đạt 7,32% so với cuối năm 2014; mức tăng cao hơn nhiều so với cùng kỳ 2014 là 3,15%. </w:t>
      </w:r>
      <w:r w:rsidRPr="003C1625">
        <w:rPr>
          <w:sz w:val="26"/>
          <w:szCs w:val="26"/>
          <w:lang w:val="sv-SE"/>
        </w:rPr>
        <w:t>Thu nhập lãi thuần tăng 14,91%</w:t>
      </w:r>
      <w:r w:rsidR="00F45C7B">
        <w:rPr>
          <w:sz w:val="26"/>
          <w:szCs w:val="26"/>
          <w:lang w:val="sv-SE"/>
        </w:rPr>
        <w:t xml:space="preserve">, tạo điều kiện thuận lợi cho các TCTD </w:t>
      </w:r>
      <w:r w:rsidR="00CE0ED1">
        <w:rPr>
          <w:sz w:val="26"/>
          <w:szCs w:val="26"/>
          <w:lang w:val="sv-SE"/>
        </w:rPr>
        <w:t xml:space="preserve">tăng </w:t>
      </w:r>
      <w:r w:rsidR="00F45C7B">
        <w:rPr>
          <w:sz w:val="26"/>
          <w:szCs w:val="26"/>
          <w:lang w:val="sv-SE"/>
        </w:rPr>
        <w:t>trích lập dự phòng</w:t>
      </w:r>
      <w:r w:rsidRPr="003C1625">
        <w:rPr>
          <w:sz w:val="26"/>
          <w:szCs w:val="26"/>
          <w:lang w:val="sv-SE"/>
        </w:rPr>
        <w:t xml:space="preserve">. </w:t>
      </w:r>
    </w:p>
    <w:p w:rsidR="00FF27B1" w:rsidRPr="003C1625" w:rsidRDefault="001649AF" w:rsidP="00910F80">
      <w:pPr>
        <w:spacing w:before="120" w:line="288" w:lineRule="auto"/>
        <w:rPr>
          <w:rFonts w:eastAsiaTheme="minorHAnsi"/>
          <w:spacing w:val="4"/>
          <w:sz w:val="26"/>
          <w:szCs w:val="26"/>
          <w:lang w:val="sv-SE"/>
        </w:rPr>
      </w:pPr>
      <w:r w:rsidRPr="003C1625">
        <w:rPr>
          <w:i/>
          <w:sz w:val="26"/>
          <w:szCs w:val="26"/>
          <w:lang w:val="sv-SE"/>
        </w:rPr>
        <w:t>(iii)</w:t>
      </w:r>
      <w:r w:rsidRPr="003C1625">
        <w:rPr>
          <w:sz w:val="26"/>
          <w:szCs w:val="26"/>
          <w:lang w:val="sv-SE"/>
        </w:rPr>
        <w:t xml:space="preserve"> </w:t>
      </w:r>
      <w:r w:rsidRPr="003C1625">
        <w:rPr>
          <w:rFonts w:eastAsiaTheme="minorHAnsi"/>
          <w:i/>
          <w:spacing w:val="4"/>
          <w:sz w:val="26"/>
          <w:szCs w:val="26"/>
          <w:lang w:val="sv-SE"/>
        </w:rPr>
        <w:t>Nợ xấu có xu hướng giảm</w:t>
      </w:r>
      <w:r w:rsidRPr="003C1625">
        <w:rPr>
          <w:rFonts w:eastAsiaTheme="minorHAnsi"/>
          <w:spacing w:val="4"/>
          <w:sz w:val="26"/>
          <w:szCs w:val="26"/>
          <w:lang w:val="sv-SE"/>
        </w:rPr>
        <w:t>. Theo số liệu của NHNN, nợ xấu giảm từ 3,81% (tháng 3/2015) xuống còn 3,15% (tháng 5/2015)</w:t>
      </w:r>
      <w:r w:rsidR="004016E4">
        <w:rPr>
          <w:rFonts w:eastAsiaTheme="minorHAnsi"/>
          <w:spacing w:val="4"/>
          <w:sz w:val="26"/>
          <w:szCs w:val="26"/>
          <w:lang w:val="sv-SE"/>
        </w:rPr>
        <w:t>; n</w:t>
      </w:r>
      <w:r w:rsidRPr="003C1625">
        <w:rPr>
          <w:rFonts w:eastAsiaTheme="minorHAnsi"/>
          <w:spacing w:val="4"/>
          <w:sz w:val="26"/>
          <w:szCs w:val="26"/>
          <w:lang w:val="sv-SE"/>
        </w:rPr>
        <w:t xml:space="preserve">ợ xấu sẽ được đưa về dưới 3% trước ngày </w:t>
      </w:r>
      <w:r w:rsidR="001805BC">
        <w:rPr>
          <w:rFonts w:eastAsiaTheme="minorHAnsi"/>
          <w:spacing w:val="4"/>
          <w:sz w:val="26"/>
          <w:szCs w:val="26"/>
          <w:lang w:val="sv-SE"/>
        </w:rPr>
        <w:t>0</w:t>
      </w:r>
      <w:r w:rsidRPr="003C1625">
        <w:rPr>
          <w:rFonts w:eastAsiaTheme="minorHAnsi"/>
          <w:spacing w:val="4"/>
          <w:sz w:val="26"/>
          <w:szCs w:val="26"/>
          <w:lang w:val="sv-SE"/>
        </w:rPr>
        <w:t xml:space="preserve">1/10/2015. </w:t>
      </w:r>
    </w:p>
    <w:p w:rsidR="00D83BE6" w:rsidRPr="003C1625" w:rsidRDefault="00D83BE6" w:rsidP="00910F80">
      <w:pPr>
        <w:spacing w:before="120" w:line="288" w:lineRule="auto"/>
        <w:ind w:firstLine="0"/>
        <w:rPr>
          <w:b/>
          <w:sz w:val="26"/>
          <w:szCs w:val="26"/>
          <w:lang w:val="sv-SE"/>
        </w:rPr>
      </w:pPr>
      <w:r w:rsidRPr="003C1625">
        <w:rPr>
          <w:b/>
          <w:sz w:val="26"/>
          <w:szCs w:val="26"/>
          <w:lang w:val="sv-SE"/>
        </w:rPr>
        <w:t>4. Nền kinh tế vẫn còn một số khó khăn</w:t>
      </w:r>
    </w:p>
    <w:tbl>
      <w:tblPr>
        <w:tblStyle w:val="TableGrid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677"/>
      </w:tblGrid>
      <w:tr w:rsidR="00FF27B1" w:rsidRPr="003C1625" w:rsidTr="00C91E93">
        <w:trPr>
          <w:trHeight w:val="1275"/>
        </w:trPr>
        <w:tc>
          <w:tcPr>
            <w:tcW w:w="5070" w:type="dxa"/>
          </w:tcPr>
          <w:p w:rsidR="00D83BE6" w:rsidRPr="008A1E4C" w:rsidRDefault="00FF27B1" w:rsidP="00962E9C">
            <w:pPr>
              <w:widowControl w:val="0"/>
              <w:spacing w:before="120" w:line="288" w:lineRule="auto"/>
              <w:rPr>
                <w:sz w:val="26"/>
                <w:szCs w:val="26"/>
                <w:lang w:val="vi-VN"/>
              </w:rPr>
            </w:pPr>
            <w:r w:rsidRPr="00962E9C">
              <w:rPr>
                <w:b/>
                <w:i/>
                <w:sz w:val="26"/>
                <w:szCs w:val="26"/>
                <w:lang w:val="vi-VN"/>
              </w:rPr>
              <w:t>-</w:t>
            </w:r>
            <w:r w:rsidRPr="00962E9C">
              <w:rPr>
                <w:i/>
                <w:sz w:val="26"/>
                <w:szCs w:val="26"/>
                <w:lang w:val="vi-VN"/>
              </w:rPr>
              <w:t xml:space="preserve"> </w:t>
            </w:r>
            <w:r w:rsidR="00962E9C" w:rsidRPr="008A1E4C">
              <w:rPr>
                <w:i/>
                <w:sz w:val="26"/>
                <w:szCs w:val="26"/>
                <w:lang w:val="sv-SE"/>
              </w:rPr>
              <w:t>Tháng 7/2015, phát hành TPCP chỉ đạt 34% so với kế hoạch cả năm.</w:t>
            </w:r>
            <w:r w:rsidR="00962E9C" w:rsidRPr="008A1E4C">
              <w:rPr>
                <w:sz w:val="26"/>
                <w:szCs w:val="26"/>
                <w:lang w:val="sv-SE"/>
              </w:rPr>
              <w:t xml:space="preserve"> </w:t>
            </w:r>
            <w:r w:rsidRPr="003C1625">
              <w:rPr>
                <w:sz w:val="26"/>
                <w:szCs w:val="26"/>
                <w:lang w:val="vi-VN"/>
              </w:rPr>
              <w:t>Lũy kế 7 tháng phát hành TPCP vẫn thấp so với kế hoạch năm, mặc dù tỷ lệ trúng thầu TPC</w:t>
            </w:r>
            <w:r w:rsidR="001805BC">
              <w:rPr>
                <w:sz w:val="26"/>
                <w:szCs w:val="26"/>
                <w:lang w:val="vi-VN"/>
              </w:rPr>
              <w:t>P trong tháng 7 cải thiện hơn.</w:t>
            </w:r>
            <w:r w:rsidR="001805BC" w:rsidRPr="001805BC">
              <w:rPr>
                <w:sz w:val="26"/>
                <w:szCs w:val="26"/>
                <w:lang w:val="sv-SE"/>
              </w:rPr>
              <w:t xml:space="preserve"> </w:t>
            </w:r>
            <w:r w:rsidRPr="003C1625">
              <w:rPr>
                <w:sz w:val="26"/>
                <w:szCs w:val="26"/>
                <w:lang w:val="vi-VN"/>
              </w:rPr>
              <w:t>Tỷ lệ trúng thầu/gọi thầu trong tháng 7 tăng lên 63,8%, mức cao nhất kể từ tháng 3/2015. Lãi suất phát hành giữ ở mức cao là 6,4%, 6,7% và 7,65% cho các kỳ hạn tương ứng 5 năm, 10 năm và 15 năm. Tính từ đầu năm đã phát hành được 86.106,69 tỷ TPCP qua KBNN, đạt 34,4% kế hoạch năm với tỷ lệ huy động thành công là 58,4% và kỳ hạn phát hành bình quân đạt 8,48 năm</w:t>
            </w:r>
            <w:r w:rsidRPr="003C1625">
              <w:rPr>
                <w:sz w:val="26"/>
                <w:szCs w:val="26"/>
                <w:vertAlign w:val="superscript"/>
              </w:rPr>
              <w:footnoteReference w:id="22"/>
            </w:r>
            <w:r w:rsidRPr="003C1625">
              <w:rPr>
                <w:sz w:val="26"/>
                <w:szCs w:val="26"/>
                <w:lang w:val="vi-VN"/>
              </w:rPr>
              <w:t>. KBNN cũng vừa ban hành kế hoạch phát hành TPCP quý III/ 2015</w:t>
            </w:r>
            <w:r w:rsidRPr="003C1625">
              <w:rPr>
                <w:rStyle w:val="FootnoteReference"/>
                <w:sz w:val="26"/>
                <w:szCs w:val="26"/>
              </w:rPr>
              <w:footnoteReference w:id="23"/>
            </w:r>
            <w:r w:rsidRPr="003C1625">
              <w:rPr>
                <w:sz w:val="26"/>
                <w:szCs w:val="26"/>
                <w:lang w:val="vi-VN"/>
              </w:rPr>
              <w:t xml:space="preserve"> và </w:t>
            </w:r>
            <w:r w:rsidRPr="003C1625">
              <w:rPr>
                <w:sz w:val="26"/>
                <w:szCs w:val="26"/>
                <w:lang w:val="vi-VN"/>
              </w:rPr>
              <w:lastRenderedPageBreak/>
              <w:t>thông báo phát hành TPCP kỳ hạn 20 năm</w:t>
            </w:r>
            <w:r w:rsidRPr="003C1625">
              <w:rPr>
                <w:rStyle w:val="FootnoteReference"/>
                <w:sz w:val="26"/>
                <w:szCs w:val="26"/>
              </w:rPr>
              <w:footnoteReference w:id="24"/>
            </w:r>
            <w:r w:rsidRPr="003C1625">
              <w:rPr>
                <w:sz w:val="26"/>
                <w:szCs w:val="26"/>
                <w:lang w:val="vi-VN"/>
              </w:rPr>
              <w:t>.</w:t>
            </w:r>
          </w:p>
          <w:p w:rsidR="00F95C6C" w:rsidRPr="00CE0ED1" w:rsidRDefault="00D45BB0" w:rsidP="00F95C6C">
            <w:pPr>
              <w:widowControl w:val="0"/>
              <w:spacing w:before="120" w:line="288" w:lineRule="auto"/>
              <w:rPr>
                <w:sz w:val="26"/>
                <w:szCs w:val="26"/>
                <w:lang w:val="vi-VN"/>
              </w:rPr>
            </w:pPr>
            <w:r w:rsidRPr="00CE0ED1">
              <w:rPr>
                <w:sz w:val="26"/>
                <w:szCs w:val="26"/>
                <w:lang w:val="vi-VN"/>
              </w:rPr>
              <w:t xml:space="preserve">- </w:t>
            </w:r>
            <w:r w:rsidR="00F95C6C" w:rsidRPr="00CE0ED1">
              <w:rPr>
                <w:i/>
                <w:sz w:val="26"/>
                <w:szCs w:val="26"/>
                <w:lang w:val="vi-VN"/>
              </w:rPr>
              <w:t xml:space="preserve">Thu ngân sách </w:t>
            </w:r>
            <w:r w:rsidR="00820667" w:rsidRPr="00820667">
              <w:rPr>
                <w:i/>
                <w:sz w:val="26"/>
                <w:szCs w:val="26"/>
                <w:lang w:val="vi-VN"/>
              </w:rPr>
              <w:t>(</w:t>
            </w:r>
            <w:r w:rsidR="00F95C6C" w:rsidRPr="00CE0ED1">
              <w:rPr>
                <w:i/>
                <w:sz w:val="26"/>
                <w:szCs w:val="26"/>
                <w:lang w:val="vi-VN"/>
              </w:rPr>
              <w:t>đến 15/07</w:t>
            </w:r>
            <w:r w:rsidR="00820667" w:rsidRPr="00820667">
              <w:rPr>
                <w:i/>
                <w:sz w:val="26"/>
                <w:szCs w:val="26"/>
                <w:lang w:val="vi-VN"/>
              </w:rPr>
              <w:t>)</w:t>
            </w:r>
            <w:r w:rsidR="00F95C6C" w:rsidRPr="00CE0ED1">
              <w:rPr>
                <w:i/>
                <w:sz w:val="26"/>
                <w:szCs w:val="26"/>
                <w:lang w:val="vi-VN"/>
              </w:rPr>
              <w:t xml:space="preserve"> đạt 52,3% so với dự toán </w:t>
            </w:r>
            <w:r w:rsidR="00CE0ED1" w:rsidRPr="00CE0ED1">
              <w:rPr>
                <w:i/>
                <w:sz w:val="26"/>
                <w:szCs w:val="26"/>
                <w:lang w:val="vi-VN"/>
              </w:rPr>
              <w:t xml:space="preserve">cả năm </w:t>
            </w:r>
            <w:r w:rsidR="00F95C6C" w:rsidRPr="00CE0ED1">
              <w:rPr>
                <w:i/>
                <w:sz w:val="26"/>
                <w:szCs w:val="26"/>
                <w:lang w:val="vi-VN"/>
              </w:rPr>
              <w:t xml:space="preserve">2015, thấp hơn so với cùng kỳ 2014 (57,3%). </w:t>
            </w:r>
            <w:r w:rsidR="00B72EBA" w:rsidRPr="00CE0ED1">
              <w:rPr>
                <w:sz w:val="26"/>
                <w:szCs w:val="26"/>
                <w:lang w:val="vi-VN"/>
              </w:rPr>
              <w:t>Giá dầu giảm</w:t>
            </w:r>
            <w:r w:rsidR="00B72EBA" w:rsidRPr="00CE0ED1">
              <w:rPr>
                <w:rStyle w:val="FootnoteReference"/>
                <w:sz w:val="26"/>
                <w:szCs w:val="26"/>
              </w:rPr>
              <w:footnoteReference w:id="25"/>
            </w:r>
            <w:r w:rsidR="00B72EBA" w:rsidRPr="00CE0ED1">
              <w:rPr>
                <w:sz w:val="26"/>
                <w:szCs w:val="26"/>
                <w:lang w:val="vi-VN"/>
              </w:rPr>
              <w:t xml:space="preserve"> là nguyên nhân chính khiến thu ngân sách khó khăn</w:t>
            </w:r>
            <w:r w:rsidR="00CE0ED1" w:rsidRPr="00CE0ED1">
              <w:rPr>
                <w:sz w:val="26"/>
                <w:szCs w:val="26"/>
                <w:lang w:val="vi-VN"/>
              </w:rPr>
              <w:t xml:space="preserve">; </w:t>
            </w:r>
            <w:r w:rsidR="00B72EBA" w:rsidRPr="00CE0ED1">
              <w:rPr>
                <w:i/>
                <w:sz w:val="26"/>
                <w:szCs w:val="26"/>
                <w:lang w:val="vi-VN"/>
              </w:rPr>
              <w:t>thu từ dầu thô</w:t>
            </w:r>
            <w:r w:rsidR="00B72EBA" w:rsidRPr="00CE0ED1">
              <w:rPr>
                <w:sz w:val="26"/>
                <w:szCs w:val="26"/>
                <w:lang w:val="vi-VN"/>
              </w:rPr>
              <w:t xml:space="preserve"> giảm (-32,5%) so với cùng kỳ. </w:t>
            </w:r>
            <w:r w:rsidR="00F95C6C" w:rsidRPr="00CE0ED1">
              <w:rPr>
                <w:sz w:val="26"/>
                <w:szCs w:val="26"/>
                <w:lang w:val="vi-VN"/>
              </w:rPr>
              <w:t>Tuy nhiên, nhờ thu nội địa tăng khá khá (</w:t>
            </w:r>
            <w:r w:rsidR="00B5194A" w:rsidRPr="00B5194A">
              <w:rPr>
                <w:sz w:val="26"/>
                <w:szCs w:val="26"/>
                <w:lang w:val="vi-VN"/>
              </w:rPr>
              <w:t xml:space="preserve">tăng </w:t>
            </w:r>
            <w:r w:rsidR="00F95C6C" w:rsidRPr="00CE0ED1">
              <w:rPr>
                <w:sz w:val="26"/>
                <w:szCs w:val="26"/>
                <w:lang w:val="vi-VN"/>
              </w:rPr>
              <w:t xml:space="preserve">15,1% so với cùng kỳ) và dự kiến tiếp tục cải thiện 5 tháng cuối năm, dự báo thu ngân sách đạt dự toán. </w:t>
            </w:r>
          </w:p>
          <w:p w:rsidR="00562652" w:rsidRPr="00CE0ED1" w:rsidRDefault="00562652" w:rsidP="00F95C6C">
            <w:pPr>
              <w:widowControl w:val="0"/>
              <w:spacing w:before="120" w:line="288" w:lineRule="auto"/>
              <w:ind w:firstLine="0"/>
              <w:rPr>
                <w:color w:val="FF0000"/>
                <w:sz w:val="26"/>
                <w:szCs w:val="26"/>
                <w:lang w:val="vi-VN"/>
              </w:rPr>
            </w:pPr>
          </w:p>
        </w:tc>
        <w:tc>
          <w:tcPr>
            <w:tcW w:w="4677" w:type="dxa"/>
          </w:tcPr>
          <w:p w:rsidR="000F3EAE" w:rsidRPr="009627D2" w:rsidRDefault="000F3EAE" w:rsidP="00997047">
            <w:pPr>
              <w:widowControl w:val="0"/>
              <w:spacing w:after="0"/>
              <w:ind w:firstLine="34"/>
              <w:jc w:val="center"/>
              <w:rPr>
                <w:b/>
                <w:sz w:val="24"/>
                <w:lang w:val="vi-VN"/>
              </w:rPr>
            </w:pPr>
          </w:p>
          <w:p w:rsidR="00FF27B1" w:rsidRPr="003C1625" w:rsidRDefault="001276F4" w:rsidP="00997047">
            <w:pPr>
              <w:widowControl w:val="0"/>
              <w:spacing w:after="0"/>
              <w:ind w:firstLine="34"/>
              <w:jc w:val="center"/>
              <w:rPr>
                <w:b/>
                <w:sz w:val="24"/>
                <w:lang w:val="vi-VN"/>
              </w:rPr>
            </w:pPr>
            <w:r w:rsidRPr="003C1625">
              <w:rPr>
                <w:b/>
                <w:sz w:val="24"/>
                <w:lang w:val="vi-VN"/>
              </w:rPr>
              <w:t>Hình 1</w:t>
            </w:r>
            <w:r w:rsidR="00C91E93" w:rsidRPr="008A1E4C">
              <w:rPr>
                <w:b/>
                <w:sz w:val="24"/>
                <w:lang w:val="vi-VN"/>
              </w:rPr>
              <w:t>4</w:t>
            </w:r>
            <w:r w:rsidR="00FF27B1" w:rsidRPr="003C1625">
              <w:rPr>
                <w:b/>
                <w:sz w:val="24"/>
                <w:lang w:val="vi-VN"/>
              </w:rPr>
              <w:t>: Tỷ lệ trúng thầu/ gọi thầu</w:t>
            </w:r>
          </w:p>
          <w:p w:rsidR="00FF27B1" w:rsidRPr="003C1625" w:rsidRDefault="00FF27B1" w:rsidP="00997047">
            <w:pPr>
              <w:widowControl w:val="0"/>
              <w:spacing w:after="0"/>
              <w:ind w:firstLine="34"/>
              <w:jc w:val="center"/>
              <w:rPr>
                <w:b/>
                <w:sz w:val="24"/>
              </w:rPr>
            </w:pPr>
            <w:r w:rsidRPr="003C1625">
              <w:rPr>
                <w:b/>
                <w:sz w:val="24"/>
              </w:rPr>
              <w:t>TPCP theo tháng (%)</w:t>
            </w:r>
          </w:p>
          <w:p w:rsidR="00FF27B1" w:rsidRPr="003C1625" w:rsidRDefault="00FF27B1" w:rsidP="00997047">
            <w:pPr>
              <w:widowControl w:val="0"/>
              <w:spacing w:after="0" w:line="288" w:lineRule="auto"/>
              <w:ind w:firstLine="34"/>
              <w:rPr>
                <w:b/>
                <w:sz w:val="24"/>
                <w:szCs w:val="26"/>
              </w:rPr>
            </w:pPr>
            <w:r w:rsidRPr="003C1625">
              <w:rPr>
                <w:noProof/>
                <w:sz w:val="24"/>
                <w:szCs w:val="26"/>
              </w:rPr>
              <w:drawing>
                <wp:inline distT="0" distB="0" distL="0" distR="0">
                  <wp:extent cx="2668772" cy="1648047"/>
                  <wp:effectExtent l="0" t="0" r="0" b="0"/>
                  <wp:docPr id="4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27B1" w:rsidRPr="00B72EBA" w:rsidRDefault="00FF27B1" w:rsidP="00B72EBA">
            <w:pPr>
              <w:tabs>
                <w:tab w:val="left" w:pos="33"/>
              </w:tabs>
              <w:spacing w:after="0" w:line="288" w:lineRule="auto"/>
              <w:ind w:firstLine="34"/>
              <w:jc w:val="right"/>
              <w:rPr>
                <w:sz w:val="24"/>
              </w:rPr>
            </w:pPr>
            <w:r w:rsidRPr="003C1625">
              <w:rPr>
                <w:i/>
                <w:sz w:val="24"/>
                <w:lang w:val="vi-VN"/>
              </w:rPr>
              <w:t xml:space="preserve">Nguồn: </w:t>
            </w:r>
            <w:r w:rsidRPr="00B72EBA">
              <w:rPr>
                <w:sz w:val="24"/>
                <w:lang w:val="vi-VN"/>
              </w:rPr>
              <w:t>BTC,</w:t>
            </w:r>
            <w:r w:rsidR="00B72EBA">
              <w:rPr>
                <w:sz w:val="24"/>
              </w:rPr>
              <w:t>UBGSTCQG</w:t>
            </w:r>
            <w:r w:rsidRPr="00B72EBA">
              <w:rPr>
                <w:sz w:val="24"/>
                <w:lang w:val="vi-VN"/>
              </w:rPr>
              <w:t xml:space="preserve"> tính toán</w:t>
            </w:r>
          </w:p>
          <w:p w:rsidR="00562652" w:rsidRDefault="00562652" w:rsidP="00B72EBA">
            <w:pPr>
              <w:tabs>
                <w:tab w:val="left" w:pos="5200"/>
                <w:tab w:val="left" w:pos="9270"/>
              </w:tabs>
              <w:spacing w:before="120" w:line="324" w:lineRule="auto"/>
              <w:ind w:right="254" w:firstLine="0"/>
              <w:jc w:val="center"/>
              <w:rPr>
                <w:b/>
                <w:sz w:val="24"/>
              </w:rPr>
            </w:pPr>
          </w:p>
          <w:p w:rsidR="00562652" w:rsidRDefault="00562652" w:rsidP="00B72EBA">
            <w:pPr>
              <w:tabs>
                <w:tab w:val="left" w:pos="5200"/>
                <w:tab w:val="left" w:pos="9270"/>
              </w:tabs>
              <w:spacing w:before="120" w:line="324" w:lineRule="auto"/>
              <w:ind w:right="254" w:firstLine="0"/>
              <w:jc w:val="center"/>
              <w:rPr>
                <w:b/>
                <w:sz w:val="24"/>
              </w:rPr>
            </w:pPr>
          </w:p>
          <w:p w:rsidR="00562652" w:rsidRDefault="00562652" w:rsidP="00B72EBA">
            <w:pPr>
              <w:tabs>
                <w:tab w:val="left" w:pos="5200"/>
                <w:tab w:val="left" w:pos="9270"/>
              </w:tabs>
              <w:spacing w:before="120" w:line="324" w:lineRule="auto"/>
              <w:ind w:right="254" w:firstLine="0"/>
              <w:jc w:val="center"/>
              <w:rPr>
                <w:b/>
                <w:sz w:val="24"/>
              </w:rPr>
            </w:pPr>
          </w:p>
          <w:p w:rsidR="00B72EBA" w:rsidRDefault="00B72EBA" w:rsidP="00B72EBA">
            <w:pPr>
              <w:tabs>
                <w:tab w:val="left" w:pos="5200"/>
                <w:tab w:val="left" w:pos="9270"/>
              </w:tabs>
              <w:spacing w:before="120" w:line="324" w:lineRule="auto"/>
              <w:ind w:right="254" w:firstLine="0"/>
              <w:jc w:val="center"/>
              <w:rPr>
                <w:b/>
                <w:sz w:val="24"/>
              </w:rPr>
            </w:pPr>
            <w:r w:rsidRPr="00A01ED7">
              <w:rPr>
                <w:b/>
                <w:sz w:val="24"/>
                <w:lang w:val="vi-VN"/>
              </w:rPr>
              <w:lastRenderedPageBreak/>
              <w:t xml:space="preserve">Hình </w:t>
            </w:r>
            <w:r>
              <w:rPr>
                <w:b/>
                <w:sz w:val="24"/>
              </w:rPr>
              <w:t>15</w:t>
            </w:r>
            <w:r w:rsidRPr="00A01ED7">
              <w:rPr>
                <w:b/>
                <w:sz w:val="24"/>
                <w:lang w:val="vi-VN"/>
              </w:rPr>
              <w:t>: Tỷ lệ hoàn thành kế hoạch thu lũy kế đến 15/07/2015 (%)</w:t>
            </w:r>
          </w:p>
          <w:p w:rsidR="00B72EBA" w:rsidRPr="00B72EBA" w:rsidRDefault="00B72EBA" w:rsidP="00B72EBA">
            <w:pPr>
              <w:tabs>
                <w:tab w:val="left" w:pos="5200"/>
                <w:tab w:val="left" w:pos="9270"/>
              </w:tabs>
              <w:spacing w:before="120" w:line="324" w:lineRule="auto"/>
              <w:ind w:right="254" w:firstLine="0"/>
              <w:jc w:val="center"/>
              <w:rPr>
                <w:b/>
                <w:sz w:val="16"/>
                <w:szCs w:val="16"/>
              </w:rPr>
            </w:pPr>
            <w:r w:rsidRPr="00B72EBA">
              <w:rPr>
                <w:noProof/>
                <w:sz w:val="16"/>
                <w:szCs w:val="16"/>
              </w:rPr>
              <w:drawing>
                <wp:inline distT="0" distB="0" distL="0" distR="0">
                  <wp:extent cx="2639833" cy="1940118"/>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2EBA" w:rsidRPr="00B72EBA" w:rsidRDefault="00B72EBA" w:rsidP="00B72EBA">
            <w:pPr>
              <w:tabs>
                <w:tab w:val="left" w:pos="900"/>
              </w:tabs>
              <w:spacing w:after="0" w:line="288" w:lineRule="auto"/>
              <w:ind w:firstLine="34"/>
              <w:jc w:val="center"/>
              <w:rPr>
                <w:sz w:val="24"/>
              </w:rPr>
            </w:pPr>
            <w:r>
              <w:rPr>
                <w:i/>
                <w:sz w:val="24"/>
              </w:rPr>
              <w:t xml:space="preserve">       </w:t>
            </w:r>
            <w:r w:rsidRPr="00B72EBA">
              <w:rPr>
                <w:i/>
                <w:sz w:val="24"/>
              </w:rPr>
              <w:t xml:space="preserve">Nguồn: </w:t>
            </w:r>
            <w:r>
              <w:rPr>
                <w:sz w:val="24"/>
              </w:rPr>
              <w:t>BTC, UBGSTCQG tính toán.</w:t>
            </w:r>
          </w:p>
        </w:tc>
      </w:tr>
    </w:tbl>
    <w:p w:rsidR="000B04BB" w:rsidRDefault="000B04BB" w:rsidP="008A1E4C">
      <w:pPr>
        <w:spacing w:before="240" w:after="100" w:line="288" w:lineRule="auto"/>
        <w:rPr>
          <w:b/>
          <w:sz w:val="26"/>
          <w:szCs w:val="26"/>
          <w:lang w:val="nl-NL"/>
        </w:rPr>
      </w:pPr>
      <w:r>
        <w:rPr>
          <w:sz w:val="26"/>
          <w:szCs w:val="26"/>
        </w:rPr>
        <w:lastRenderedPageBreak/>
        <w:t xml:space="preserve">- </w:t>
      </w:r>
      <w:r w:rsidR="009627D2">
        <w:rPr>
          <w:i/>
          <w:sz w:val="26"/>
          <w:szCs w:val="26"/>
        </w:rPr>
        <w:t>Đối với mục tiêu điều hành tỷ giá</w:t>
      </w:r>
      <w:r w:rsidRPr="00821384">
        <w:rPr>
          <w:i/>
          <w:sz w:val="26"/>
          <w:szCs w:val="26"/>
        </w:rPr>
        <w:t>.</w:t>
      </w:r>
      <w:r>
        <w:rPr>
          <w:sz w:val="26"/>
          <w:szCs w:val="26"/>
        </w:rPr>
        <w:t xml:space="preserve"> Trong nước, do yếu tố mùa vụ nên cầu nhập khẩu máy móc, thiết bị và nguyên vật liệu phục vụ sản xuất tăng cao; đặc biệt trong bối cảnh </w:t>
      </w:r>
      <w:r w:rsidR="006F6D85">
        <w:rPr>
          <w:sz w:val="26"/>
          <w:szCs w:val="26"/>
        </w:rPr>
        <w:t>sản xuất</w:t>
      </w:r>
      <w:bookmarkStart w:id="0" w:name="_GoBack"/>
      <w:bookmarkEnd w:id="0"/>
      <w:r>
        <w:rPr>
          <w:sz w:val="26"/>
          <w:szCs w:val="26"/>
        </w:rPr>
        <w:t xml:space="preserve"> phục hồi tốt, khu vực doanh nghiệp mở rộng quy mô. Bên ngoài, triển vọng tăng lãi suất của FED vào cuối năm làm tăng xu hướng đảo chiều của dòng vốn gián tiếp ra khỏi các thị trường mới nổi, trong đó có Việt Nam (mặc dù tác động này tới Việt Nam không lớn)</w:t>
      </w:r>
      <w:r w:rsidR="009627D2">
        <w:rPr>
          <w:sz w:val="26"/>
          <w:szCs w:val="26"/>
        </w:rPr>
        <w:t xml:space="preserve">; </w:t>
      </w:r>
      <w:r>
        <w:rPr>
          <w:sz w:val="26"/>
          <w:szCs w:val="26"/>
        </w:rPr>
        <w:t xml:space="preserve"> </w:t>
      </w:r>
      <w:r w:rsidR="009627D2">
        <w:rPr>
          <w:sz w:val="26"/>
          <w:szCs w:val="26"/>
        </w:rPr>
        <w:t xml:space="preserve">cũng như </w:t>
      </w:r>
      <w:r w:rsidR="004016E4">
        <w:rPr>
          <w:sz w:val="26"/>
          <w:szCs w:val="26"/>
        </w:rPr>
        <w:t>làm giảm tính hấp dẫn của VND</w:t>
      </w:r>
      <w:r>
        <w:rPr>
          <w:sz w:val="26"/>
          <w:szCs w:val="26"/>
        </w:rPr>
        <w:t xml:space="preserve">. Mặt khác, đồng USD tăng giá cũng </w:t>
      </w:r>
      <w:r w:rsidR="009627D2">
        <w:rPr>
          <w:sz w:val="26"/>
          <w:szCs w:val="26"/>
        </w:rPr>
        <w:t>ảnh hưởng</w:t>
      </w:r>
      <w:r>
        <w:rPr>
          <w:sz w:val="26"/>
          <w:szCs w:val="26"/>
        </w:rPr>
        <w:t xml:space="preserve"> nhất định lên tỷ giá trong nước.</w:t>
      </w:r>
    </w:p>
    <w:p w:rsidR="0074084A" w:rsidRPr="003C1625" w:rsidRDefault="00556FC1" w:rsidP="00910F80">
      <w:pPr>
        <w:spacing w:before="240" w:after="100" w:line="288" w:lineRule="auto"/>
        <w:ind w:left="3261" w:firstLine="0"/>
        <w:jc w:val="right"/>
        <w:rPr>
          <w:b/>
          <w:sz w:val="26"/>
          <w:szCs w:val="26"/>
          <w:lang w:val="nl-NL"/>
        </w:rPr>
      </w:pPr>
      <w:r w:rsidRPr="003C1625">
        <w:rPr>
          <w:b/>
          <w:sz w:val="26"/>
          <w:szCs w:val="26"/>
          <w:lang w:val="nl-NL"/>
        </w:rPr>
        <w:t>ỦY</w:t>
      </w:r>
      <w:r w:rsidR="00B50EE3" w:rsidRPr="003C1625">
        <w:rPr>
          <w:b/>
          <w:sz w:val="26"/>
          <w:szCs w:val="26"/>
          <w:lang w:val="nl-NL"/>
        </w:rPr>
        <w:t xml:space="preserve"> BAN GIÁM SÁT TÀI </w:t>
      </w:r>
      <w:r w:rsidR="00F727DF" w:rsidRPr="003C1625">
        <w:rPr>
          <w:b/>
          <w:sz w:val="26"/>
          <w:szCs w:val="26"/>
          <w:lang w:val="nl-NL"/>
        </w:rPr>
        <w:t>CHÍNH QUỐC GIA</w:t>
      </w:r>
    </w:p>
    <w:sectPr w:rsidR="0074084A" w:rsidRPr="003C1625" w:rsidSect="00736A90">
      <w:footerReference w:type="default" r:id="rId23"/>
      <w:pgSz w:w="11907" w:h="16839" w:code="9"/>
      <w:pgMar w:top="1134" w:right="1134" w:bottom="851" w:left="1418" w:header="720"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C9D" w:rsidRDefault="00966C9D" w:rsidP="00D118DD">
      <w:pPr>
        <w:spacing w:after="0"/>
      </w:pPr>
      <w:r>
        <w:separator/>
      </w:r>
    </w:p>
  </w:endnote>
  <w:endnote w:type="continuationSeparator" w:id="0">
    <w:p w:rsidR="00966C9D" w:rsidRDefault="00966C9D" w:rsidP="00D118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864055"/>
      <w:docPartObj>
        <w:docPartGallery w:val="Page Numbers (Bottom of Page)"/>
        <w:docPartUnique/>
      </w:docPartObj>
    </w:sdtPr>
    <w:sdtEndPr>
      <w:rPr>
        <w:noProof/>
      </w:rPr>
    </w:sdtEndPr>
    <w:sdtContent>
      <w:p w:rsidR="003C1625" w:rsidRDefault="007249CA">
        <w:pPr>
          <w:pStyle w:val="Footer"/>
          <w:jc w:val="right"/>
        </w:pPr>
        <w:r>
          <w:fldChar w:fldCharType="begin"/>
        </w:r>
        <w:r w:rsidR="001C72BD">
          <w:instrText xml:space="preserve"> PAGE   \* MERGEFORMAT </w:instrText>
        </w:r>
        <w:r>
          <w:fldChar w:fldCharType="separate"/>
        </w:r>
        <w:r w:rsidR="003C22D6">
          <w:rPr>
            <w:noProof/>
          </w:rPr>
          <w:t>1</w:t>
        </w:r>
        <w:r>
          <w:rPr>
            <w:noProof/>
          </w:rPr>
          <w:fldChar w:fldCharType="end"/>
        </w:r>
      </w:p>
    </w:sdtContent>
  </w:sdt>
  <w:p w:rsidR="003C1625" w:rsidRDefault="003C1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C9D" w:rsidRDefault="00966C9D" w:rsidP="00D118DD">
      <w:pPr>
        <w:spacing w:after="0"/>
      </w:pPr>
      <w:r>
        <w:separator/>
      </w:r>
    </w:p>
  </w:footnote>
  <w:footnote w:type="continuationSeparator" w:id="0">
    <w:p w:rsidR="00966C9D" w:rsidRDefault="00966C9D" w:rsidP="00D118DD">
      <w:pPr>
        <w:spacing w:after="0"/>
      </w:pPr>
      <w:r>
        <w:continuationSeparator/>
      </w:r>
    </w:p>
  </w:footnote>
  <w:footnote w:id="1">
    <w:p w:rsidR="003C1625" w:rsidRDefault="003C1625" w:rsidP="002C63CA">
      <w:pPr>
        <w:pStyle w:val="FootnoteText"/>
        <w:spacing w:after="0"/>
        <w:ind w:firstLine="0"/>
      </w:pPr>
      <w:r>
        <w:rPr>
          <w:rStyle w:val="FootnoteReference"/>
        </w:rPr>
        <w:footnoteRef/>
      </w:r>
      <w:r>
        <w:t xml:space="preserve"> Số liệu của Viện quản lý nguồn cung, Bộ thương mại Mỹ.</w:t>
      </w:r>
    </w:p>
  </w:footnote>
  <w:footnote w:id="2">
    <w:p w:rsidR="003C1625" w:rsidRPr="00FF27B1" w:rsidRDefault="003C1625" w:rsidP="002C63CA">
      <w:pPr>
        <w:pStyle w:val="FootnoteText"/>
        <w:spacing w:after="0"/>
        <w:ind w:firstLine="0"/>
        <w:rPr>
          <w:spacing w:val="-2"/>
        </w:rPr>
      </w:pPr>
      <w:r w:rsidRPr="00FF27B1">
        <w:rPr>
          <w:rStyle w:val="FootnoteReference"/>
          <w:spacing w:val="-2"/>
        </w:rPr>
        <w:footnoteRef/>
      </w:r>
      <w:r w:rsidRPr="00FF27B1">
        <w:rPr>
          <w:spacing w:val="-2"/>
        </w:rPr>
        <w:t xml:space="preserve"> Theo báo cáo của Bộ Tài chính Mỹ công bố ngày 13/7, tổng thu ngân sách liên bang trong tháng Sáu đạt 342,9 tỷ USD, tăng 19 tỷ USD so với tháng trước đó. Trong khi đó, tổng chi ngân sách liên bang trong tháng là 291,2 tỷ USD.</w:t>
      </w:r>
    </w:p>
  </w:footnote>
  <w:footnote w:id="3">
    <w:p w:rsidR="003C1625" w:rsidRDefault="003C1625" w:rsidP="002C63CA">
      <w:pPr>
        <w:pStyle w:val="FootnoteText"/>
        <w:spacing w:after="0"/>
        <w:ind w:firstLine="0"/>
      </w:pPr>
      <w:r>
        <w:rPr>
          <w:rStyle w:val="FootnoteReference"/>
        </w:rPr>
        <w:footnoteRef/>
      </w:r>
      <w:r>
        <w:t xml:space="preserve"> Theo nhận định của </w:t>
      </w:r>
      <w:r w:rsidRPr="00E50E1C">
        <w:t>Nhà kinh tế trưởng Markit Chris Williamson</w:t>
      </w:r>
      <w:r>
        <w:t>.</w:t>
      </w:r>
    </w:p>
  </w:footnote>
  <w:footnote w:id="4">
    <w:p w:rsidR="003C1625" w:rsidRPr="00645262" w:rsidRDefault="003C1625" w:rsidP="002C63CA">
      <w:pPr>
        <w:pStyle w:val="FootnoteText"/>
        <w:spacing w:after="0"/>
        <w:ind w:firstLine="0"/>
        <w:rPr>
          <w:lang w:val="fr-FR"/>
        </w:rPr>
      </w:pPr>
      <w:r>
        <w:rPr>
          <w:rStyle w:val="FootnoteReference"/>
        </w:rPr>
        <w:footnoteRef/>
      </w:r>
      <w:r w:rsidRPr="00645262">
        <w:rPr>
          <w:lang w:val="fr-FR"/>
        </w:rPr>
        <w:t xml:space="preserve"> Số liệu của Markit và Eurostat.</w:t>
      </w:r>
    </w:p>
  </w:footnote>
  <w:footnote w:id="5">
    <w:p w:rsidR="003C1625" w:rsidRPr="00677A59" w:rsidRDefault="003C1625" w:rsidP="002C63CA">
      <w:pPr>
        <w:pStyle w:val="FootnoteText"/>
        <w:spacing w:after="0"/>
        <w:ind w:firstLine="0"/>
        <w:rPr>
          <w:lang w:val="fr-FR"/>
        </w:rPr>
      </w:pPr>
      <w:r>
        <w:rPr>
          <w:rStyle w:val="FootnoteReference"/>
        </w:rPr>
        <w:footnoteRef/>
      </w:r>
      <w:r w:rsidRPr="00677A59">
        <w:rPr>
          <w:lang w:val="fr-FR"/>
        </w:rPr>
        <w:t xml:space="preserve"> </w:t>
      </w:r>
      <w:r>
        <w:rPr>
          <w:lang w:val="fr-FR"/>
        </w:rPr>
        <w:t>T</w:t>
      </w:r>
      <w:r w:rsidRPr="00677A59">
        <w:rPr>
          <w:lang w:val="fr-FR"/>
        </w:rPr>
        <w:t>uy nhiên còn số này đang gây tranh cãi về tính xác thực của nó</w:t>
      </w:r>
    </w:p>
  </w:footnote>
  <w:footnote w:id="6">
    <w:p w:rsidR="003C1625" w:rsidRPr="000A3D29" w:rsidRDefault="003C1625" w:rsidP="002C63CA">
      <w:pPr>
        <w:pStyle w:val="FootnoteText"/>
        <w:spacing w:after="0"/>
        <w:ind w:firstLine="0"/>
        <w:rPr>
          <w:lang w:val="fr-FR"/>
        </w:rPr>
      </w:pPr>
      <w:r>
        <w:rPr>
          <w:rStyle w:val="FootnoteReference"/>
        </w:rPr>
        <w:footnoteRef/>
      </w:r>
      <w:r w:rsidRPr="000A3D29">
        <w:rPr>
          <w:lang w:val="fr-FR"/>
        </w:rPr>
        <w:t xml:space="preserve"> </w:t>
      </w:r>
      <w:r>
        <w:rPr>
          <w:lang w:val="fr-FR"/>
        </w:rPr>
        <w:t>G</w:t>
      </w:r>
      <w:r w:rsidRPr="000A3D29">
        <w:rPr>
          <w:lang w:val="fr-FR"/>
        </w:rPr>
        <w:t xml:space="preserve">iới đầu tư đã rút 142 tỷ USD khỏi </w:t>
      </w:r>
      <w:r>
        <w:rPr>
          <w:lang w:val="fr-FR"/>
        </w:rPr>
        <w:t>Trung Quốc</w:t>
      </w:r>
      <w:r w:rsidRPr="000A3D29">
        <w:rPr>
          <w:lang w:val="fr-FR"/>
        </w:rPr>
        <w:t xml:space="preserve"> trong quý II/2015, đưa tổng lượng tiền bị rút khỏi nước này tr</w:t>
      </w:r>
      <w:r w:rsidR="00C53BEF">
        <w:rPr>
          <w:lang w:val="fr-FR"/>
        </w:rPr>
        <w:t>ong 5 quý vừa qua lên 520 tỷ USD</w:t>
      </w:r>
      <w:r w:rsidRPr="000A3D29">
        <w:rPr>
          <w:lang w:val="fr-FR"/>
        </w:rPr>
        <w:t>, lấy đi hết số tiền đã đổ vào nước này kể từ năm 2011 khi nền kinh tế bắt đầu tăng trưởng chậm lại.</w:t>
      </w:r>
    </w:p>
  </w:footnote>
  <w:footnote w:id="7">
    <w:p w:rsidR="003C1625" w:rsidRPr="00A34044" w:rsidRDefault="003C1625" w:rsidP="002C63CA">
      <w:pPr>
        <w:pStyle w:val="FootnoteText"/>
        <w:spacing w:after="0"/>
        <w:ind w:firstLine="0"/>
        <w:rPr>
          <w:lang w:val="fr-FR"/>
        </w:rPr>
      </w:pPr>
      <w:r w:rsidRPr="00F17A73">
        <w:rPr>
          <w:rStyle w:val="FootnoteReference"/>
          <w:vertAlign w:val="baseline"/>
        </w:rPr>
        <w:footnoteRef/>
      </w:r>
      <w:r w:rsidRPr="00F17A73">
        <w:rPr>
          <w:lang w:val="fr-FR"/>
        </w:rPr>
        <w:t xml:space="preserve"> </w:t>
      </w:r>
      <w:r>
        <w:rPr>
          <w:lang w:val="fr-FR"/>
        </w:rPr>
        <w:t>N</w:t>
      </w:r>
      <w:r w:rsidRPr="00FF27B1">
        <w:rPr>
          <w:lang w:val="vi-VN"/>
        </w:rPr>
        <w:t>ợ công ty của Trung Quốc ở mức 160% GDP (16,1 nghìn tỷ USD) – mức cao nhất thế giới</w:t>
      </w:r>
      <w:r w:rsidRPr="00FF27B1">
        <w:rPr>
          <w:lang w:val="fr-FR"/>
        </w:rPr>
        <w:t xml:space="preserve">. </w:t>
      </w:r>
      <w:r>
        <w:rPr>
          <w:lang w:val="fr-FR"/>
        </w:rPr>
        <w:t>T</w:t>
      </w:r>
      <w:r w:rsidRPr="00A34044">
        <w:rPr>
          <w:lang w:val="fr-FR"/>
        </w:rPr>
        <w:t xml:space="preserve">ổng số nợ chính phủ, doanh nghiệp và người dân Trung Quốc </w:t>
      </w:r>
      <w:r>
        <w:rPr>
          <w:lang w:val="fr-FR"/>
        </w:rPr>
        <w:t>tính đến tháng 5/2015</w:t>
      </w:r>
      <w:r w:rsidRPr="00A34044">
        <w:rPr>
          <w:lang w:val="fr-FR"/>
        </w:rPr>
        <w:t xml:space="preserve"> là 28 ngàn tỷ USD, tương đương 282% GDP. Trong đó các khoản nợ tới hạn cũng đang xấp xỉ 1,1 ngàn tỷ USD.</w:t>
      </w:r>
    </w:p>
  </w:footnote>
  <w:footnote w:id="8">
    <w:p w:rsidR="003C1625" w:rsidRPr="00506205" w:rsidRDefault="003C1625" w:rsidP="002C63CA">
      <w:pPr>
        <w:pStyle w:val="FootnoteText"/>
        <w:spacing w:after="0"/>
        <w:ind w:firstLine="0"/>
        <w:rPr>
          <w:lang w:val="fr-FR"/>
        </w:rPr>
      </w:pPr>
      <w:r>
        <w:rPr>
          <w:rStyle w:val="FootnoteReference"/>
        </w:rPr>
        <w:footnoteRef/>
      </w:r>
      <w:r w:rsidRPr="00506205">
        <w:rPr>
          <w:lang w:val="fr-FR"/>
        </w:rPr>
        <w:t xml:space="preserve"> Chỉ số Shanghai Composite </w:t>
      </w:r>
      <w:r>
        <w:rPr>
          <w:lang w:val="fr-FR"/>
        </w:rPr>
        <w:t xml:space="preserve">đạt đỉnh ngày 12/6 với 5.166,35 điểm và </w:t>
      </w:r>
      <w:r w:rsidRPr="00506205">
        <w:rPr>
          <w:lang w:val="fr-FR"/>
        </w:rPr>
        <w:t>chạm đáy ngày 8/7 ở mức 3.</w:t>
      </w:r>
      <w:r w:rsidR="00DD395E">
        <w:rPr>
          <w:lang w:val="fr-FR"/>
        </w:rPr>
        <w:t>507,19</w:t>
      </w:r>
      <w:r w:rsidRPr="00506205">
        <w:rPr>
          <w:lang w:val="fr-FR"/>
        </w:rPr>
        <w:t xml:space="preserve"> điểm.</w:t>
      </w:r>
    </w:p>
  </w:footnote>
  <w:footnote w:id="9">
    <w:p w:rsidR="003C1625" w:rsidRPr="00BF0FC6" w:rsidRDefault="003C1625" w:rsidP="003C1625">
      <w:pPr>
        <w:pStyle w:val="FootnoteText"/>
        <w:spacing w:after="0"/>
        <w:ind w:firstLine="0"/>
        <w:rPr>
          <w:lang w:val="fr-FR"/>
        </w:rPr>
      </w:pPr>
      <w:r>
        <w:rPr>
          <w:rStyle w:val="FootnoteReference"/>
        </w:rPr>
        <w:footnoteRef/>
      </w:r>
      <w:r w:rsidRPr="00BF0FC6">
        <w:rPr>
          <w:lang w:val="fr-FR"/>
        </w:rPr>
        <w:t xml:space="preserve"> CP Trung Quốc liên tục hạ lãi su</w:t>
      </w:r>
      <w:r>
        <w:rPr>
          <w:lang w:val="fr-FR"/>
        </w:rPr>
        <w:t>ất và giảm tỷ lệ dự trữ bắt buộc trong năm qua.</w:t>
      </w:r>
    </w:p>
  </w:footnote>
  <w:footnote w:id="10">
    <w:p w:rsidR="003C1625" w:rsidRPr="007753BC" w:rsidRDefault="003C1625" w:rsidP="002C63CA">
      <w:pPr>
        <w:pStyle w:val="FootnoteText"/>
        <w:spacing w:after="0"/>
        <w:ind w:firstLine="0"/>
        <w:rPr>
          <w:lang w:val="fr-FR"/>
        </w:rPr>
      </w:pPr>
      <w:r>
        <w:rPr>
          <w:rStyle w:val="FootnoteReference"/>
        </w:rPr>
        <w:footnoteRef/>
      </w:r>
      <w:r w:rsidRPr="007753BC">
        <w:rPr>
          <w:lang w:val="fr-FR"/>
        </w:rPr>
        <w:t xml:space="preserve"> Quỹ hoán đổi danh mục.</w:t>
      </w:r>
    </w:p>
  </w:footnote>
  <w:footnote w:id="11">
    <w:p w:rsidR="00D52E29" w:rsidRPr="00D52E29" w:rsidRDefault="00D52E29" w:rsidP="00D52E29">
      <w:pPr>
        <w:pStyle w:val="FootnoteText"/>
        <w:spacing w:after="0"/>
        <w:ind w:firstLine="0"/>
        <w:rPr>
          <w:lang w:val="fr-FR"/>
        </w:rPr>
      </w:pPr>
      <w:r>
        <w:rPr>
          <w:rStyle w:val="FootnoteReference"/>
        </w:rPr>
        <w:footnoteRef/>
      </w:r>
      <w:r w:rsidRPr="00D52E29">
        <w:rPr>
          <w:lang w:val="fr-FR"/>
        </w:rPr>
        <w:t xml:space="preserve"> </w:t>
      </w:r>
      <w:r>
        <w:rPr>
          <w:lang w:val="fr-FR"/>
        </w:rPr>
        <w:t>Cao hơn dự báo tại Báo cáo Tháng 6 của UBGSTCQG do số chính thức của tăng trưởng GDP cao hơn số dự kiến.</w:t>
      </w:r>
    </w:p>
  </w:footnote>
  <w:footnote w:id="12">
    <w:p w:rsidR="000D7742" w:rsidRPr="00236EFB" w:rsidRDefault="000D7742" w:rsidP="00950FE5">
      <w:pPr>
        <w:pStyle w:val="FootnoteText"/>
        <w:spacing w:after="0"/>
        <w:ind w:firstLine="0"/>
        <w:rPr>
          <w:lang w:val="vi-VN"/>
        </w:rPr>
      </w:pPr>
      <w:r w:rsidRPr="00236EFB">
        <w:rPr>
          <w:rStyle w:val="FootnoteReference"/>
        </w:rPr>
        <w:footnoteRef/>
      </w:r>
      <w:r w:rsidRPr="00236EFB">
        <w:rPr>
          <w:lang w:val="vi-VN"/>
        </w:rPr>
        <w:t xml:space="preserve"> Chỉ số PMI của HSBC là một chỉ số tổng hợp được xây dựng để đánh giá khái quát về hoạt động trong ngành sản xuất. PMI dưới 50 cho thấy nền kinh tế nói chung là giảm sút, trên 50 có nghĩa nhìn chung là phát triển. Tháng 6/2015, chỉ số PMI đạt 52,2 điểm. </w:t>
      </w:r>
    </w:p>
  </w:footnote>
  <w:footnote w:id="13">
    <w:p w:rsidR="00950FE5" w:rsidRPr="00950FE5" w:rsidRDefault="00950FE5" w:rsidP="00950FE5">
      <w:pPr>
        <w:pStyle w:val="FootnoteText"/>
        <w:spacing w:after="0"/>
        <w:ind w:firstLine="0"/>
        <w:rPr>
          <w:lang w:val="vi-VN"/>
        </w:rPr>
      </w:pPr>
      <w:r>
        <w:rPr>
          <w:rStyle w:val="FootnoteReference"/>
        </w:rPr>
        <w:footnoteRef/>
      </w:r>
      <w:r w:rsidRPr="00950FE5">
        <w:rPr>
          <w:lang w:val="vi-VN"/>
        </w:rPr>
        <w:t xml:space="preserve"> Theo công bố của Tổng cục Hải quan, nhờ thặng dư CCTM trong nửa cuối tháng 6 (416 triệu USD), nên nhập siêu 6 tháng đầu năm là 3,07 tỷ USD. </w:t>
      </w:r>
    </w:p>
  </w:footnote>
  <w:footnote w:id="14">
    <w:p w:rsidR="00A46CEF" w:rsidRPr="003C1625" w:rsidRDefault="00A46CEF" w:rsidP="00950FE5">
      <w:pPr>
        <w:pStyle w:val="FootnoteText"/>
        <w:spacing w:after="0"/>
        <w:ind w:firstLine="0"/>
        <w:rPr>
          <w:spacing w:val="-2"/>
          <w:lang w:val="vi-VN"/>
        </w:rPr>
      </w:pPr>
      <w:r w:rsidRPr="003C1625">
        <w:rPr>
          <w:rStyle w:val="FootnoteReference"/>
          <w:spacing w:val="-2"/>
        </w:rPr>
        <w:footnoteRef/>
      </w:r>
      <w:r w:rsidRPr="003C1625">
        <w:rPr>
          <w:spacing w:val="-2"/>
          <w:lang w:val="vi-VN"/>
        </w:rPr>
        <w:t xml:space="preserve"> Nếu loại trừ yếu tố giá, kim ngạch hàng hóa xuất khẩu 6 tháng ước tính đạt 80,7 tỷ USD, tăng 13,4% so với cùng kỳ</w:t>
      </w:r>
    </w:p>
  </w:footnote>
  <w:footnote w:id="15">
    <w:p w:rsidR="00A46CEF" w:rsidRPr="004D73AA" w:rsidRDefault="00A46CEF" w:rsidP="00FE17C1">
      <w:pPr>
        <w:pStyle w:val="FootnoteText"/>
        <w:spacing w:after="0"/>
        <w:ind w:firstLine="0"/>
        <w:rPr>
          <w:lang w:val="vi-VN"/>
        </w:rPr>
      </w:pPr>
      <w:r>
        <w:rPr>
          <w:rStyle w:val="FootnoteReference"/>
        </w:rPr>
        <w:footnoteRef/>
      </w:r>
      <w:r w:rsidRPr="004D73AA">
        <w:rPr>
          <w:lang w:val="vi-VN"/>
        </w:rPr>
        <w:t xml:space="preserve"> </w:t>
      </w:r>
      <w:r w:rsidRPr="004D73AA">
        <w:rPr>
          <w:lang w:val="pl-PL"/>
        </w:rPr>
        <w:t>Dầu thô giảm 47,6%; cao su giảm 22,4%, gạo giảm 4,7%...</w:t>
      </w:r>
    </w:p>
  </w:footnote>
  <w:footnote w:id="16">
    <w:p w:rsidR="00A46CEF" w:rsidRPr="0055433C" w:rsidRDefault="00A46CEF" w:rsidP="00FE17C1">
      <w:pPr>
        <w:pStyle w:val="FootnoteText"/>
        <w:spacing w:after="0"/>
        <w:ind w:firstLine="0"/>
        <w:rPr>
          <w:lang w:val="vi-VN"/>
        </w:rPr>
      </w:pPr>
      <w:r>
        <w:rPr>
          <w:rStyle w:val="FootnoteReference"/>
        </w:rPr>
        <w:footnoteRef/>
      </w:r>
      <w:r w:rsidRPr="0055433C">
        <w:rPr>
          <w:lang w:val="vi-VN"/>
        </w:rPr>
        <w:t xml:space="preserve"> Trong tổng kim ngạch hàng hóa XK 6 tháng, kim ngạch XK khu vực trong nước là yếu tố giảm (giảm 2,9%). Nếu trừ dầu thô thì khu vực này chiếm 67,8% tổng kim ngạch xuất khẩu và tăng 20,8%, cao hơn mức tăng 16,8% của cùng kỳ năm trước. </w:t>
      </w:r>
    </w:p>
  </w:footnote>
  <w:footnote w:id="17">
    <w:p w:rsidR="00A46CEF" w:rsidRPr="004D73AA" w:rsidRDefault="00A46CEF" w:rsidP="00FE17C1">
      <w:pPr>
        <w:pStyle w:val="FootnoteText"/>
        <w:spacing w:after="0"/>
        <w:ind w:firstLine="0"/>
        <w:rPr>
          <w:lang w:val="vi-VN"/>
        </w:rPr>
      </w:pPr>
      <w:r>
        <w:rPr>
          <w:rStyle w:val="FootnoteReference"/>
        </w:rPr>
        <w:footnoteRef/>
      </w:r>
      <w:r w:rsidRPr="004D73AA">
        <w:rPr>
          <w:lang w:val="vi-VN"/>
        </w:rPr>
        <w:t xml:space="preserve"> </w:t>
      </w:r>
      <w:r w:rsidRPr="004D73AA">
        <w:rPr>
          <w:lang w:val="pl-PL"/>
        </w:rPr>
        <w:t>Nhập khẩu ôtô nguyên chiếc tăng đột biến 186%, tiếp đến là các mặt hàng phục vụ sản xuất như: Máy móc thiết bị, dụng cụ, phương tiện khác tăng 37,4%;  điện tử, máy tính, linh kiện tăng 37,5%; sản phẩm chất dẻo tăng 22,4%; nguyên phụ liệu dệt may, giày dép tăng 13,1%.</w:t>
      </w:r>
    </w:p>
  </w:footnote>
  <w:footnote w:id="18">
    <w:p w:rsidR="00997047" w:rsidRPr="008A1E4C" w:rsidRDefault="00997047" w:rsidP="00FE17C1">
      <w:pPr>
        <w:pStyle w:val="FootnoteText"/>
        <w:spacing w:after="0"/>
        <w:ind w:firstLine="0"/>
        <w:rPr>
          <w:lang w:val="vi-VN"/>
        </w:rPr>
      </w:pPr>
      <w:r>
        <w:rPr>
          <w:rStyle w:val="FootnoteReference"/>
        </w:rPr>
        <w:footnoteRef/>
      </w:r>
      <w:r w:rsidRPr="008A1E4C">
        <w:rPr>
          <w:lang w:val="vi-VN"/>
        </w:rPr>
        <w:t xml:space="preserve"> Được tính toán dựa trên BCTC công bố của mẫu 700-1,000 doanh nghiệp phi tài chính đại chúng và niêm yết trên sàn HNX và HOSE. </w:t>
      </w:r>
    </w:p>
  </w:footnote>
  <w:footnote w:id="19">
    <w:p w:rsidR="00600980" w:rsidRPr="00600980" w:rsidRDefault="00600980" w:rsidP="00600980">
      <w:pPr>
        <w:pStyle w:val="FootnoteText"/>
        <w:ind w:firstLine="0"/>
        <w:rPr>
          <w:lang w:val="vi-VN"/>
        </w:rPr>
      </w:pPr>
      <w:r>
        <w:rPr>
          <w:rStyle w:val="FootnoteReference"/>
        </w:rPr>
        <w:footnoteRef/>
      </w:r>
      <w:r w:rsidRPr="00600980">
        <w:rPr>
          <w:lang w:val="vi-VN"/>
        </w:rPr>
        <w:t xml:space="preserve"> Là các doanh nghiệp có quy mô vốn chủ sở hữu nhỏ hơn 100 tỷ.</w:t>
      </w:r>
    </w:p>
  </w:footnote>
  <w:footnote w:id="20">
    <w:p w:rsidR="00562652" w:rsidRPr="003130A0" w:rsidRDefault="00562652" w:rsidP="000B04BB">
      <w:pPr>
        <w:pStyle w:val="FootnoteText"/>
        <w:spacing w:after="0"/>
        <w:ind w:firstLine="0"/>
        <w:rPr>
          <w:lang w:val="vi-VN"/>
        </w:rPr>
      </w:pPr>
      <w:r w:rsidRPr="00047A69">
        <w:rPr>
          <w:rStyle w:val="FootnoteReference"/>
        </w:rPr>
        <w:footnoteRef/>
      </w:r>
      <w:r w:rsidRPr="00047A69">
        <w:rPr>
          <w:lang w:val="vi-VN"/>
        </w:rPr>
        <w:t xml:space="preserve"> Định kì UBGSTCQG thực hiện khảo sát qua bảng hỏi trực tiếp </w:t>
      </w:r>
      <w:r w:rsidRPr="003130A0">
        <w:rPr>
          <w:lang w:val="vi-VN"/>
        </w:rPr>
        <w:t>và qua internet</w:t>
      </w:r>
      <w:r w:rsidRPr="00047A69">
        <w:rPr>
          <w:lang w:val="vi-VN"/>
        </w:rPr>
        <w:t xml:space="preserve"> nhằm đánh giá thay đổi hành vi tiêu dùng, đầu tư và vay nợ của khu vực hộ gia đình. Đối tượng khảo sát là công nhân, viên chức, hộ kinh doanh cá thể, các nhà đầu tư tư nhân…. tại các thành phố lớn trên cả nước Hà Nội, TP. Hồ Chí Minh, Cần Thơ, Hải Phòng…</w:t>
      </w:r>
      <w:r w:rsidRPr="003130A0">
        <w:rPr>
          <w:lang w:val="vi-VN"/>
        </w:rPr>
        <w:t xml:space="preserve">Quy mô mẫu khảo sát giao động từ 1,000-1,500 phiếu. </w:t>
      </w:r>
    </w:p>
  </w:footnote>
  <w:footnote w:id="21">
    <w:p w:rsidR="00F95C6C" w:rsidRPr="00F45C7B" w:rsidRDefault="00F95C6C" w:rsidP="009D4B06">
      <w:pPr>
        <w:pStyle w:val="FootnoteText"/>
        <w:spacing w:after="0"/>
        <w:ind w:firstLine="0"/>
        <w:rPr>
          <w:lang w:val="vi-VN"/>
        </w:rPr>
      </w:pPr>
      <w:r>
        <w:rPr>
          <w:rStyle w:val="FootnoteReference"/>
        </w:rPr>
        <w:footnoteRef/>
      </w:r>
      <w:r w:rsidRPr="00F45C7B">
        <w:rPr>
          <w:lang w:val="vi-VN"/>
        </w:rPr>
        <w:t xml:space="preserve"> </w:t>
      </w:r>
      <w:r w:rsidRPr="00F45C7B">
        <w:rPr>
          <w:lang w:val="pl-PL"/>
        </w:rPr>
        <w:t>Theo số liệu Tổng Cục Thống kê</w:t>
      </w:r>
      <w:r>
        <w:rPr>
          <w:lang w:val="pl-PL"/>
        </w:rPr>
        <w:t>.</w:t>
      </w:r>
    </w:p>
  </w:footnote>
  <w:footnote w:id="22">
    <w:p w:rsidR="003C1625" w:rsidRPr="00F05EAF" w:rsidRDefault="003C1625" w:rsidP="000B04BB">
      <w:pPr>
        <w:pStyle w:val="FootnoteText"/>
        <w:spacing w:after="0"/>
        <w:ind w:firstLine="0"/>
        <w:rPr>
          <w:spacing w:val="-4"/>
          <w:lang w:val="vi-VN"/>
        </w:rPr>
      </w:pPr>
      <w:r w:rsidRPr="00F05EAF">
        <w:rPr>
          <w:rStyle w:val="FootnoteReference"/>
          <w:spacing w:val="-4"/>
        </w:rPr>
        <w:footnoteRef/>
      </w:r>
      <w:r w:rsidRPr="00F05EAF">
        <w:rPr>
          <w:spacing w:val="-4"/>
          <w:lang w:val="vi-VN"/>
        </w:rPr>
        <w:t xml:space="preserve"> </w:t>
      </w:r>
      <w:r w:rsidRPr="00F05EAF">
        <w:rPr>
          <w:spacing w:val="-4"/>
          <w:shd w:val="clear" w:color="auto" w:fill="FFFFFF"/>
          <w:lang w:val="vi-VN"/>
        </w:rPr>
        <w:t xml:space="preserve">Kỳ hạn phát hành bình quân trái phiếu Chính phủ năm 2014 là 4,95 năm, năm 2013 là 3,21 năm; năm 2012 là 2,97 năm. </w:t>
      </w:r>
    </w:p>
  </w:footnote>
  <w:footnote w:id="23">
    <w:p w:rsidR="003C1625" w:rsidRPr="00910F80" w:rsidRDefault="003C1625" w:rsidP="000B04BB">
      <w:pPr>
        <w:pStyle w:val="FootnoteText"/>
        <w:spacing w:after="0"/>
        <w:ind w:firstLine="0"/>
        <w:rPr>
          <w:lang w:val="vi-VN"/>
        </w:rPr>
      </w:pPr>
      <w:r w:rsidRPr="00145284">
        <w:rPr>
          <w:rStyle w:val="FootnoteReference"/>
        </w:rPr>
        <w:footnoteRef/>
      </w:r>
      <w:r w:rsidRPr="00FF27B1">
        <w:rPr>
          <w:lang w:val="vi-VN"/>
        </w:rPr>
        <w:t xml:space="preserve"> Tổng mức phát hành quý III/2015 là 60.000 tỷ đồng, trong đó </w:t>
      </w:r>
      <w:r w:rsidRPr="00FF27B1">
        <w:rPr>
          <w:shd w:val="clear" w:color="auto" w:fill="FFFFFF"/>
          <w:lang w:val="vi-VN"/>
        </w:rPr>
        <w:t>loại trái phiếu có kỳ hạn 5 năm có khối lượng phát hành cao nhất là 30.000 tỷ đồng, tiếp đến là loại trái phiếu 15 năm: 16.000 tỷ đồng, 10 năm: 10.000 tỷ đồng và 20 năm: 4.000 tỷ đồng</w:t>
      </w:r>
      <w:r w:rsidRPr="00910F80">
        <w:rPr>
          <w:shd w:val="clear" w:color="auto" w:fill="FFFFFF"/>
          <w:lang w:val="vi-VN"/>
        </w:rPr>
        <w:t>.</w:t>
      </w:r>
    </w:p>
  </w:footnote>
  <w:footnote w:id="24">
    <w:p w:rsidR="003C1625" w:rsidRPr="00FF27B1" w:rsidRDefault="003C1625" w:rsidP="000B04BB">
      <w:pPr>
        <w:pStyle w:val="FootnoteText"/>
        <w:spacing w:after="0"/>
        <w:ind w:firstLine="0"/>
        <w:rPr>
          <w:lang w:val="vi-VN"/>
        </w:rPr>
      </w:pPr>
      <w:r w:rsidRPr="00145284">
        <w:rPr>
          <w:rStyle w:val="FootnoteReference"/>
        </w:rPr>
        <w:footnoteRef/>
      </w:r>
      <w:r w:rsidRPr="00FF27B1">
        <w:rPr>
          <w:lang w:val="vi-VN"/>
        </w:rPr>
        <w:t xml:space="preserve"> Lần đầu tiên phát hành TPCP kỳ hạn 20 năm nhằm huy động vốn cho NSNN và cho đầu tư phát triển năm 2015 </w:t>
      </w:r>
      <w:r w:rsidRPr="00FF27B1">
        <w:rPr>
          <w:shd w:val="clear" w:color="auto" w:fill="FFFFFF"/>
          <w:lang w:val="vi-VN"/>
        </w:rPr>
        <w:t>với tổng mức phát hành khoảng 6.000-7.000 tỷ đồng nhắm đến đối tượng mục tiêu là các công ty bảo hiểm hoạt động tại Việt Nam, phương thức phát hành là bán lẻ trực tiếp qua KBNN. Thời gian phát hành từ ngày 29/7/2015 đến 31/12/2015. Lãi suất TPCP kỳ hạn 20 năm do Bộ Tài chính thỏa thuận với tổ chức đăng ký mua trái phiếu.</w:t>
      </w:r>
    </w:p>
  </w:footnote>
  <w:footnote w:id="25">
    <w:p w:rsidR="00B72EBA" w:rsidRPr="008A1E4C" w:rsidRDefault="00B72EBA" w:rsidP="000B04BB">
      <w:pPr>
        <w:pStyle w:val="FootnoteText"/>
        <w:spacing w:after="0"/>
        <w:ind w:firstLine="0"/>
        <w:rPr>
          <w:lang w:val="vi-VN"/>
        </w:rPr>
      </w:pPr>
      <w:r w:rsidRPr="00240206">
        <w:rPr>
          <w:rStyle w:val="FootnoteReference"/>
        </w:rPr>
        <w:footnoteRef/>
      </w:r>
      <w:r w:rsidRPr="008A1E4C">
        <w:rPr>
          <w:lang w:val="vi-VN"/>
        </w:rPr>
        <w:t xml:space="preserve"> Tính đến 15/07, giá dầu thanh toán bình quân 60 USD/thùng, giảm 40 USD/thùng so với giá xây dựng dự toán.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170"/>
    <w:multiLevelType w:val="hybridMultilevel"/>
    <w:tmpl w:val="4A14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8E5D69"/>
    <w:multiLevelType w:val="multilevel"/>
    <w:tmpl w:val="7560792E"/>
    <w:styleLink w:val="StyleBulletedSymbolsymbolLeft025Hanging0251"/>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912DEF"/>
    <w:multiLevelType w:val="hybridMultilevel"/>
    <w:tmpl w:val="78AE2A36"/>
    <w:lvl w:ilvl="0" w:tplc="B906C7E8">
      <w:start w:val="1"/>
      <w:numFmt w:val="decimal"/>
      <w:pStyle w:val="Equatio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684BD3"/>
    <w:multiLevelType w:val="multilevel"/>
    <w:tmpl w:val="C5CA5E2E"/>
    <w:lvl w:ilvl="0">
      <w:start w:val="1"/>
      <w:numFmt w:val="decimal"/>
      <w:pStyle w:val="Heading1"/>
      <w:lvlText w:val="%1."/>
      <w:lvlJc w:val="left"/>
      <w:pPr>
        <w:tabs>
          <w:tab w:val="num" w:pos="720"/>
        </w:tabs>
        <w:ind w:left="0" w:firstLine="0"/>
      </w:pPr>
      <w:rPr>
        <w:rFonts w:hint="default"/>
        <w:b/>
        <w:i w:val="0"/>
      </w:rPr>
    </w:lvl>
    <w:lvl w:ilvl="1">
      <w:start w:val="1"/>
      <w:numFmt w:val="decimal"/>
      <w:pStyle w:val="Heading2"/>
      <w:lvlText w:val="%1.%2."/>
      <w:lvlJc w:val="left"/>
      <w:pPr>
        <w:tabs>
          <w:tab w:val="num" w:pos="720"/>
        </w:tabs>
        <w:ind w:left="720" w:hanging="720"/>
      </w:pPr>
      <w:rPr>
        <w:rFonts w:hint="default"/>
        <w:b/>
        <w:i/>
      </w:rPr>
    </w:lvl>
    <w:lvl w:ilvl="2">
      <w:start w:val="1"/>
      <w:numFmt w:val="decimal"/>
      <w:pStyle w:val="Heading3"/>
      <w:lvlText w:val="%1.%2.%3"/>
      <w:lvlJc w:val="left"/>
      <w:pPr>
        <w:ind w:left="720" w:hanging="720"/>
      </w:pPr>
      <w:rPr>
        <w:rFonts w:hint="default"/>
        <w:b w:val="0"/>
        <w:i/>
      </w:rPr>
    </w:lvl>
    <w:lvl w:ilvl="3">
      <w:start w:val="1"/>
      <w:numFmt w:val="decimal"/>
      <w:pStyle w:val="Heading4"/>
      <w:lvlText w:val="%2.%3.%4"/>
      <w:lvlJc w:val="left"/>
      <w:pPr>
        <w:tabs>
          <w:tab w:val="num" w:pos="1800"/>
        </w:tabs>
        <w:ind w:left="720" w:hanging="720"/>
      </w:pPr>
      <w:rPr>
        <w:rFonts w:hint="default"/>
        <w:b w:val="0"/>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9094777"/>
    <w:multiLevelType w:val="hybridMultilevel"/>
    <w:tmpl w:val="B916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69334B"/>
    <w:multiLevelType w:val="multilevel"/>
    <w:tmpl w:val="61BE2572"/>
    <w:lvl w:ilvl="0">
      <w:start w:val="1"/>
      <w:numFmt w:val="bullet"/>
      <w:lvlText w:val="-"/>
      <w:lvlJc w:val="left"/>
      <w:pPr>
        <w:ind w:left="1080" w:hanging="360"/>
      </w:pPr>
      <w:rPr>
        <w:rFonts w:ascii="Times New Roman"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41906189"/>
    <w:multiLevelType w:val="multilevel"/>
    <w:tmpl w:val="E64E01DC"/>
    <w:styleLink w:val="Style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63C1F8D"/>
    <w:multiLevelType w:val="multilevel"/>
    <w:tmpl w:val="425891DC"/>
    <w:styleLink w:val="StyleOutlinenumberedCourierNewLeft075Hanging025"/>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C076769"/>
    <w:multiLevelType w:val="hybridMultilevel"/>
    <w:tmpl w:val="ECD065C0"/>
    <w:lvl w:ilvl="0" w:tplc="F3F6A982">
      <w:start w:val="1"/>
      <w:numFmt w:val="decimal"/>
      <w:pStyle w:val="Figure"/>
      <w:lvlText w:val="Hình %1"/>
      <w:lvlJc w:val="left"/>
      <w:pPr>
        <w:tabs>
          <w:tab w:val="num" w:pos="1080"/>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8404DF"/>
    <w:multiLevelType w:val="hybridMultilevel"/>
    <w:tmpl w:val="AC9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75D77"/>
    <w:multiLevelType w:val="multilevel"/>
    <w:tmpl w:val="7DD4C43A"/>
    <w:styleLink w:val="StyleBulleted"/>
    <w:lvl w:ilvl="0">
      <w:start w:val="1"/>
      <w:numFmt w:val="bullet"/>
      <w:lvlText w:val=""/>
      <w:lvlJc w:val="left"/>
      <w:pPr>
        <w:tabs>
          <w:tab w:val="num" w:pos="36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937348D"/>
    <w:multiLevelType w:val="hybridMultilevel"/>
    <w:tmpl w:val="1CDEE584"/>
    <w:lvl w:ilvl="0" w:tplc="D2326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D4B86"/>
    <w:multiLevelType w:val="multilevel"/>
    <w:tmpl w:val="E4EA943E"/>
    <w:styleLink w:val="StyleBulletedSymbolsymbolLeft05Hanging025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6DA360BB"/>
    <w:multiLevelType w:val="hybridMultilevel"/>
    <w:tmpl w:val="84BA3D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7F1D5C"/>
    <w:multiLevelType w:val="multilevel"/>
    <w:tmpl w:val="34702EA0"/>
    <w:styleLink w:val="StyleBulletedSymbolsymbolLeft025Hanging025"/>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08F7A12"/>
    <w:multiLevelType w:val="hybridMultilevel"/>
    <w:tmpl w:val="CF988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F94074"/>
    <w:multiLevelType w:val="hybridMultilevel"/>
    <w:tmpl w:val="B726C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996477"/>
    <w:multiLevelType w:val="hybridMultilevel"/>
    <w:tmpl w:val="63201C80"/>
    <w:lvl w:ilvl="0" w:tplc="2F6ED5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CBE4C6F"/>
    <w:multiLevelType w:val="multilevel"/>
    <w:tmpl w:val="9F08A392"/>
    <w:lvl w:ilvl="0">
      <w:start w:val="1"/>
      <w:numFmt w:val="decimal"/>
      <w:lvlText w:val="CHƯƠNG %1"/>
      <w:lvlJc w:val="left"/>
      <w:pPr>
        <w:tabs>
          <w:tab w:val="num" w:pos="1092"/>
        </w:tabs>
        <w:ind w:left="1092" w:hanging="432"/>
      </w:pPr>
      <w:rPr>
        <w:rFonts w:hint="default"/>
      </w:rPr>
    </w:lvl>
    <w:lvl w:ilvl="1">
      <w:start w:val="1"/>
      <w:numFmt w:val="decimal"/>
      <w:lvlText w:val="%1.%2"/>
      <w:lvlJc w:val="left"/>
      <w:pPr>
        <w:tabs>
          <w:tab w:val="num" w:pos="1236"/>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
      <w:lvlJc w:val="left"/>
      <w:pPr>
        <w:tabs>
          <w:tab w:val="num" w:pos="1440"/>
        </w:tabs>
        <w:ind w:left="720" w:hanging="720"/>
      </w:pPr>
      <w:rPr>
        <w:rFonts w:hint="default"/>
        <w:b/>
        <w:i/>
      </w:rPr>
    </w:lvl>
    <w:lvl w:ilvl="3">
      <w:start w:val="1"/>
      <w:numFmt w:val="decimal"/>
      <w:lvlText w:val="%1.%2.%3.%4. "/>
      <w:lvlJc w:val="left"/>
      <w:pPr>
        <w:tabs>
          <w:tab w:val="num" w:pos="1524"/>
        </w:tabs>
        <w:ind w:left="720" w:firstLine="0"/>
      </w:pPr>
      <w:rPr>
        <w:rFonts w:hint="default"/>
        <w:b w:val="0"/>
        <w:i/>
      </w:rPr>
    </w:lvl>
    <w:lvl w:ilvl="4">
      <w:start w:val="1"/>
      <w:numFmt w:val="lowerLetter"/>
      <w:pStyle w:val="Heading5"/>
      <w:lvlText w:val="%5)"/>
      <w:lvlJc w:val="left"/>
      <w:pPr>
        <w:tabs>
          <w:tab w:val="num" w:pos="720"/>
        </w:tabs>
        <w:ind w:left="720" w:firstLine="0"/>
      </w:pPr>
      <w:rPr>
        <w:rFonts w:ascii="Times New Roman" w:hAnsi="Times New Roman" w:hint="default"/>
        <w:b w:val="0"/>
        <w:i w:val="0"/>
      </w:rPr>
    </w:lvl>
    <w:lvl w:ilvl="5">
      <w:start w:val="1"/>
      <w:numFmt w:val="decimal"/>
      <w:pStyle w:val="Heading6"/>
      <w:lvlText w:val="%1.%2.%3.%4.%5.%6"/>
      <w:lvlJc w:val="left"/>
      <w:pPr>
        <w:tabs>
          <w:tab w:val="num" w:pos="1812"/>
        </w:tabs>
        <w:ind w:left="1812" w:hanging="1152"/>
      </w:pPr>
      <w:rPr>
        <w:rFonts w:hint="default"/>
      </w:rPr>
    </w:lvl>
    <w:lvl w:ilvl="6">
      <w:start w:val="1"/>
      <w:numFmt w:val="decimal"/>
      <w:pStyle w:val="Heading7"/>
      <w:lvlText w:val="%1.%2.%3.%4.%5.%6.%7"/>
      <w:lvlJc w:val="left"/>
      <w:pPr>
        <w:tabs>
          <w:tab w:val="num" w:pos="1956"/>
        </w:tabs>
        <w:ind w:left="1956" w:hanging="1296"/>
      </w:pPr>
      <w:rPr>
        <w:rFonts w:hint="default"/>
      </w:rPr>
    </w:lvl>
    <w:lvl w:ilvl="7">
      <w:start w:val="1"/>
      <w:numFmt w:val="decimal"/>
      <w:pStyle w:val="Heading8"/>
      <w:lvlText w:val="%1.%2.%3.%4.%5.%6.%7.%8"/>
      <w:lvlJc w:val="left"/>
      <w:pPr>
        <w:tabs>
          <w:tab w:val="num" w:pos="2100"/>
        </w:tabs>
        <w:ind w:left="2100" w:hanging="1440"/>
      </w:pPr>
      <w:rPr>
        <w:rFonts w:hint="default"/>
      </w:rPr>
    </w:lvl>
    <w:lvl w:ilvl="8">
      <w:start w:val="1"/>
      <w:numFmt w:val="decimal"/>
      <w:pStyle w:val="Heading9"/>
      <w:lvlText w:val="%1.%2.%3.%4.%5.%6.%7.%8.%9"/>
      <w:lvlJc w:val="left"/>
      <w:pPr>
        <w:tabs>
          <w:tab w:val="num" w:pos="2244"/>
        </w:tabs>
        <w:ind w:left="2244" w:hanging="1584"/>
      </w:pPr>
      <w:rPr>
        <w:rFonts w:hint="default"/>
      </w:rPr>
    </w:lvl>
  </w:abstractNum>
  <w:num w:numId="1">
    <w:abstractNumId w:val="8"/>
  </w:num>
  <w:num w:numId="2">
    <w:abstractNumId w:val="2"/>
  </w:num>
  <w:num w:numId="3">
    <w:abstractNumId w:val="10"/>
  </w:num>
  <w:num w:numId="4">
    <w:abstractNumId w:val="12"/>
  </w:num>
  <w:num w:numId="5">
    <w:abstractNumId w:val="14"/>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6"/>
  </w:num>
  <w:num w:numId="11">
    <w:abstractNumId w:val="18"/>
  </w:num>
  <w:num w:numId="12">
    <w:abstractNumId w:val="11"/>
  </w:num>
  <w:num w:numId="13">
    <w:abstractNumId w:val="15"/>
  </w:num>
  <w:num w:numId="14">
    <w:abstractNumId w:val="13"/>
  </w:num>
  <w:num w:numId="15">
    <w:abstractNumId w:val="9"/>
  </w:num>
  <w:num w:numId="16">
    <w:abstractNumId w:val="5"/>
  </w:num>
  <w:num w:numId="17">
    <w:abstractNumId w:val="16"/>
  </w:num>
  <w:num w:numId="18">
    <w:abstractNumId w:val="0"/>
  </w:num>
  <w:num w:numId="19">
    <w:abstractNumId w:val="4"/>
  </w:num>
  <w:num w:numId="20">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linkStyles/>
  <w:defaultTabStop w:val="720"/>
  <w:drawingGridHorizontalSpacing w:val="140"/>
  <w:displayHorizontalDrawingGridEvery w:val="2"/>
  <w:characterSpacingControl w:val="doNotCompress"/>
  <w:footnotePr>
    <w:footnote w:id="-1"/>
    <w:footnote w:id="0"/>
  </w:footnotePr>
  <w:endnotePr>
    <w:endnote w:id="-1"/>
    <w:endnote w:id="0"/>
  </w:endnotePr>
  <w:compat>
    <w:useFELayout/>
  </w:compat>
  <w:rsids>
    <w:rsidRoot w:val="003568A8"/>
    <w:rsid w:val="0000033C"/>
    <w:rsid w:val="00001412"/>
    <w:rsid w:val="00002F77"/>
    <w:rsid w:val="00005E87"/>
    <w:rsid w:val="00007C23"/>
    <w:rsid w:val="000224EE"/>
    <w:rsid w:val="000249A6"/>
    <w:rsid w:val="0002600D"/>
    <w:rsid w:val="00032512"/>
    <w:rsid w:val="00033F45"/>
    <w:rsid w:val="00037E92"/>
    <w:rsid w:val="00052186"/>
    <w:rsid w:val="000538CB"/>
    <w:rsid w:val="000548E2"/>
    <w:rsid w:val="0005492F"/>
    <w:rsid w:val="00056602"/>
    <w:rsid w:val="00062ABC"/>
    <w:rsid w:val="00063004"/>
    <w:rsid w:val="00065C96"/>
    <w:rsid w:val="000736C6"/>
    <w:rsid w:val="00086600"/>
    <w:rsid w:val="000869A0"/>
    <w:rsid w:val="00090AB5"/>
    <w:rsid w:val="000925E8"/>
    <w:rsid w:val="00094B26"/>
    <w:rsid w:val="00094FF4"/>
    <w:rsid w:val="000A128B"/>
    <w:rsid w:val="000A14B5"/>
    <w:rsid w:val="000A1E64"/>
    <w:rsid w:val="000A28B1"/>
    <w:rsid w:val="000A3176"/>
    <w:rsid w:val="000B04BB"/>
    <w:rsid w:val="000B1CE1"/>
    <w:rsid w:val="000B2C62"/>
    <w:rsid w:val="000B4126"/>
    <w:rsid w:val="000B7767"/>
    <w:rsid w:val="000C1A39"/>
    <w:rsid w:val="000C42F1"/>
    <w:rsid w:val="000C4973"/>
    <w:rsid w:val="000D25AC"/>
    <w:rsid w:val="000D30BA"/>
    <w:rsid w:val="000D7742"/>
    <w:rsid w:val="000E07D8"/>
    <w:rsid w:val="000E5231"/>
    <w:rsid w:val="000E5F9F"/>
    <w:rsid w:val="000F05F6"/>
    <w:rsid w:val="000F3EAE"/>
    <w:rsid w:val="000F410A"/>
    <w:rsid w:val="000F72F5"/>
    <w:rsid w:val="00101003"/>
    <w:rsid w:val="0010140C"/>
    <w:rsid w:val="00101CF5"/>
    <w:rsid w:val="001054A8"/>
    <w:rsid w:val="00106FC0"/>
    <w:rsid w:val="00110E5A"/>
    <w:rsid w:val="00111984"/>
    <w:rsid w:val="00111DDC"/>
    <w:rsid w:val="0011247E"/>
    <w:rsid w:val="001147E5"/>
    <w:rsid w:val="00115FBB"/>
    <w:rsid w:val="001252E6"/>
    <w:rsid w:val="001259AF"/>
    <w:rsid w:val="001276F4"/>
    <w:rsid w:val="0013143E"/>
    <w:rsid w:val="00134926"/>
    <w:rsid w:val="00141D44"/>
    <w:rsid w:val="0014213A"/>
    <w:rsid w:val="001462B2"/>
    <w:rsid w:val="00146641"/>
    <w:rsid w:val="0014761C"/>
    <w:rsid w:val="001614CB"/>
    <w:rsid w:val="001649AF"/>
    <w:rsid w:val="00171CC5"/>
    <w:rsid w:val="00173BB2"/>
    <w:rsid w:val="00173D20"/>
    <w:rsid w:val="00175957"/>
    <w:rsid w:val="00176441"/>
    <w:rsid w:val="00177A78"/>
    <w:rsid w:val="001805BC"/>
    <w:rsid w:val="0018161F"/>
    <w:rsid w:val="001845CB"/>
    <w:rsid w:val="00190977"/>
    <w:rsid w:val="00192970"/>
    <w:rsid w:val="00193CBE"/>
    <w:rsid w:val="001979A1"/>
    <w:rsid w:val="001A0C18"/>
    <w:rsid w:val="001A6068"/>
    <w:rsid w:val="001A76D3"/>
    <w:rsid w:val="001B1A80"/>
    <w:rsid w:val="001B28A5"/>
    <w:rsid w:val="001C6854"/>
    <w:rsid w:val="001C72BD"/>
    <w:rsid w:val="001D0788"/>
    <w:rsid w:val="001D18CD"/>
    <w:rsid w:val="001D2545"/>
    <w:rsid w:val="001E0EA6"/>
    <w:rsid w:val="001E16D6"/>
    <w:rsid w:val="001E2BF7"/>
    <w:rsid w:val="001E3DAE"/>
    <w:rsid w:val="001E71E4"/>
    <w:rsid w:val="001F0601"/>
    <w:rsid w:val="001F5975"/>
    <w:rsid w:val="001F5D90"/>
    <w:rsid w:val="001F61B2"/>
    <w:rsid w:val="00201875"/>
    <w:rsid w:val="00204B48"/>
    <w:rsid w:val="00204E3E"/>
    <w:rsid w:val="00213CFA"/>
    <w:rsid w:val="00214077"/>
    <w:rsid w:val="0021468C"/>
    <w:rsid w:val="002259C1"/>
    <w:rsid w:val="00225D35"/>
    <w:rsid w:val="00226419"/>
    <w:rsid w:val="00231056"/>
    <w:rsid w:val="00231175"/>
    <w:rsid w:val="002337D5"/>
    <w:rsid w:val="002341B2"/>
    <w:rsid w:val="00236A55"/>
    <w:rsid w:val="00237E19"/>
    <w:rsid w:val="00241E0A"/>
    <w:rsid w:val="00242345"/>
    <w:rsid w:val="002428CA"/>
    <w:rsid w:val="002430E3"/>
    <w:rsid w:val="00247882"/>
    <w:rsid w:val="0025372E"/>
    <w:rsid w:val="002564C5"/>
    <w:rsid w:val="002613A6"/>
    <w:rsid w:val="00261D75"/>
    <w:rsid w:val="002733EC"/>
    <w:rsid w:val="002735A9"/>
    <w:rsid w:val="00276122"/>
    <w:rsid w:val="00282397"/>
    <w:rsid w:val="00285EE2"/>
    <w:rsid w:val="00286BD3"/>
    <w:rsid w:val="00287750"/>
    <w:rsid w:val="00290FEB"/>
    <w:rsid w:val="00291563"/>
    <w:rsid w:val="002955C3"/>
    <w:rsid w:val="002970CD"/>
    <w:rsid w:val="002A476C"/>
    <w:rsid w:val="002B08DB"/>
    <w:rsid w:val="002C4D15"/>
    <w:rsid w:val="002C536B"/>
    <w:rsid w:val="002C63CA"/>
    <w:rsid w:val="002D367E"/>
    <w:rsid w:val="002D4218"/>
    <w:rsid w:val="002E0C42"/>
    <w:rsid w:val="002E1377"/>
    <w:rsid w:val="002E4615"/>
    <w:rsid w:val="002E73FE"/>
    <w:rsid w:val="002F35C7"/>
    <w:rsid w:val="0030243F"/>
    <w:rsid w:val="00305819"/>
    <w:rsid w:val="003059FB"/>
    <w:rsid w:val="00307583"/>
    <w:rsid w:val="00310281"/>
    <w:rsid w:val="00312C9C"/>
    <w:rsid w:val="00314962"/>
    <w:rsid w:val="00317B09"/>
    <w:rsid w:val="0032464F"/>
    <w:rsid w:val="00325466"/>
    <w:rsid w:val="003266B2"/>
    <w:rsid w:val="00326CE4"/>
    <w:rsid w:val="00336F0A"/>
    <w:rsid w:val="003415F7"/>
    <w:rsid w:val="00342980"/>
    <w:rsid w:val="00343B4B"/>
    <w:rsid w:val="00346F4E"/>
    <w:rsid w:val="00350EEB"/>
    <w:rsid w:val="003568A8"/>
    <w:rsid w:val="00360B7B"/>
    <w:rsid w:val="00366846"/>
    <w:rsid w:val="00366AB3"/>
    <w:rsid w:val="0038143F"/>
    <w:rsid w:val="00381651"/>
    <w:rsid w:val="00386E01"/>
    <w:rsid w:val="00390388"/>
    <w:rsid w:val="00391B29"/>
    <w:rsid w:val="003A0BC1"/>
    <w:rsid w:val="003A215B"/>
    <w:rsid w:val="003A420F"/>
    <w:rsid w:val="003A4632"/>
    <w:rsid w:val="003B048A"/>
    <w:rsid w:val="003B0C2A"/>
    <w:rsid w:val="003B3BFE"/>
    <w:rsid w:val="003B6BA9"/>
    <w:rsid w:val="003B7C4C"/>
    <w:rsid w:val="003C12DF"/>
    <w:rsid w:val="003C1625"/>
    <w:rsid w:val="003C22D6"/>
    <w:rsid w:val="003D1B2E"/>
    <w:rsid w:val="003D5437"/>
    <w:rsid w:val="003E3BFB"/>
    <w:rsid w:val="003E3D0D"/>
    <w:rsid w:val="003E49CF"/>
    <w:rsid w:val="003F21EA"/>
    <w:rsid w:val="003F71B7"/>
    <w:rsid w:val="003F7929"/>
    <w:rsid w:val="004016E4"/>
    <w:rsid w:val="00404E08"/>
    <w:rsid w:val="004141B8"/>
    <w:rsid w:val="00416374"/>
    <w:rsid w:val="0042069B"/>
    <w:rsid w:val="00421929"/>
    <w:rsid w:val="00421A94"/>
    <w:rsid w:val="004319BD"/>
    <w:rsid w:val="00431E26"/>
    <w:rsid w:val="0043252D"/>
    <w:rsid w:val="004349B4"/>
    <w:rsid w:val="0043558E"/>
    <w:rsid w:val="004356F1"/>
    <w:rsid w:val="00436415"/>
    <w:rsid w:val="00447347"/>
    <w:rsid w:val="00450424"/>
    <w:rsid w:val="004519A0"/>
    <w:rsid w:val="00452C74"/>
    <w:rsid w:val="00454ADF"/>
    <w:rsid w:val="00455E76"/>
    <w:rsid w:val="00462DB6"/>
    <w:rsid w:val="00464F00"/>
    <w:rsid w:val="004657E1"/>
    <w:rsid w:val="00465DEA"/>
    <w:rsid w:val="0046639B"/>
    <w:rsid w:val="00481069"/>
    <w:rsid w:val="00491047"/>
    <w:rsid w:val="00491FA3"/>
    <w:rsid w:val="004949A7"/>
    <w:rsid w:val="00495AC7"/>
    <w:rsid w:val="004978C4"/>
    <w:rsid w:val="004A100C"/>
    <w:rsid w:val="004A1EAF"/>
    <w:rsid w:val="004A3C3F"/>
    <w:rsid w:val="004A4006"/>
    <w:rsid w:val="004A7B00"/>
    <w:rsid w:val="004B3623"/>
    <w:rsid w:val="004B5889"/>
    <w:rsid w:val="004C29ED"/>
    <w:rsid w:val="004C5E33"/>
    <w:rsid w:val="004D40F8"/>
    <w:rsid w:val="004D73AA"/>
    <w:rsid w:val="004D7A81"/>
    <w:rsid w:val="004E04B8"/>
    <w:rsid w:val="004E3275"/>
    <w:rsid w:val="004E42C0"/>
    <w:rsid w:val="004E4EAD"/>
    <w:rsid w:val="004F56DE"/>
    <w:rsid w:val="004F6476"/>
    <w:rsid w:val="004F6D6C"/>
    <w:rsid w:val="00500AB3"/>
    <w:rsid w:val="005042F7"/>
    <w:rsid w:val="00505DE0"/>
    <w:rsid w:val="00507A44"/>
    <w:rsid w:val="0051012B"/>
    <w:rsid w:val="005113BB"/>
    <w:rsid w:val="00512F47"/>
    <w:rsid w:val="00524517"/>
    <w:rsid w:val="00530746"/>
    <w:rsid w:val="00532AF5"/>
    <w:rsid w:val="00532B73"/>
    <w:rsid w:val="00533D6C"/>
    <w:rsid w:val="00537637"/>
    <w:rsid w:val="00542C8A"/>
    <w:rsid w:val="00543B2C"/>
    <w:rsid w:val="00547EF8"/>
    <w:rsid w:val="00550560"/>
    <w:rsid w:val="00552931"/>
    <w:rsid w:val="0055433C"/>
    <w:rsid w:val="00554DF9"/>
    <w:rsid w:val="00556FC1"/>
    <w:rsid w:val="00560B0C"/>
    <w:rsid w:val="005620E8"/>
    <w:rsid w:val="00562652"/>
    <w:rsid w:val="005647F4"/>
    <w:rsid w:val="00572A98"/>
    <w:rsid w:val="00572B3A"/>
    <w:rsid w:val="0057396C"/>
    <w:rsid w:val="005753C5"/>
    <w:rsid w:val="00581714"/>
    <w:rsid w:val="005865D6"/>
    <w:rsid w:val="00590491"/>
    <w:rsid w:val="0059186F"/>
    <w:rsid w:val="005918CA"/>
    <w:rsid w:val="00591BE2"/>
    <w:rsid w:val="005926AC"/>
    <w:rsid w:val="00594113"/>
    <w:rsid w:val="00596219"/>
    <w:rsid w:val="005A7274"/>
    <w:rsid w:val="005B0169"/>
    <w:rsid w:val="005B0398"/>
    <w:rsid w:val="005B1C4C"/>
    <w:rsid w:val="005B21D6"/>
    <w:rsid w:val="005B242A"/>
    <w:rsid w:val="005B2719"/>
    <w:rsid w:val="005C1694"/>
    <w:rsid w:val="005C1C7F"/>
    <w:rsid w:val="005C4A93"/>
    <w:rsid w:val="005C50B2"/>
    <w:rsid w:val="005C530B"/>
    <w:rsid w:val="005C56CD"/>
    <w:rsid w:val="005C7947"/>
    <w:rsid w:val="005D10AD"/>
    <w:rsid w:val="005D123A"/>
    <w:rsid w:val="005D47FB"/>
    <w:rsid w:val="005D571F"/>
    <w:rsid w:val="005D5A84"/>
    <w:rsid w:val="005D67D9"/>
    <w:rsid w:val="005E4E00"/>
    <w:rsid w:val="00600980"/>
    <w:rsid w:val="00604F4F"/>
    <w:rsid w:val="00604F9C"/>
    <w:rsid w:val="006100DD"/>
    <w:rsid w:val="006108F7"/>
    <w:rsid w:val="006120CC"/>
    <w:rsid w:val="00612AF4"/>
    <w:rsid w:val="00616A66"/>
    <w:rsid w:val="00617378"/>
    <w:rsid w:val="0062075C"/>
    <w:rsid w:val="00625148"/>
    <w:rsid w:val="00630C1B"/>
    <w:rsid w:val="00630C4B"/>
    <w:rsid w:val="00634C49"/>
    <w:rsid w:val="00637453"/>
    <w:rsid w:val="006411E8"/>
    <w:rsid w:val="0064120E"/>
    <w:rsid w:val="00641965"/>
    <w:rsid w:val="00642D78"/>
    <w:rsid w:val="006456EA"/>
    <w:rsid w:val="00645E58"/>
    <w:rsid w:val="00647263"/>
    <w:rsid w:val="006479BD"/>
    <w:rsid w:val="006539E4"/>
    <w:rsid w:val="00653A12"/>
    <w:rsid w:val="006565D2"/>
    <w:rsid w:val="00662787"/>
    <w:rsid w:val="00662F6A"/>
    <w:rsid w:val="0066567D"/>
    <w:rsid w:val="00670C85"/>
    <w:rsid w:val="0067429C"/>
    <w:rsid w:val="00682A9B"/>
    <w:rsid w:val="00684F8C"/>
    <w:rsid w:val="006A191D"/>
    <w:rsid w:val="006A2CF1"/>
    <w:rsid w:val="006B2EA7"/>
    <w:rsid w:val="006B4D53"/>
    <w:rsid w:val="006B68F5"/>
    <w:rsid w:val="006B6AB1"/>
    <w:rsid w:val="006B7CA7"/>
    <w:rsid w:val="006C166B"/>
    <w:rsid w:val="006C2EA6"/>
    <w:rsid w:val="006C415E"/>
    <w:rsid w:val="006C47F8"/>
    <w:rsid w:val="006C4F50"/>
    <w:rsid w:val="006D35E9"/>
    <w:rsid w:val="006D4AF0"/>
    <w:rsid w:val="006E6B83"/>
    <w:rsid w:val="006E7B0E"/>
    <w:rsid w:val="006F35D0"/>
    <w:rsid w:val="006F35F8"/>
    <w:rsid w:val="006F3E40"/>
    <w:rsid w:val="006F56BA"/>
    <w:rsid w:val="006F6D85"/>
    <w:rsid w:val="00702735"/>
    <w:rsid w:val="00706DDE"/>
    <w:rsid w:val="00707816"/>
    <w:rsid w:val="00710010"/>
    <w:rsid w:val="00710E74"/>
    <w:rsid w:val="007131D0"/>
    <w:rsid w:val="00713B57"/>
    <w:rsid w:val="00716B58"/>
    <w:rsid w:val="0072035D"/>
    <w:rsid w:val="00720AD1"/>
    <w:rsid w:val="00720CCB"/>
    <w:rsid w:val="0072135E"/>
    <w:rsid w:val="00722665"/>
    <w:rsid w:val="00723C3D"/>
    <w:rsid w:val="007249CA"/>
    <w:rsid w:val="00736A90"/>
    <w:rsid w:val="00737E19"/>
    <w:rsid w:val="0074084A"/>
    <w:rsid w:val="00742B2D"/>
    <w:rsid w:val="00743371"/>
    <w:rsid w:val="00745B1B"/>
    <w:rsid w:val="00751D89"/>
    <w:rsid w:val="00752F21"/>
    <w:rsid w:val="007530BC"/>
    <w:rsid w:val="00754E36"/>
    <w:rsid w:val="00760482"/>
    <w:rsid w:val="007640B0"/>
    <w:rsid w:val="00774D4C"/>
    <w:rsid w:val="00775BA5"/>
    <w:rsid w:val="00783FCC"/>
    <w:rsid w:val="00786882"/>
    <w:rsid w:val="00792839"/>
    <w:rsid w:val="00792A3D"/>
    <w:rsid w:val="00793C8A"/>
    <w:rsid w:val="00796EE2"/>
    <w:rsid w:val="007A24F0"/>
    <w:rsid w:val="007A4BA0"/>
    <w:rsid w:val="007B121F"/>
    <w:rsid w:val="007B2C63"/>
    <w:rsid w:val="007B2EA0"/>
    <w:rsid w:val="007B550E"/>
    <w:rsid w:val="007C2AED"/>
    <w:rsid w:val="007C52FC"/>
    <w:rsid w:val="007C755A"/>
    <w:rsid w:val="007C7CA8"/>
    <w:rsid w:val="007D3722"/>
    <w:rsid w:val="007D4069"/>
    <w:rsid w:val="007E047E"/>
    <w:rsid w:val="007E14EE"/>
    <w:rsid w:val="007E31A1"/>
    <w:rsid w:val="007E3795"/>
    <w:rsid w:val="007E3935"/>
    <w:rsid w:val="007E4093"/>
    <w:rsid w:val="007E7CCE"/>
    <w:rsid w:val="007F07D1"/>
    <w:rsid w:val="007F7D7A"/>
    <w:rsid w:val="0080027F"/>
    <w:rsid w:val="00806F06"/>
    <w:rsid w:val="00811D4F"/>
    <w:rsid w:val="00811FAE"/>
    <w:rsid w:val="00813978"/>
    <w:rsid w:val="00814192"/>
    <w:rsid w:val="00816276"/>
    <w:rsid w:val="008172FB"/>
    <w:rsid w:val="008201DB"/>
    <w:rsid w:val="00820667"/>
    <w:rsid w:val="00820B53"/>
    <w:rsid w:val="00821384"/>
    <w:rsid w:val="00823999"/>
    <w:rsid w:val="0082770E"/>
    <w:rsid w:val="008318ED"/>
    <w:rsid w:val="00833DEB"/>
    <w:rsid w:val="00836F43"/>
    <w:rsid w:val="00845DC8"/>
    <w:rsid w:val="00846819"/>
    <w:rsid w:val="00861088"/>
    <w:rsid w:val="00862A96"/>
    <w:rsid w:val="00867A7C"/>
    <w:rsid w:val="00870B87"/>
    <w:rsid w:val="00876F2F"/>
    <w:rsid w:val="00877FB0"/>
    <w:rsid w:val="0088188B"/>
    <w:rsid w:val="00885F02"/>
    <w:rsid w:val="008862B9"/>
    <w:rsid w:val="00886CB2"/>
    <w:rsid w:val="00892F51"/>
    <w:rsid w:val="0089304A"/>
    <w:rsid w:val="00894153"/>
    <w:rsid w:val="008A1E4C"/>
    <w:rsid w:val="008A30C5"/>
    <w:rsid w:val="008A6C90"/>
    <w:rsid w:val="008B10C1"/>
    <w:rsid w:val="008B20A5"/>
    <w:rsid w:val="008B4C95"/>
    <w:rsid w:val="008B5F76"/>
    <w:rsid w:val="008B6956"/>
    <w:rsid w:val="008C4B1A"/>
    <w:rsid w:val="008C7433"/>
    <w:rsid w:val="008D086D"/>
    <w:rsid w:val="008D0F13"/>
    <w:rsid w:val="008D1489"/>
    <w:rsid w:val="008D2284"/>
    <w:rsid w:val="008D6984"/>
    <w:rsid w:val="008D6DCB"/>
    <w:rsid w:val="008E774C"/>
    <w:rsid w:val="008F1E6A"/>
    <w:rsid w:val="008F337E"/>
    <w:rsid w:val="008F3E64"/>
    <w:rsid w:val="00900767"/>
    <w:rsid w:val="009029FC"/>
    <w:rsid w:val="0090443D"/>
    <w:rsid w:val="00904C44"/>
    <w:rsid w:val="00910F80"/>
    <w:rsid w:val="009127EF"/>
    <w:rsid w:val="00913690"/>
    <w:rsid w:val="0091407F"/>
    <w:rsid w:val="009170C0"/>
    <w:rsid w:val="00920135"/>
    <w:rsid w:val="00923576"/>
    <w:rsid w:val="00933260"/>
    <w:rsid w:val="00933EDB"/>
    <w:rsid w:val="009352D0"/>
    <w:rsid w:val="00936142"/>
    <w:rsid w:val="009405A7"/>
    <w:rsid w:val="00945733"/>
    <w:rsid w:val="009461E3"/>
    <w:rsid w:val="00950FE5"/>
    <w:rsid w:val="00955EA2"/>
    <w:rsid w:val="0095610C"/>
    <w:rsid w:val="00960AC8"/>
    <w:rsid w:val="00960C6C"/>
    <w:rsid w:val="009627D2"/>
    <w:rsid w:val="00962E9C"/>
    <w:rsid w:val="00964561"/>
    <w:rsid w:val="00966C9D"/>
    <w:rsid w:val="009704C1"/>
    <w:rsid w:val="009707FF"/>
    <w:rsid w:val="009727F9"/>
    <w:rsid w:val="009760AD"/>
    <w:rsid w:val="009848CF"/>
    <w:rsid w:val="00985217"/>
    <w:rsid w:val="00990A41"/>
    <w:rsid w:val="00991F7F"/>
    <w:rsid w:val="009923F0"/>
    <w:rsid w:val="00996B22"/>
    <w:rsid w:val="00997047"/>
    <w:rsid w:val="009975BF"/>
    <w:rsid w:val="009A0C76"/>
    <w:rsid w:val="009A12AC"/>
    <w:rsid w:val="009A2504"/>
    <w:rsid w:val="009A4793"/>
    <w:rsid w:val="009A6EAE"/>
    <w:rsid w:val="009A7565"/>
    <w:rsid w:val="009B0305"/>
    <w:rsid w:val="009B572C"/>
    <w:rsid w:val="009C1F28"/>
    <w:rsid w:val="009C4274"/>
    <w:rsid w:val="009D4AB4"/>
    <w:rsid w:val="009D4B06"/>
    <w:rsid w:val="009D6692"/>
    <w:rsid w:val="009D6CD9"/>
    <w:rsid w:val="009D6E43"/>
    <w:rsid w:val="009E6777"/>
    <w:rsid w:val="009F56E0"/>
    <w:rsid w:val="009F59E0"/>
    <w:rsid w:val="009F6E6D"/>
    <w:rsid w:val="009F7122"/>
    <w:rsid w:val="00A00C49"/>
    <w:rsid w:val="00A013F0"/>
    <w:rsid w:val="00A02F3B"/>
    <w:rsid w:val="00A0381C"/>
    <w:rsid w:val="00A04333"/>
    <w:rsid w:val="00A04389"/>
    <w:rsid w:val="00A07BEC"/>
    <w:rsid w:val="00A1061A"/>
    <w:rsid w:val="00A12166"/>
    <w:rsid w:val="00A128BA"/>
    <w:rsid w:val="00A15929"/>
    <w:rsid w:val="00A1598F"/>
    <w:rsid w:val="00A16B42"/>
    <w:rsid w:val="00A2483A"/>
    <w:rsid w:val="00A25D18"/>
    <w:rsid w:val="00A25FDC"/>
    <w:rsid w:val="00A30D68"/>
    <w:rsid w:val="00A327B6"/>
    <w:rsid w:val="00A3540F"/>
    <w:rsid w:val="00A35F94"/>
    <w:rsid w:val="00A453F5"/>
    <w:rsid w:val="00A464C2"/>
    <w:rsid w:val="00A46CEF"/>
    <w:rsid w:val="00A51B7F"/>
    <w:rsid w:val="00A5351E"/>
    <w:rsid w:val="00A6138C"/>
    <w:rsid w:val="00A62B95"/>
    <w:rsid w:val="00A671B0"/>
    <w:rsid w:val="00A6744B"/>
    <w:rsid w:val="00A714F4"/>
    <w:rsid w:val="00A71CBE"/>
    <w:rsid w:val="00A76E15"/>
    <w:rsid w:val="00A7751D"/>
    <w:rsid w:val="00A82727"/>
    <w:rsid w:val="00A827C6"/>
    <w:rsid w:val="00A841F9"/>
    <w:rsid w:val="00A84262"/>
    <w:rsid w:val="00A9184D"/>
    <w:rsid w:val="00AA0318"/>
    <w:rsid w:val="00AA26F1"/>
    <w:rsid w:val="00AA412D"/>
    <w:rsid w:val="00AA596B"/>
    <w:rsid w:val="00AA6BC8"/>
    <w:rsid w:val="00AB07DE"/>
    <w:rsid w:val="00AB1B77"/>
    <w:rsid w:val="00AC0E9F"/>
    <w:rsid w:val="00AC6A63"/>
    <w:rsid w:val="00AC701B"/>
    <w:rsid w:val="00AC7D66"/>
    <w:rsid w:val="00AC7E24"/>
    <w:rsid w:val="00AD00E3"/>
    <w:rsid w:val="00AD5855"/>
    <w:rsid w:val="00AD79E4"/>
    <w:rsid w:val="00AE1534"/>
    <w:rsid w:val="00AE2E1C"/>
    <w:rsid w:val="00AE3677"/>
    <w:rsid w:val="00AE4F5D"/>
    <w:rsid w:val="00AE5886"/>
    <w:rsid w:val="00AE7BCD"/>
    <w:rsid w:val="00AF0BE5"/>
    <w:rsid w:val="00AF0F20"/>
    <w:rsid w:val="00AF6489"/>
    <w:rsid w:val="00AF7D32"/>
    <w:rsid w:val="00B005FB"/>
    <w:rsid w:val="00B022F1"/>
    <w:rsid w:val="00B0278F"/>
    <w:rsid w:val="00B05FD9"/>
    <w:rsid w:val="00B12873"/>
    <w:rsid w:val="00B1789B"/>
    <w:rsid w:val="00B215CA"/>
    <w:rsid w:val="00B2659E"/>
    <w:rsid w:val="00B277BD"/>
    <w:rsid w:val="00B305C1"/>
    <w:rsid w:val="00B315D9"/>
    <w:rsid w:val="00B342F0"/>
    <w:rsid w:val="00B35FF2"/>
    <w:rsid w:val="00B36BA4"/>
    <w:rsid w:val="00B4520D"/>
    <w:rsid w:val="00B47E0A"/>
    <w:rsid w:val="00B50972"/>
    <w:rsid w:val="00B50EE3"/>
    <w:rsid w:val="00B5194A"/>
    <w:rsid w:val="00B53B62"/>
    <w:rsid w:val="00B53DD2"/>
    <w:rsid w:val="00B54C22"/>
    <w:rsid w:val="00B57A40"/>
    <w:rsid w:val="00B6242F"/>
    <w:rsid w:val="00B677D0"/>
    <w:rsid w:val="00B67CC4"/>
    <w:rsid w:val="00B71E8D"/>
    <w:rsid w:val="00B7299C"/>
    <w:rsid w:val="00B72EBA"/>
    <w:rsid w:val="00B75CA7"/>
    <w:rsid w:val="00B8515D"/>
    <w:rsid w:val="00B85897"/>
    <w:rsid w:val="00B86979"/>
    <w:rsid w:val="00B86C5E"/>
    <w:rsid w:val="00B914D7"/>
    <w:rsid w:val="00B954BA"/>
    <w:rsid w:val="00B964B8"/>
    <w:rsid w:val="00BA00BD"/>
    <w:rsid w:val="00BA08B0"/>
    <w:rsid w:val="00BA2285"/>
    <w:rsid w:val="00BA4C72"/>
    <w:rsid w:val="00BB5D32"/>
    <w:rsid w:val="00BC60F0"/>
    <w:rsid w:val="00BD16D3"/>
    <w:rsid w:val="00BD503E"/>
    <w:rsid w:val="00BE495E"/>
    <w:rsid w:val="00BE6922"/>
    <w:rsid w:val="00BE6B86"/>
    <w:rsid w:val="00BF0FC6"/>
    <w:rsid w:val="00BF2203"/>
    <w:rsid w:val="00BF230D"/>
    <w:rsid w:val="00BF2AA7"/>
    <w:rsid w:val="00BF41BA"/>
    <w:rsid w:val="00BF7E5A"/>
    <w:rsid w:val="00C07326"/>
    <w:rsid w:val="00C07E5F"/>
    <w:rsid w:val="00C1477A"/>
    <w:rsid w:val="00C15C6D"/>
    <w:rsid w:val="00C16501"/>
    <w:rsid w:val="00C16D71"/>
    <w:rsid w:val="00C17233"/>
    <w:rsid w:val="00C176B6"/>
    <w:rsid w:val="00C20886"/>
    <w:rsid w:val="00C309ED"/>
    <w:rsid w:val="00C31673"/>
    <w:rsid w:val="00C346CD"/>
    <w:rsid w:val="00C35DBA"/>
    <w:rsid w:val="00C36467"/>
    <w:rsid w:val="00C37A95"/>
    <w:rsid w:val="00C37EFE"/>
    <w:rsid w:val="00C4320F"/>
    <w:rsid w:val="00C45BF9"/>
    <w:rsid w:val="00C47CA9"/>
    <w:rsid w:val="00C50ABD"/>
    <w:rsid w:val="00C51781"/>
    <w:rsid w:val="00C5272A"/>
    <w:rsid w:val="00C53BEF"/>
    <w:rsid w:val="00C544CB"/>
    <w:rsid w:val="00C54DAC"/>
    <w:rsid w:val="00C559A6"/>
    <w:rsid w:val="00C5621D"/>
    <w:rsid w:val="00C578C7"/>
    <w:rsid w:val="00C603D6"/>
    <w:rsid w:val="00C61504"/>
    <w:rsid w:val="00C63B30"/>
    <w:rsid w:val="00C67BFF"/>
    <w:rsid w:val="00C73300"/>
    <w:rsid w:val="00C77E46"/>
    <w:rsid w:val="00C9154F"/>
    <w:rsid w:val="00C91E93"/>
    <w:rsid w:val="00C92D6B"/>
    <w:rsid w:val="00CA320C"/>
    <w:rsid w:val="00CA4F9E"/>
    <w:rsid w:val="00CA7DA3"/>
    <w:rsid w:val="00CC0254"/>
    <w:rsid w:val="00CC28DB"/>
    <w:rsid w:val="00CC33A3"/>
    <w:rsid w:val="00CC509C"/>
    <w:rsid w:val="00CC5C73"/>
    <w:rsid w:val="00CC6B1D"/>
    <w:rsid w:val="00CD661B"/>
    <w:rsid w:val="00CD77D6"/>
    <w:rsid w:val="00CE0ED1"/>
    <w:rsid w:val="00CE7D66"/>
    <w:rsid w:val="00CF071C"/>
    <w:rsid w:val="00CF452E"/>
    <w:rsid w:val="00CF4DFF"/>
    <w:rsid w:val="00CF71A5"/>
    <w:rsid w:val="00D004F2"/>
    <w:rsid w:val="00D00972"/>
    <w:rsid w:val="00D00C04"/>
    <w:rsid w:val="00D02579"/>
    <w:rsid w:val="00D03E26"/>
    <w:rsid w:val="00D04102"/>
    <w:rsid w:val="00D103C4"/>
    <w:rsid w:val="00D118DD"/>
    <w:rsid w:val="00D127B0"/>
    <w:rsid w:val="00D13B1D"/>
    <w:rsid w:val="00D170BD"/>
    <w:rsid w:val="00D22C67"/>
    <w:rsid w:val="00D23826"/>
    <w:rsid w:val="00D24BF7"/>
    <w:rsid w:val="00D26DCB"/>
    <w:rsid w:val="00D30E1C"/>
    <w:rsid w:val="00D31582"/>
    <w:rsid w:val="00D31964"/>
    <w:rsid w:val="00D32171"/>
    <w:rsid w:val="00D45B51"/>
    <w:rsid w:val="00D45BB0"/>
    <w:rsid w:val="00D46146"/>
    <w:rsid w:val="00D51580"/>
    <w:rsid w:val="00D52E29"/>
    <w:rsid w:val="00D62399"/>
    <w:rsid w:val="00D63CF0"/>
    <w:rsid w:val="00D64EA7"/>
    <w:rsid w:val="00D707C1"/>
    <w:rsid w:val="00D7348C"/>
    <w:rsid w:val="00D737B2"/>
    <w:rsid w:val="00D748AB"/>
    <w:rsid w:val="00D75F23"/>
    <w:rsid w:val="00D77705"/>
    <w:rsid w:val="00D80B7B"/>
    <w:rsid w:val="00D80C0C"/>
    <w:rsid w:val="00D825EC"/>
    <w:rsid w:val="00D83BE6"/>
    <w:rsid w:val="00D84198"/>
    <w:rsid w:val="00D86D9A"/>
    <w:rsid w:val="00D90757"/>
    <w:rsid w:val="00D90D46"/>
    <w:rsid w:val="00D91915"/>
    <w:rsid w:val="00D94965"/>
    <w:rsid w:val="00DA161F"/>
    <w:rsid w:val="00DA3D5B"/>
    <w:rsid w:val="00DA521D"/>
    <w:rsid w:val="00DA5858"/>
    <w:rsid w:val="00DB2147"/>
    <w:rsid w:val="00DB6A67"/>
    <w:rsid w:val="00DC1743"/>
    <w:rsid w:val="00DC27AB"/>
    <w:rsid w:val="00DC3C64"/>
    <w:rsid w:val="00DC4EB5"/>
    <w:rsid w:val="00DC7107"/>
    <w:rsid w:val="00DD06E2"/>
    <w:rsid w:val="00DD34D4"/>
    <w:rsid w:val="00DD395E"/>
    <w:rsid w:val="00DD3A74"/>
    <w:rsid w:val="00DD3AFA"/>
    <w:rsid w:val="00DE03FA"/>
    <w:rsid w:val="00DE131E"/>
    <w:rsid w:val="00DE44CC"/>
    <w:rsid w:val="00DF459D"/>
    <w:rsid w:val="00DF48DC"/>
    <w:rsid w:val="00DF4B9A"/>
    <w:rsid w:val="00E008FA"/>
    <w:rsid w:val="00E01B91"/>
    <w:rsid w:val="00E02214"/>
    <w:rsid w:val="00E02357"/>
    <w:rsid w:val="00E04DB2"/>
    <w:rsid w:val="00E06B0A"/>
    <w:rsid w:val="00E07C6F"/>
    <w:rsid w:val="00E10E5E"/>
    <w:rsid w:val="00E168F1"/>
    <w:rsid w:val="00E24323"/>
    <w:rsid w:val="00E260B4"/>
    <w:rsid w:val="00E27360"/>
    <w:rsid w:val="00E30319"/>
    <w:rsid w:val="00E31B42"/>
    <w:rsid w:val="00E32ED8"/>
    <w:rsid w:val="00E33EC3"/>
    <w:rsid w:val="00E3406E"/>
    <w:rsid w:val="00E355F4"/>
    <w:rsid w:val="00E35CF2"/>
    <w:rsid w:val="00E4060A"/>
    <w:rsid w:val="00E43798"/>
    <w:rsid w:val="00E45EBB"/>
    <w:rsid w:val="00E467E0"/>
    <w:rsid w:val="00E4735C"/>
    <w:rsid w:val="00E55298"/>
    <w:rsid w:val="00E61453"/>
    <w:rsid w:val="00E628C1"/>
    <w:rsid w:val="00E63DC1"/>
    <w:rsid w:val="00E668B3"/>
    <w:rsid w:val="00E715E8"/>
    <w:rsid w:val="00E7593D"/>
    <w:rsid w:val="00E76063"/>
    <w:rsid w:val="00E81F76"/>
    <w:rsid w:val="00E821AD"/>
    <w:rsid w:val="00E84EE8"/>
    <w:rsid w:val="00E852A9"/>
    <w:rsid w:val="00E859CB"/>
    <w:rsid w:val="00E92A70"/>
    <w:rsid w:val="00E93F4C"/>
    <w:rsid w:val="00E942F0"/>
    <w:rsid w:val="00E94722"/>
    <w:rsid w:val="00E95AB5"/>
    <w:rsid w:val="00E96A52"/>
    <w:rsid w:val="00EA0F64"/>
    <w:rsid w:val="00EA1AA6"/>
    <w:rsid w:val="00EA1CB9"/>
    <w:rsid w:val="00EA3F33"/>
    <w:rsid w:val="00EA48CE"/>
    <w:rsid w:val="00EB3480"/>
    <w:rsid w:val="00EB44E6"/>
    <w:rsid w:val="00EB5A4E"/>
    <w:rsid w:val="00EC1D11"/>
    <w:rsid w:val="00EC216C"/>
    <w:rsid w:val="00EC22DE"/>
    <w:rsid w:val="00EC276D"/>
    <w:rsid w:val="00EC44B2"/>
    <w:rsid w:val="00EC55C2"/>
    <w:rsid w:val="00EC736A"/>
    <w:rsid w:val="00ED3586"/>
    <w:rsid w:val="00EE245F"/>
    <w:rsid w:val="00EE33FC"/>
    <w:rsid w:val="00EE7E27"/>
    <w:rsid w:val="00EF12F5"/>
    <w:rsid w:val="00EF2C32"/>
    <w:rsid w:val="00EF2E1C"/>
    <w:rsid w:val="00F019D2"/>
    <w:rsid w:val="00F05EAF"/>
    <w:rsid w:val="00F06A89"/>
    <w:rsid w:val="00F10941"/>
    <w:rsid w:val="00F123F2"/>
    <w:rsid w:val="00F13B8D"/>
    <w:rsid w:val="00F15207"/>
    <w:rsid w:val="00F15E8C"/>
    <w:rsid w:val="00F17A73"/>
    <w:rsid w:val="00F20EED"/>
    <w:rsid w:val="00F21768"/>
    <w:rsid w:val="00F21F26"/>
    <w:rsid w:val="00F22114"/>
    <w:rsid w:val="00F3525F"/>
    <w:rsid w:val="00F352EE"/>
    <w:rsid w:val="00F361F8"/>
    <w:rsid w:val="00F36E38"/>
    <w:rsid w:val="00F37D6C"/>
    <w:rsid w:val="00F42363"/>
    <w:rsid w:val="00F44F97"/>
    <w:rsid w:val="00F45568"/>
    <w:rsid w:val="00F45C7B"/>
    <w:rsid w:val="00F47588"/>
    <w:rsid w:val="00F50F98"/>
    <w:rsid w:val="00F611E7"/>
    <w:rsid w:val="00F63499"/>
    <w:rsid w:val="00F7112F"/>
    <w:rsid w:val="00F727DF"/>
    <w:rsid w:val="00F74063"/>
    <w:rsid w:val="00F91A5B"/>
    <w:rsid w:val="00F95347"/>
    <w:rsid w:val="00F95C6C"/>
    <w:rsid w:val="00FA1BB2"/>
    <w:rsid w:val="00FB1DDE"/>
    <w:rsid w:val="00FB2017"/>
    <w:rsid w:val="00FB3075"/>
    <w:rsid w:val="00FB78C8"/>
    <w:rsid w:val="00FC0B5B"/>
    <w:rsid w:val="00FC3836"/>
    <w:rsid w:val="00FC3D0A"/>
    <w:rsid w:val="00FC4501"/>
    <w:rsid w:val="00FC4730"/>
    <w:rsid w:val="00FC5D0E"/>
    <w:rsid w:val="00FC791F"/>
    <w:rsid w:val="00FD074B"/>
    <w:rsid w:val="00FD1E3F"/>
    <w:rsid w:val="00FD214D"/>
    <w:rsid w:val="00FD23BD"/>
    <w:rsid w:val="00FD748A"/>
    <w:rsid w:val="00FE17C1"/>
    <w:rsid w:val="00FE1838"/>
    <w:rsid w:val="00FE7D7E"/>
    <w:rsid w:val="00FF157E"/>
    <w:rsid w:val="00FF27B1"/>
    <w:rsid w:val="00FF73F3"/>
    <w:rsid w:val="00FF7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rsid w:val="00EC55C2"/>
    <w:pPr>
      <w:spacing w:after="120" w:line="36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rsid w:val="00EC55C2"/>
    <w:pPr>
      <w:spacing w:after="120" w:line="36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0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My%20Templates\Pap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t\Desktop\Consumer%20confidence%20index\VN%20Consumer%20confidence%20index.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D:\NFSC\Data%20t&#7893;ng%20h&#7907;p\Data%20khu%20v&#7921;c%20h&#7897;%20gia%20&#273;&#236;nh\T&#7893;ng%20k&#7871;t%20&#273;i&#7873;u%20tra%20h&#7897;%20gia%20&#273;&#236;nh%20update%20&#273;&#7871;n%20ng&#224;y%2007.10.2014.xlsx" TargetMode="External"/><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oleObject" Target="file:///D:\NFSC\Data%20t&#7893;ng%20h&#7907;p\Data%20khu%20v&#7921;c%20h&#7897;%20gia%20&#273;&#236;nh\T&#7893;ng%20k&#7871;t%20&#273;i&#7873;u%20tra%20h&#7897;%20gia%20&#273;&#236;nh%20update%20&#273;&#7871;n%20ng&#224;y%2007.10.2014.xlsx" TargetMode="External"/><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Nh&#243;m%20ch&#7881;%20ti&#234;u%20CPI%20update%2008.14\T&#237;nh%20to&#225;n%20l&#7841;m%20ph&#225;t%20c&#417;%20b&#7843;n.xlsx"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ownloads\SOLIEU15.07.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D:\Chuyen%20de%20chuyen%20mon\Chuy&#234;n%20&#273;&#7873;%20ph&#226;n%20r&#227;%20t&#259;ng%20tr&#432;&#7903;ng\g_2015%20ngay%2027.07.2015.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Chuyen%20de%20chuyen%20mon\Chuy&#234;n%20&#273;&#7873;%20t&#259;ng%20tr&#432;&#7903;ng\g_2015%20ngay%2024.6.15.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IIP%20c&#244;ng%20nghi&#7879;p%20ch&#7871;%20bi&#7871;n%20ch&#7871;%20t&#7841;o.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So%20lieu\S&#7889;%20li&#7879;u%20ph&#7909;c%20v&#7909;%20vi&#7871;t%20b&#225;o%20c&#225;o%20th&#432;&#7901;ng%20xuy&#234;n\so%20lieu%20vi%20mo%20theo%20thang.xlsx"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oleObject" Target="file:///E:\B&#225;o%20c&#225;o%209T\data%209t%20n&#259;m%202014\Ch&#7881;%20s&#7889;%20qu&#253;%20to&#224;n%20ng&#224;nh%20Q1.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B&#225;o%20c&#225;o%209T\data%209t%20n&#259;m%202014\Ch&#7881;%20s&#7889;%20qu&#253;%20to&#224;n%20ng&#224;nh%20Q1.20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so%20lieu%20vi%20mo%20theo%20tha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111972384774864"/>
          <c:y val="7.2361851629532931E-2"/>
          <c:w val="0.77574762298681943"/>
          <c:h val="0.75408381149882042"/>
        </c:manualLayout>
      </c:layout>
      <c:lineChart>
        <c:grouping val="standard"/>
        <c:ser>
          <c:idx val="0"/>
          <c:order val="0"/>
          <c:tx>
            <c:strRef>
              <c:f>Sheet1!$B$1</c:f>
              <c:strCache>
                <c:ptCount val="1"/>
                <c:pt idx="0">
                  <c:v>4009.69</c:v>
                </c:pt>
              </c:strCache>
            </c:strRef>
          </c:tx>
          <c:spPr>
            <a:ln w="22225"/>
          </c:spPr>
          <c:marker>
            <c:symbol val="none"/>
          </c:marker>
          <c:cat>
            <c:numRef>
              <c:f>Sheet1!$A$2:$A$135</c:f>
              <c:numCache>
                <c:formatCode>d\-mmm\-yy</c:formatCode>
                <c:ptCount val="134"/>
                <c:pt idx="0">
                  <c:v>42206</c:v>
                </c:pt>
                <c:pt idx="1">
                  <c:v>42205</c:v>
                </c:pt>
                <c:pt idx="2">
                  <c:v>42202</c:v>
                </c:pt>
                <c:pt idx="3">
                  <c:v>42201</c:v>
                </c:pt>
                <c:pt idx="4">
                  <c:v>42200</c:v>
                </c:pt>
                <c:pt idx="5">
                  <c:v>42199</c:v>
                </c:pt>
                <c:pt idx="6">
                  <c:v>42198</c:v>
                </c:pt>
                <c:pt idx="7">
                  <c:v>42195</c:v>
                </c:pt>
                <c:pt idx="8">
                  <c:v>42194</c:v>
                </c:pt>
                <c:pt idx="9">
                  <c:v>42193</c:v>
                </c:pt>
                <c:pt idx="10">
                  <c:v>42192</c:v>
                </c:pt>
                <c:pt idx="11">
                  <c:v>42191</c:v>
                </c:pt>
                <c:pt idx="12">
                  <c:v>42188</c:v>
                </c:pt>
                <c:pt idx="13">
                  <c:v>42187</c:v>
                </c:pt>
                <c:pt idx="14">
                  <c:v>42186</c:v>
                </c:pt>
                <c:pt idx="15">
                  <c:v>42185</c:v>
                </c:pt>
                <c:pt idx="16">
                  <c:v>42184</c:v>
                </c:pt>
                <c:pt idx="17">
                  <c:v>42181</c:v>
                </c:pt>
                <c:pt idx="18">
                  <c:v>42180</c:v>
                </c:pt>
                <c:pt idx="19">
                  <c:v>42179</c:v>
                </c:pt>
                <c:pt idx="20">
                  <c:v>42178</c:v>
                </c:pt>
                <c:pt idx="21">
                  <c:v>42174</c:v>
                </c:pt>
                <c:pt idx="22">
                  <c:v>42173</c:v>
                </c:pt>
                <c:pt idx="23">
                  <c:v>42172</c:v>
                </c:pt>
                <c:pt idx="24">
                  <c:v>42171</c:v>
                </c:pt>
                <c:pt idx="25">
                  <c:v>42170</c:v>
                </c:pt>
                <c:pt idx="26">
                  <c:v>42167</c:v>
                </c:pt>
                <c:pt idx="27">
                  <c:v>42166</c:v>
                </c:pt>
                <c:pt idx="28">
                  <c:v>42165</c:v>
                </c:pt>
                <c:pt idx="29">
                  <c:v>42164</c:v>
                </c:pt>
                <c:pt idx="30">
                  <c:v>42163</c:v>
                </c:pt>
                <c:pt idx="31">
                  <c:v>42160</c:v>
                </c:pt>
                <c:pt idx="32">
                  <c:v>42159</c:v>
                </c:pt>
                <c:pt idx="33">
                  <c:v>42158</c:v>
                </c:pt>
                <c:pt idx="34">
                  <c:v>42157</c:v>
                </c:pt>
                <c:pt idx="35">
                  <c:v>42156</c:v>
                </c:pt>
                <c:pt idx="36">
                  <c:v>42153</c:v>
                </c:pt>
                <c:pt idx="37">
                  <c:v>42152</c:v>
                </c:pt>
                <c:pt idx="38">
                  <c:v>42151</c:v>
                </c:pt>
                <c:pt idx="39">
                  <c:v>42150</c:v>
                </c:pt>
                <c:pt idx="40">
                  <c:v>42149</c:v>
                </c:pt>
                <c:pt idx="41">
                  <c:v>42146</c:v>
                </c:pt>
                <c:pt idx="42">
                  <c:v>42145</c:v>
                </c:pt>
                <c:pt idx="43">
                  <c:v>42144</c:v>
                </c:pt>
                <c:pt idx="44">
                  <c:v>42143</c:v>
                </c:pt>
                <c:pt idx="45">
                  <c:v>42142</c:v>
                </c:pt>
                <c:pt idx="46">
                  <c:v>42139</c:v>
                </c:pt>
                <c:pt idx="47">
                  <c:v>42138</c:v>
                </c:pt>
                <c:pt idx="48">
                  <c:v>42137</c:v>
                </c:pt>
                <c:pt idx="49">
                  <c:v>42136</c:v>
                </c:pt>
                <c:pt idx="50">
                  <c:v>42135</c:v>
                </c:pt>
                <c:pt idx="51">
                  <c:v>42132</c:v>
                </c:pt>
                <c:pt idx="52">
                  <c:v>42131</c:v>
                </c:pt>
                <c:pt idx="53">
                  <c:v>42130</c:v>
                </c:pt>
                <c:pt idx="54">
                  <c:v>42129</c:v>
                </c:pt>
                <c:pt idx="55">
                  <c:v>42128</c:v>
                </c:pt>
                <c:pt idx="56">
                  <c:v>42124</c:v>
                </c:pt>
                <c:pt idx="57">
                  <c:v>42123</c:v>
                </c:pt>
                <c:pt idx="58">
                  <c:v>42122</c:v>
                </c:pt>
                <c:pt idx="59">
                  <c:v>42121</c:v>
                </c:pt>
                <c:pt idx="60">
                  <c:v>42118</c:v>
                </c:pt>
                <c:pt idx="61">
                  <c:v>42117</c:v>
                </c:pt>
                <c:pt idx="62">
                  <c:v>42116</c:v>
                </c:pt>
                <c:pt idx="63">
                  <c:v>42115</c:v>
                </c:pt>
                <c:pt idx="64">
                  <c:v>42114</c:v>
                </c:pt>
                <c:pt idx="65">
                  <c:v>42111</c:v>
                </c:pt>
                <c:pt idx="66">
                  <c:v>42110</c:v>
                </c:pt>
                <c:pt idx="67">
                  <c:v>42109</c:v>
                </c:pt>
                <c:pt idx="68">
                  <c:v>42108</c:v>
                </c:pt>
                <c:pt idx="69">
                  <c:v>42107</c:v>
                </c:pt>
                <c:pt idx="70">
                  <c:v>42104</c:v>
                </c:pt>
                <c:pt idx="71">
                  <c:v>42103</c:v>
                </c:pt>
                <c:pt idx="72">
                  <c:v>42102</c:v>
                </c:pt>
                <c:pt idx="73">
                  <c:v>42101</c:v>
                </c:pt>
                <c:pt idx="74">
                  <c:v>42097</c:v>
                </c:pt>
                <c:pt idx="75">
                  <c:v>42096</c:v>
                </c:pt>
                <c:pt idx="76">
                  <c:v>42095</c:v>
                </c:pt>
                <c:pt idx="77">
                  <c:v>42094</c:v>
                </c:pt>
                <c:pt idx="78">
                  <c:v>42093</c:v>
                </c:pt>
                <c:pt idx="79">
                  <c:v>42090</c:v>
                </c:pt>
                <c:pt idx="80">
                  <c:v>42089</c:v>
                </c:pt>
                <c:pt idx="81">
                  <c:v>42088</c:v>
                </c:pt>
                <c:pt idx="82">
                  <c:v>42087</c:v>
                </c:pt>
                <c:pt idx="83">
                  <c:v>42086</c:v>
                </c:pt>
                <c:pt idx="84">
                  <c:v>42083</c:v>
                </c:pt>
                <c:pt idx="85">
                  <c:v>42082</c:v>
                </c:pt>
                <c:pt idx="86">
                  <c:v>42081</c:v>
                </c:pt>
                <c:pt idx="87">
                  <c:v>42080</c:v>
                </c:pt>
                <c:pt idx="88">
                  <c:v>42079</c:v>
                </c:pt>
                <c:pt idx="89">
                  <c:v>42076</c:v>
                </c:pt>
                <c:pt idx="90">
                  <c:v>42075</c:v>
                </c:pt>
                <c:pt idx="91">
                  <c:v>42074</c:v>
                </c:pt>
                <c:pt idx="92">
                  <c:v>42073</c:v>
                </c:pt>
                <c:pt idx="93">
                  <c:v>42072</c:v>
                </c:pt>
                <c:pt idx="94">
                  <c:v>42069</c:v>
                </c:pt>
                <c:pt idx="95">
                  <c:v>42068</c:v>
                </c:pt>
                <c:pt idx="96">
                  <c:v>42067</c:v>
                </c:pt>
                <c:pt idx="97">
                  <c:v>42066</c:v>
                </c:pt>
                <c:pt idx="98">
                  <c:v>42065</c:v>
                </c:pt>
                <c:pt idx="99">
                  <c:v>42062</c:v>
                </c:pt>
                <c:pt idx="100">
                  <c:v>42061</c:v>
                </c:pt>
                <c:pt idx="101">
                  <c:v>42060</c:v>
                </c:pt>
                <c:pt idx="102">
                  <c:v>42052</c:v>
                </c:pt>
                <c:pt idx="103">
                  <c:v>42051</c:v>
                </c:pt>
                <c:pt idx="104">
                  <c:v>42048</c:v>
                </c:pt>
                <c:pt idx="105">
                  <c:v>42047</c:v>
                </c:pt>
                <c:pt idx="106">
                  <c:v>42046</c:v>
                </c:pt>
                <c:pt idx="107">
                  <c:v>42045</c:v>
                </c:pt>
                <c:pt idx="108">
                  <c:v>42044</c:v>
                </c:pt>
                <c:pt idx="109">
                  <c:v>42041</c:v>
                </c:pt>
                <c:pt idx="110">
                  <c:v>42040</c:v>
                </c:pt>
                <c:pt idx="111">
                  <c:v>42039</c:v>
                </c:pt>
                <c:pt idx="112">
                  <c:v>42038</c:v>
                </c:pt>
                <c:pt idx="113">
                  <c:v>42037</c:v>
                </c:pt>
                <c:pt idx="114">
                  <c:v>42034</c:v>
                </c:pt>
                <c:pt idx="115">
                  <c:v>42033</c:v>
                </c:pt>
                <c:pt idx="116">
                  <c:v>42032</c:v>
                </c:pt>
                <c:pt idx="117">
                  <c:v>42031</c:v>
                </c:pt>
                <c:pt idx="118">
                  <c:v>42030</c:v>
                </c:pt>
                <c:pt idx="119">
                  <c:v>42027</c:v>
                </c:pt>
                <c:pt idx="120">
                  <c:v>42026</c:v>
                </c:pt>
                <c:pt idx="121">
                  <c:v>42025</c:v>
                </c:pt>
                <c:pt idx="122">
                  <c:v>42024</c:v>
                </c:pt>
                <c:pt idx="123">
                  <c:v>42023</c:v>
                </c:pt>
                <c:pt idx="124">
                  <c:v>42020</c:v>
                </c:pt>
                <c:pt idx="125">
                  <c:v>42019</c:v>
                </c:pt>
                <c:pt idx="126">
                  <c:v>42018</c:v>
                </c:pt>
                <c:pt idx="127">
                  <c:v>42017</c:v>
                </c:pt>
                <c:pt idx="128">
                  <c:v>42016</c:v>
                </c:pt>
                <c:pt idx="129">
                  <c:v>42013</c:v>
                </c:pt>
                <c:pt idx="130">
                  <c:v>42012</c:v>
                </c:pt>
                <c:pt idx="131">
                  <c:v>42011</c:v>
                </c:pt>
                <c:pt idx="132">
                  <c:v>42010</c:v>
                </c:pt>
                <c:pt idx="133">
                  <c:v>42009</c:v>
                </c:pt>
              </c:numCache>
            </c:numRef>
          </c:cat>
          <c:val>
            <c:numRef>
              <c:f>Sheet1!$B$2:$B$135</c:f>
              <c:numCache>
                <c:formatCode>General</c:formatCode>
                <c:ptCount val="134"/>
                <c:pt idx="0">
                  <c:v>4017.67</c:v>
                </c:pt>
                <c:pt idx="1">
                  <c:v>3993.44</c:v>
                </c:pt>
                <c:pt idx="2">
                  <c:v>3957.3500000000022</c:v>
                </c:pt>
                <c:pt idx="3">
                  <c:v>3823.18</c:v>
                </c:pt>
                <c:pt idx="4">
                  <c:v>3805.7</c:v>
                </c:pt>
                <c:pt idx="5">
                  <c:v>3924.4900000000002</c:v>
                </c:pt>
                <c:pt idx="6">
                  <c:v>3970.3900000000012</c:v>
                </c:pt>
                <c:pt idx="7">
                  <c:v>3877.8</c:v>
                </c:pt>
                <c:pt idx="8">
                  <c:v>3709.3300000000022</c:v>
                </c:pt>
                <c:pt idx="9">
                  <c:v>3507.19</c:v>
                </c:pt>
                <c:pt idx="10">
                  <c:v>3727.12</c:v>
                </c:pt>
                <c:pt idx="11">
                  <c:v>3775.9100000000012</c:v>
                </c:pt>
                <c:pt idx="12">
                  <c:v>3686.92</c:v>
                </c:pt>
                <c:pt idx="13">
                  <c:v>3912.77</c:v>
                </c:pt>
                <c:pt idx="14">
                  <c:v>4053.7</c:v>
                </c:pt>
                <c:pt idx="15">
                  <c:v>4277.22</c:v>
                </c:pt>
                <c:pt idx="16">
                  <c:v>4053.03</c:v>
                </c:pt>
                <c:pt idx="17">
                  <c:v>4192.87</c:v>
                </c:pt>
                <c:pt idx="18">
                  <c:v>4527.78</c:v>
                </c:pt>
                <c:pt idx="19">
                  <c:v>4690.1500000000024</c:v>
                </c:pt>
                <c:pt idx="20">
                  <c:v>4576.49</c:v>
                </c:pt>
                <c:pt idx="21">
                  <c:v>4478.3600000000024</c:v>
                </c:pt>
                <c:pt idx="22">
                  <c:v>4785.3600000000024</c:v>
                </c:pt>
                <c:pt idx="23">
                  <c:v>4967.9000000000005</c:v>
                </c:pt>
                <c:pt idx="24">
                  <c:v>4887.43</c:v>
                </c:pt>
                <c:pt idx="25">
                  <c:v>5062.99</c:v>
                </c:pt>
                <c:pt idx="26">
                  <c:v>5166.3500000000004</c:v>
                </c:pt>
                <c:pt idx="27">
                  <c:v>5121.59</c:v>
                </c:pt>
                <c:pt idx="28">
                  <c:v>5106.04</c:v>
                </c:pt>
                <c:pt idx="29">
                  <c:v>5113.53</c:v>
                </c:pt>
                <c:pt idx="30">
                  <c:v>5131.88</c:v>
                </c:pt>
                <c:pt idx="31">
                  <c:v>5023.1000000000004</c:v>
                </c:pt>
                <c:pt idx="32">
                  <c:v>4947.1000000000004</c:v>
                </c:pt>
                <c:pt idx="33">
                  <c:v>4909.9800000000005</c:v>
                </c:pt>
                <c:pt idx="34">
                  <c:v>4910.53</c:v>
                </c:pt>
                <c:pt idx="35">
                  <c:v>4828.74</c:v>
                </c:pt>
                <c:pt idx="36">
                  <c:v>4611.74</c:v>
                </c:pt>
                <c:pt idx="37">
                  <c:v>4620.2700000000013</c:v>
                </c:pt>
                <c:pt idx="38">
                  <c:v>4941.71</c:v>
                </c:pt>
                <c:pt idx="39">
                  <c:v>4910.9000000000005</c:v>
                </c:pt>
                <c:pt idx="40">
                  <c:v>4813.8</c:v>
                </c:pt>
                <c:pt idx="41">
                  <c:v>4657.6000000000004</c:v>
                </c:pt>
                <c:pt idx="42">
                  <c:v>4529.42</c:v>
                </c:pt>
                <c:pt idx="43">
                  <c:v>4446.29</c:v>
                </c:pt>
                <c:pt idx="44">
                  <c:v>4417.55</c:v>
                </c:pt>
                <c:pt idx="45">
                  <c:v>4283.49</c:v>
                </c:pt>
                <c:pt idx="46">
                  <c:v>4308.6900000000014</c:v>
                </c:pt>
                <c:pt idx="47">
                  <c:v>4378.3100000000004</c:v>
                </c:pt>
                <c:pt idx="48">
                  <c:v>4375.76</c:v>
                </c:pt>
                <c:pt idx="49">
                  <c:v>4401.22</c:v>
                </c:pt>
                <c:pt idx="50">
                  <c:v>4333.58</c:v>
                </c:pt>
                <c:pt idx="51">
                  <c:v>4205.92</c:v>
                </c:pt>
                <c:pt idx="52">
                  <c:v>4112.21</c:v>
                </c:pt>
                <c:pt idx="53">
                  <c:v>4229.2700000000013</c:v>
                </c:pt>
                <c:pt idx="54">
                  <c:v>4298.71</c:v>
                </c:pt>
                <c:pt idx="55">
                  <c:v>4480.46</c:v>
                </c:pt>
                <c:pt idx="56">
                  <c:v>4441.6600000000044</c:v>
                </c:pt>
                <c:pt idx="57">
                  <c:v>4476.6200000000044</c:v>
                </c:pt>
                <c:pt idx="58">
                  <c:v>4476.21</c:v>
                </c:pt>
                <c:pt idx="59">
                  <c:v>4527.4000000000005</c:v>
                </c:pt>
                <c:pt idx="60">
                  <c:v>4393.6900000000014</c:v>
                </c:pt>
                <c:pt idx="61">
                  <c:v>4414.51</c:v>
                </c:pt>
                <c:pt idx="62">
                  <c:v>4398.49</c:v>
                </c:pt>
                <c:pt idx="63">
                  <c:v>4293.6200000000044</c:v>
                </c:pt>
                <c:pt idx="64">
                  <c:v>4217.08</c:v>
                </c:pt>
                <c:pt idx="65">
                  <c:v>4287.3</c:v>
                </c:pt>
                <c:pt idx="66">
                  <c:v>4194.8200000000024</c:v>
                </c:pt>
                <c:pt idx="67">
                  <c:v>4084.16</c:v>
                </c:pt>
                <c:pt idx="68">
                  <c:v>4135.57</c:v>
                </c:pt>
                <c:pt idx="69">
                  <c:v>4121.71</c:v>
                </c:pt>
                <c:pt idx="70">
                  <c:v>4034.3100000000022</c:v>
                </c:pt>
                <c:pt idx="71">
                  <c:v>3957.53</c:v>
                </c:pt>
                <c:pt idx="72">
                  <c:v>3994.8100000000022</c:v>
                </c:pt>
                <c:pt idx="73">
                  <c:v>3961.38</c:v>
                </c:pt>
                <c:pt idx="74">
                  <c:v>3863.9300000000012</c:v>
                </c:pt>
                <c:pt idx="75">
                  <c:v>3825.7799999999997</c:v>
                </c:pt>
                <c:pt idx="76">
                  <c:v>3810.29</c:v>
                </c:pt>
                <c:pt idx="77">
                  <c:v>3747.9</c:v>
                </c:pt>
                <c:pt idx="78">
                  <c:v>3786.57</c:v>
                </c:pt>
                <c:pt idx="79">
                  <c:v>3691.1</c:v>
                </c:pt>
                <c:pt idx="80">
                  <c:v>3682.1</c:v>
                </c:pt>
                <c:pt idx="81">
                  <c:v>3660.73</c:v>
                </c:pt>
                <c:pt idx="82">
                  <c:v>3691.4100000000012</c:v>
                </c:pt>
                <c:pt idx="83">
                  <c:v>3687.73</c:v>
                </c:pt>
                <c:pt idx="84">
                  <c:v>3617.32</c:v>
                </c:pt>
                <c:pt idx="85">
                  <c:v>3582.27</c:v>
                </c:pt>
                <c:pt idx="86">
                  <c:v>3577.3</c:v>
                </c:pt>
                <c:pt idx="87">
                  <c:v>3502.8500000000022</c:v>
                </c:pt>
                <c:pt idx="88">
                  <c:v>3449.3</c:v>
                </c:pt>
                <c:pt idx="89">
                  <c:v>3372.9100000000012</c:v>
                </c:pt>
                <c:pt idx="90">
                  <c:v>3349.32</c:v>
                </c:pt>
                <c:pt idx="91">
                  <c:v>3290.9</c:v>
                </c:pt>
                <c:pt idx="92">
                  <c:v>3286.07</c:v>
                </c:pt>
                <c:pt idx="93">
                  <c:v>3302.4100000000012</c:v>
                </c:pt>
                <c:pt idx="94">
                  <c:v>3241.19</c:v>
                </c:pt>
                <c:pt idx="95">
                  <c:v>3248.48</c:v>
                </c:pt>
                <c:pt idx="96">
                  <c:v>3279.53</c:v>
                </c:pt>
                <c:pt idx="97">
                  <c:v>3263.05</c:v>
                </c:pt>
                <c:pt idx="98">
                  <c:v>3336.2799999999997</c:v>
                </c:pt>
                <c:pt idx="99">
                  <c:v>3310.3</c:v>
                </c:pt>
                <c:pt idx="100">
                  <c:v>3298.36</c:v>
                </c:pt>
                <c:pt idx="101">
                  <c:v>3228.84</c:v>
                </c:pt>
                <c:pt idx="102">
                  <c:v>3246.9100000000012</c:v>
                </c:pt>
                <c:pt idx="103">
                  <c:v>3222.36</c:v>
                </c:pt>
                <c:pt idx="104">
                  <c:v>3203.8300000000022</c:v>
                </c:pt>
                <c:pt idx="105">
                  <c:v>3173.42</c:v>
                </c:pt>
                <c:pt idx="106">
                  <c:v>3157.7</c:v>
                </c:pt>
                <c:pt idx="107">
                  <c:v>3141.59</c:v>
                </c:pt>
                <c:pt idx="108">
                  <c:v>3095.12</c:v>
                </c:pt>
                <c:pt idx="109">
                  <c:v>3075.9100000000012</c:v>
                </c:pt>
                <c:pt idx="110">
                  <c:v>3136.53</c:v>
                </c:pt>
                <c:pt idx="111">
                  <c:v>3174.13</c:v>
                </c:pt>
                <c:pt idx="112">
                  <c:v>3204.9100000000012</c:v>
                </c:pt>
                <c:pt idx="113">
                  <c:v>3128.3</c:v>
                </c:pt>
                <c:pt idx="114">
                  <c:v>3210.36</c:v>
                </c:pt>
                <c:pt idx="115">
                  <c:v>3262.3</c:v>
                </c:pt>
                <c:pt idx="116">
                  <c:v>3305.74</c:v>
                </c:pt>
                <c:pt idx="117">
                  <c:v>3352.96</c:v>
                </c:pt>
                <c:pt idx="118">
                  <c:v>3383.18</c:v>
                </c:pt>
                <c:pt idx="119">
                  <c:v>3351.7599999999998</c:v>
                </c:pt>
                <c:pt idx="120">
                  <c:v>3343.34</c:v>
                </c:pt>
                <c:pt idx="121">
                  <c:v>3323.61</c:v>
                </c:pt>
                <c:pt idx="122">
                  <c:v>3173.05</c:v>
                </c:pt>
                <c:pt idx="123">
                  <c:v>3116.3500000000022</c:v>
                </c:pt>
                <c:pt idx="124">
                  <c:v>3376.4900000000002</c:v>
                </c:pt>
                <c:pt idx="125">
                  <c:v>3336.4500000000012</c:v>
                </c:pt>
                <c:pt idx="126">
                  <c:v>3222.44</c:v>
                </c:pt>
                <c:pt idx="127">
                  <c:v>3235.3</c:v>
                </c:pt>
                <c:pt idx="128">
                  <c:v>3229.32</c:v>
                </c:pt>
                <c:pt idx="129">
                  <c:v>3285.4100000000012</c:v>
                </c:pt>
                <c:pt idx="130">
                  <c:v>3293.46</c:v>
                </c:pt>
                <c:pt idx="131">
                  <c:v>3373.9500000000012</c:v>
                </c:pt>
                <c:pt idx="132">
                  <c:v>3351.4500000000012</c:v>
                </c:pt>
                <c:pt idx="133">
                  <c:v>3350.52</c:v>
                </c:pt>
              </c:numCache>
            </c:numRef>
          </c:val>
        </c:ser>
        <c:marker val="1"/>
        <c:axId val="88432640"/>
        <c:axId val="88434176"/>
      </c:lineChart>
      <c:dateAx>
        <c:axId val="88432640"/>
        <c:scaling>
          <c:orientation val="minMax"/>
        </c:scaling>
        <c:axPos val="b"/>
        <c:numFmt formatCode="m/yy" sourceLinked="0"/>
        <c:tickLblPos val="nextTo"/>
        <c:crossAx val="88434176"/>
        <c:crosses val="autoZero"/>
        <c:auto val="1"/>
        <c:lblOffset val="100"/>
        <c:baseTimeUnit val="days"/>
      </c:dateAx>
      <c:valAx>
        <c:axId val="88434176"/>
        <c:scaling>
          <c:orientation val="minMax"/>
          <c:max val="5200"/>
          <c:min val="3000"/>
        </c:scaling>
        <c:axPos val="l"/>
        <c:majorGridlines>
          <c:spPr>
            <a:ln>
              <a:prstDash val="sysDot"/>
            </a:ln>
          </c:spPr>
        </c:majorGridlines>
        <c:numFmt formatCode="General" sourceLinked="1"/>
        <c:tickLblPos val="nextTo"/>
        <c:crossAx val="88432640"/>
        <c:crosses val="autoZero"/>
        <c:crossBetween val="between"/>
        <c:majorUnit val="500"/>
      </c:valAx>
    </c:plotArea>
    <c:plotVisOnly val="1"/>
    <c:dispBlanksAs val="gap"/>
  </c:chart>
  <c:spPr>
    <a:ln>
      <a:noFill/>
    </a:ln>
  </c:spPr>
  <c:txPr>
    <a:bodyPr/>
    <a:lstStyle/>
    <a:p>
      <a:pPr>
        <a:defRPr sz="800" b="1">
          <a:latin typeface="Times New Roman" pitchFamily="18" charset="0"/>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034482758620804"/>
          <c:y val="0.10062893081761012"/>
          <c:w val="0.8078578892371997"/>
          <c:h val="0.61738774051270351"/>
        </c:manualLayout>
      </c:layout>
      <c:barChart>
        <c:barDir val="col"/>
        <c:grouping val="clustered"/>
        <c:ser>
          <c:idx val="0"/>
          <c:order val="0"/>
          <c:cat>
            <c:strRef>
              <c:f>Sheet1!$B$2:$T$2</c:f>
              <c:strCache>
                <c:ptCount val="19"/>
                <c:pt idx="0">
                  <c:v>T1/14</c:v>
                </c:pt>
                <c:pt idx="1">
                  <c:v>T2/14</c:v>
                </c:pt>
                <c:pt idx="2">
                  <c:v>T3/14</c:v>
                </c:pt>
                <c:pt idx="3">
                  <c:v>T4/14</c:v>
                </c:pt>
                <c:pt idx="4">
                  <c:v>T5/14</c:v>
                </c:pt>
                <c:pt idx="5">
                  <c:v>T6/14</c:v>
                </c:pt>
                <c:pt idx="6">
                  <c:v>T7/14</c:v>
                </c:pt>
                <c:pt idx="7">
                  <c:v>T8/14</c:v>
                </c:pt>
                <c:pt idx="8">
                  <c:v>T9/14</c:v>
                </c:pt>
                <c:pt idx="9">
                  <c:v>T10/14</c:v>
                </c:pt>
                <c:pt idx="10">
                  <c:v>T11/14</c:v>
                </c:pt>
                <c:pt idx="11">
                  <c:v>T12/14</c:v>
                </c:pt>
                <c:pt idx="12">
                  <c:v>T1/15</c:v>
                </c:pt>
                <c:pt idx="13">
                  <c:v>T2/15</c:v>
                </c:pt>
                <c:pt idx="14">
                  <c:v>T3/15</c:v>
                </c:pt>
                <c:pt idx="15">
                  <c:v>T4/15</c:v>
                </c:pt>
                <c:pt idx="16">
                  <c:v>T5/15</c:v>
                </c:pt>
                <c:pt idx="17">
                  <c:v>T6/15</c:v>
                </c:pt>
                <c:pt idx="18">
                  <c:v>T7/15</c:v>
                </c:pt>
              </c:strCache>
            </c:strRef>
          </c:cat>
          <c:val>
            <c:numRef>
              <c:f>Sheet1!$B$3:$T$3</c:f>
              <c:numCache>
                <c:formatCode>General</c:formatCode>
                <c:ptCount val="19"/>
                <c:pt idx="0">
                  <c:v>126.5</c:v>
                </c:pt>
                <c:pt idx="1">
                  <c:v>136.4</c:v>
                </c:pt>
                <c:pt idx="2">
                  <c:v>136.4</c:v>
                </c:pt>
                <c:pt idx="3">
                  <c:v>129.6</c:v>
                </c:pt>
                <c:pt idx="4">
                  <c:v>123.3</c:v>
                </c:pt>
                <c:pt idx="5">
                  <c:v>131</c:v>
                </c:pt>
                <c:pt idx="6">
                  <c:v>134.1</c:v>
                </c:pt>
                <c:pt idx="7">
                  <c:v>135.5</c:v>
                </c:pt>
                <c:pt idx="8">
                  <c:v>135</c:v>
                </c:pt>
                <c:pt idx="9">
                  <c:v>134.69999999999999</c:v>
                </c:pt>
                <c:pt idx="10">
                  <c:v>140.9</c:v>
                </c:pt>
                <c:pt idx="11">
                  <c:v>135.6</c:v>
                </c:pt>
                <c:pt idx="12">
                  <c:v>135.4</c:v>
                </c:pt>
                <c:pt idx="13">
                  <c:v>142.30000000000001</c:v>
                </c:pt>
                <c:pt idx="14">
                  <c:v>141.5</c:v>
                </c:pt>
                <c:pt idx="15">
                  <c:v>140.19999999999999</c:v>
                </c:pt>
                <c:pt idx="16">
                  <c:v>140.19999999999999</c:v>
                </c:pt>
                <c:pt idx="17">
                  <c:v>143.1</c:v>
                </c:pt>
                <c:pt idx="18">
                  <c:v>138.6</c:v>
                </c:pt>
              </c:numCache>
            </c:numRef>
          </c:val>
        </c:ser>
        <c:axId val="81871232"/>
        <c:axId val="81872768"/>
      </c:barChart>
      <c:catAx>
        <c:axId val="81871232"/>
        <c:scaling>
          <c:orientation val="minMax"/>
        </c:scaling>
        <c:axPos val="b"/>
        <c:tickLblPos val="nextTo"/>
        <c:crossAx val="81872768"/>
        <c:crosses val="autoZero"/>
        <c:auto val="1"/>
        <c:lblAlgn val="ctr"/>
        <c:lblOffset val="100"/>
      </c:catAx>
      <c:valAx>
        <c:axId val="81872768"/>
        <c:scaling>
          <c:orientation val="minMax"/>
        </c:scaling>
        <c:axPos val="l"/>
        <c:majorGridlines>
          <c:spPr>
            <a:ln>
              <a:prstDash val="sysDot"/>
            </a:ln>
          </c:spPr>
        </c:majorGridlines>
        <c:numFmt formatCode="General" sourceLinked="1"/>
        <c:tickLblPos val="nextTo"/>
        <c:crossAx val="81871232"/>
        <c:crosses val="autoZero"/>
        <c:crossBetween val="between"/>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73855205139529"/>
          <c:y val="0.13943994450350131"/>
          <c:w val="0.85858457077664219"/>
          <c:h val="0.6968431559912821"/>
        </c:manualLayout>
      </c:layout>
      <c:barChart>
        <c:barDir val="col"/>
        <c:grouping val="clustered"/>
        <c:ser>
          <c:idx val="0"/>
          <c:order val="0"/>
          <c:tx>
            <c:strRef>
              <c:f>'Tổng hợp các kì'!$A$33</c:f>
              <c:strCache>
                <c:ptCount val="1"/>
                <c:pt idx="0">
                  <c:v>Đầu tư sản xuất, cung cấp dịch vụ</c:v>
                </c:pt>
              </c:strCache>
            </c:strRef>
          </c:tx>
          <c:dLbls>
            <c:numFmt formatCode="0.0%" sourceLinked="0"/>
            <c:showVal val="1"/>
          </c:dLbls>
          <c:cat>
            <c:strRef>
              <c:f>'Tổng hợp các kì'!$B$32:$G$32</c:f>
              <c:strCache>
                <c:ptCount val="6"/>
                <c:pt idx="0">
                  <c:v>Q1/2012</c:v>
                </c:pt>
                <c:pt idx="1">
                  <c:v>Q3/2012</c:v>
                </c:pt>
                <c:pt idx="2">
                  <c:v>Q3/2013</c:v>
                </c:pt>
                <c:pt idx="3">
                  <c:v>Q1/2014</c:v>
                </c:pt>
                <c:pt idx="4">
                  <c:v>Q3/2014</c:v>
                </c:pt>
                <c:pt idx="5">
                  <c:v>Q2/2015</c:v>
                </c:pt>
              </c:strCache>
            </c:strRef>
          </c:cat>
          <c:val>
            <c:numRef>
              <c:f>'Tổng hợp các kì'!$B$33:$G$33</c:f>
              <c:numCache>
                <c:formatCode>0.00%</c:formatCode>
                <c:ptCount val="6"/>
                <c:pt idx="0">
                  <c:v>0.49047619047619051</c:v>
                </c:pt>
                <c:pt idx="1">
                  <c:v>0.36000000000000032</c:v>
                </c:pt>
                <c:pt idx="2">
                  <c:v>9.0000000000000024E-2</c:v>
                </c:pt>
                <c:pt idx="3">
                  <c:v>0.24114285714285721</c:v>
                </c:pt>
                <c:pt idx="4">
                  <c:v>0.32565284178187648</c:v>
                </c:pt>
                <c:pt idx="5">
                  <c:v>0.30821917808219185</c:v>
                </c:pt>
              </c:numCache>
            </c:numRef>
          </c:val>
        </c:ser>
        <c:axId val="85972096"/>
        <c:axId val="85973632"/>
      </c:barChart>
      <c:catAx>
        <c:axId val="85972096"/>
        <c:scaling>
          <c:orientation val="minMax"/>
        </c:scaling>
        <c:axPos val="b"/>
        <c:majorTickMark val="none"/>
        <c:tickLblPos val="nextTo"/>
        <c:crossAx val="85973632"/>
        <c:crosses val="autoZero"/>
        <c:auto val="1"/>
        <c:lblAlgn val="ctr"/>
        <c:lblOffset val="100"/>
      </c:catAx>
      <c:valAx>
        <c:axId val="85973632"/>
        <c:scaling>
          <c:orientation val="minMax"/>
          <c:max val="0.5"/>
        </c:scaling>
        <c:axPos val="l"/>
        <c:majorGridlines>
          <c:spPr>
            <a:ln>
              <a:prstDash val="sysDot"/>
            </a:ln>
          </c:spPr>
        </c:majorGridlines>
        <c:numFmt formatCode="0%" sourceLinked="0"/>
        <c:majorTickMark val="none"/>
        <c:tickLblPos val="nextTo"/>
        <c:spPr>
          <a:ln w="9525">
            <a:noFill/>
          </a:ln>
        </c:spPr>
        <c:crossAx val="85972096"/>
        <c:crosses val="autoZero"/>
        <c:crossBetween val="between"/>
        <c:majorUnit val="0.1"/>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44663167104318"/>
          <c:y val="0.11286161394774107"/>
          <c:w val="0.82999781277341556"/>
          <c:h val="0.7188219430248125"/>
        </c:manualLayout>
      </c:layout>
      <c:barChart>
        <c:barDir val="col"/>
        <c:grouping val="clustered"/>
        <c:ser>
          <c:idx val="0"/>
          <c:order val="0"/>
          <c:tx>
            <c:strRef>
              <c:f>'Tổng hợp các kì'!$A$4</c:f>
              <c:strCache>
                <c:ptCount val="1"/>
                <c:pt idx="0">
                  <c:v>Gửi tiết kiệm</c:v>
                </c:pt>
              </c:strCache>
            </c:strRef>
          </c:tx>
          <c:dLbls>
            <c:numFmt formatCode="0.0%" sourceLinked="0"/>
            <c:txPr>
              <a:bodyPr/>
              <a:lstStyle/>
              <a:p>
                <a:pPr>
                  <a:defRPr sz="800"/>
                </a:pPr>
                <a:endParaRPr lang="en-US"/>
              </a:p>
            </c:txPr>
            <c:showVal val="1"/>
          </c:dLbls>
          <c:cat>
            <c:strRef>
              <c:f>'Tổng hợp các kì'!$B$3:$G$3</c:f>
              <c:strCache>
                <c:ptCount val="6"/>
                <c:pt idx="0">
                  <c:v>Q1/2012</c:v>
                </c:pt>
                <c:pt idx="1">
                  <c:v>Q3/2012</c:v>
                </c:pt>
                <c:pt idx="2">
                  <c:v>Q3/2013</c:v>
                </c:pt>
                <c:pt idx="3">
                  <c:v>Q1/2014</c:v>
                </c:pt>
                <c:pt idx="4">
                  <c:v>Q3/2014</c:v>
                </c:pt>
                <c:pt idx="5">
                  <c:v>Q2/2015</c:v>
                </c:pt>
              </c:strCache>
            </c:strRef>
          </c:cat>
          <c:val>
            <c:numRef>
              <c:f>'Tổng hợp các kì'!$B$4:$G$4</c:f>
              <c:numCache>
                <c:formatCode>0.00%</c:formatCode>
                <c:ptCount val="6"/>
                <c:pt idx="0">
                  <c:v>0.57142857142857606</c:v>
                </c:pt>
                <c:pt idx="1">
                  <c:v>0.60000000000000064</c:v>
                </c:pt>
                <c:pt idx="2" formatCode="0%">
                  <c:v>0.62000000000000344</c:v>
                </c:pt>
                <c:pt idx="3">
                  <c:v>0.67085714285714282</c:v>
                </c:pt>
                <c:pt idx="4">
                  <c:v>0.62980030721966263</c:v>
                </c:pt>
                <c:pt idx="5" formatCode="0%">
                  <c:v>0.51369863013699046</c:v>
                </c:pt>
              </c:numCache>
            </c:numRef>
          </c:val>
        </c:ser>
        <c:axId val="86620032"/>
        <c:axId val="86621568"/>
      </c:barChart>
      <c:catAx>
        <c:axId val="86620032"/>
        <c:scaling>
          <c:orientation val="minMax"/>
        </c:scaling>
        <c:axPos val="b"/>
        <c:majorTickMark val="none"/>
        <c:tickLblPos val="nextTo"/>
        <c:crossAx val="86621568"/>
        <c:crosses val="autoZero"/>
        <c:auto val="1"/>
        <c:lblAlgn val="ctr"/>
        <c:lblOffset val="100"/>
      </c:catAx>
      <c:valAx>
        <c:axId val="86621568"/>
        <c:scaling>
          <c:orientation val="minMax"/>
          <c:max val="0.70000000000000062"/>
          <c:min val="0.30000000000000032"/>
        </c:scaling>
        <c:axPos val="l"/>
        <c:majorGridlines>
          <c:spPr>
            <a:ln>
              <a:prstDash val="sysDot"/>
            </a:ln>
          </c:spPr>
        </c:majorGridlines>
        <c:numFmt formatCode="0%" sourceLinked="0"/>
        <c:majorTickMark val="none"/>
        <c:tickLblPos val="nextTo"/>
        <c:spPr>
          <a:ln w="9525">
            <a:noFill/>
          </a:ln>
        </c:spPr>
        <c:crossAx val="86620032"/>
        <c:crosses val="autoZero"/>
        <c:crossBetween val="between"/>
        <c:majorUnit val="0.1"/>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704155169706349E-2"/>
          <c:y val="4.4367283950617564E-2"/>
          <c:w val="0.87399121183570172"/>
          <c:h val="0.51899013925342663"/>
        </c:manualLayout>
      </c:layout>
      <c:lineChart>
        <c:grouping val="standard"/>
        <c:ser>
          <c:idx val="0"/>
          <c:order val="0"/>
          <c:tx>
            <c:v>Lạm phát</c:v>
          </c:tx>
          <c:spPr>
            <a:ln>
              <a:solidFill>
                <a:srgbClr val="C00000"/>
              </a:solidFill>
            </a:ln>
          </c:spPr>
          <c:marker>
            <c:spPr>
              <a:solidFill>
                <a:srgbClr val="C00000"/>
              </a:solidFill>
            </c:spPr>
          </c:marker>
          <c:cat>
            <c:strRef>
              <c:f>'Biểu đồ so cùng kỳ'!$T$4:$AF$4</c:f>
              <c:strCache>
                <c:ptCount val="13"/>
                <c:pt idx="0">
                  <c:v>T7/14</c:v>
                </c:pt>
                <c:pt idx="1">
                  <c:v>T8/14</c:v>
                </c:pt>
                <c:pt idx="2">
                  <c:v>T9/14</c:v>
                </c:pt>
                <c:pt idx="3">
                  <c:v>T10/14</c:v>
                </c:pt>
                <c:pt idx="4">
                  <c:v>T11/14</c:v>
                </c:pt>
                <c:pt idx="5">
                  <c:v>T12/14</c:v>
                </c:pt>
                <c:pt idx="6">
                  <c:v>T1/15</c:v>
                </c:pt>
                <c:pt idx="7">
                  <c:v>T2/15</c:v>
                </c:pt>
                <c:pt idx="8">
                  <c:v>T3/15</c:v>
                </c:pt>
                <c:pt idx="9">
                  <c:v>T4/15</c:v>
                </c:pt>
                <c:pt idx="10">
                  <c:v>T5/15</c:v>
                </c:pt>
                <c:pt idx="11">
                  <c:v>T6/15</c:v>
                </c:pt>
                <c:pt idx="12">
                  <c:v>T7/15</c:v>
                </c:pt>
              </c:strCache>
            </c:strRef>
          </c:cat>
          <c:val>
            <c:numRef>
              <c:f>'Biểu đồ so cùng kỳ'!$T$5:$AF$5</c:f>
              <c:numCache>
                <c:formatCode>0.00</c:formatCode>
                <c:ptCount val="13"/>
                <c:pt idx="0">
                  <c:v>4.9400000000000004</c:v>
                </c:pt>
                <c:pt idx="1">
                  <c:v>4.3100000000000005</c:v>
                </c:pt>
                <c:pt idx="2">
                  <c:v>3.6200000000000045</c:v>
                </c:pt>
                <c:pt idx="3">
                  <c:v>3.2300000000000035</c:v>
                </c:pt>
                <c:pt idx="4">
                  <c:v>2.5999999999999943</c:v>
                </c:pt>
                <c:pt idx="5">
                  <c:v>1.8400000000000041</c:v>
                </c:pt>
                <c:pt idx="6">
                  <c:v>0.93999999999999773</c:v>
                </c:pt>
                <c:pt idx="7">
                  <c:v>0.34000000000000341</c:v>
                </c:pt>
                <c:pt idx="8">
                  <c:v>0.93000000000000682</c:v>
                </c:pt>
                <c:pt idx="9">
                  <c:v>0.98999999999999488</c:v>
                </c:pt>
                <c:pt idx="10">
                  <c:v>0.95000000000000295</c:v>
                </c:pt>
                <c:pt idx="11">
                  <c:v>1</c:v>
                </c:pt>
                <c:pt idx="12">
                  <c:v>0.85999999999999965</c:v>
                </c:pt>
              </c:numCache>
            </c:numRef>
          </c:val>
        </c:ser>
        <c:ser>
          <c:idx val="4"/>
          <c:order val="1"/>
          <c:tx>
            <c:v>Lạm phát cơ bản</c:v>
          </c:tx>
          <c:cat>
            <c:strRef>
              <c:f>'Biểu đồ so cùng kỳ'!$T$4:$AF$4</c:f>
              <c:strCache>
                <c:ptCount val="13"/>
                <c:pt idx="0">
                  <c:v>T7/14</c:v>
                </c:pt>
                <c:pt idx="1">
                  <c:v>T8/14</c:v>
                </c:pt>
                <c:pt idx="2">
                  <c:v>T9/14</c:v>
                </c:pt>
                <c:pt idx="3">
                  <c:v>T10/14</c:v>
                </c:pt>
                <c:pt idx="4">
                  <c:v>T11/14</c:v>
                </c:pt>
                <c:pt idx="5">
                  <c:v>T12/14</c:v>
                </c:pt>
                <c:pt idx="6">
                  <c:v>T1/15</c:v>
                </c:pt>
                <c:pt idx="7">
                  <c:v>T2/15</c:v>
                </c:pt>
                <c:pt idx="8">
                  <c:v>T3/15</c:v>
                </c:pt>
                <c:pt idx="9">
                  <c:v>T4/15</c:v>
                </c:pt>
                <c:pt idx="10">
                  <c:v>T5/15</c:v>
                </c:pt>
                <c:pt idx="11">
                  <c:v>T6/15</c:v>
                </c:pt>
                <c:pt idx="12">
                  <c:v>T7/15</c:v>
                </c:pt>
              </c:strCache>
            </c:strRef>
          </c:cat>
          <c:val>
            <c:numRef>
              <c:f>'Biểu đồ so cùng kỳ'!$T$9:$AF$9</c:f>
              <c:numCache>
                <c:formatCode>0.00</c:formatCode>
                <c:ptCount val="13"/>
                <c:pt idx="0">
                  <c:v>3.608080781415</c:v>
                </c:pt>
                <c:pt idx="1">
                  <c:v>3.3440285110876449</c:v>
                </c:pt>
                <c:pt idx="2">
                  <c:v>3.1240100316789916</c:v>
                </c:pt>
                <c:pt idx="3">
                  <c:v>3.0904382259767771</c:v>
                </c:pt>
                <c:pt idx="4">
                  <c:v>2.9752587117212008</c:v>
                </c:pt>
                <c:pt idx="5">
                  <c:v>2.9005147835269431</c:v>
                </c:pt>
                <c:pt idx="6">
                  <c:v>2.5801293558606102</c:v>
                </c:pt>
                <c:pt idx="7">
                  <c:v>2.3081731784582962</c:v>
                </c:pt>
                <c:pt idx="8">
                  <c:v>2.4822676874340197</c:v>
                </c:pt>
                <c:pt idx="9">
                  <c:v>2.419046990496279</c:v>
                </c:pt>
                <c:pt idx="10">
                  <c:v>2.4063727560718142</c:v>
                </c:pt>
                <c:pt idx="11">
                  <c:v>2.3668136219640927</c:v>
                </c:pt>
                <c:pt idx="12">
                  <c:v>2.4163727560718073</c:v>
                </c:pt>
              </c:numCache>
            </c:numRef>
          </c:val>
        </c:ser>
        <c:marker val="1"/>
        <c:axId val="86921216"/>
        <c:axId val="86922752"/>
      </c:lineChart>
      <c:catAx>
        <c:axId val="86921216"/>
        <c:scaling>
          <c:orientation val="minMax"/>
        </c:scaling>
        <c:axPos val="b"/>
        <c:tickLblPos val="nextTo"/>
        <c:crossAx val="86922752"/>
        <c:crosses val="autoZero"/>
        <c:auto val="1"/>
        <c:lblAlgn val="ctr"/>
        <c:lblOffset val="100"/>
      </c:catAx>
      <c:valAx>
        <c:axId val="86922752"/>
        <c:scaling>
          <c:orientation val="minMax"/>
        </c:scaling>
        <c:axPos val="l"/>
        <c:majorGridlines>
          <c:spPr>
            <a:ln>
              <a:prstDash val="sysDot"/>
            </a:ln>
          </c:spPr>
        </c:majorGridlines>
        <c:numFmt formatCode="0" sourceLinked="0"/>
        <c:tickLblPos val="nextTo"/>
        <c:crossAx val="86921216"/>
        <c:crosses val="autoZero"/>
        <c:crossBetween val="between"/>
      </c:valAx>
    </c:plotArea>
    <c:legend>
      <c:legendPos val="b"/>
      <c:layout>
        <c:manualLayout>
          <c:xMode val="edge"/>
          <c:yMode val="edge"/>
          <c:x val="0.12680620366405018"/>
          <c:y val="0.82859510182754936"/>
          <c:w val="0.74638722220658194"/>
          <c:h val="0.14246971298726599"/>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2"/>
          <c:order val="0"/>
          <c:tx>
            <c:strRef>
              <c:f>'Tổng hợp theo tháng'!$E$4</c:f>
              <c:strCache>
                <c:ptCount val="1"/>
                <c:pt idx="0">
                  <c:v>Tỷ lệ trúng thầu/ gọi thầu</c:v>
                </c:pt>
              </c:strCache>
            </c:strRef>
          </c:tx>
          <c:dLbls>
            <c:dLbl>
              <c:idx val="0"/>
              <c:layout>
                <c:manualLayout>
                  <c:x val="-6.9444444444444503E-2"/>
                  <c:y val="-3.0919866013914016E-2"/>
                </c:manualLayout>
              </c:layout>
              <c:showVal val="1"/>
            </c:dLbl>
            <c:showVal val="1"/>
          </c:dLbls>
          <c:val>
            <c:numRef>
              <c:f>'Tổng hợp theo tháng'!$E$5:$E$11</c:f>
              <c:numCache>
                <c:formatCode>0.0</c:formatCode>
                <c:ptCount val="7"/>
                <c:pt idx="0">
                  <c:v>91.578947368420629</c:v>
                </c:pt>
                <c:pt idx="1">
                  <c:v>91.897280000000023</c:v>
                </c:pt>
                <c:pt idx="2">
                  <c:v>51.207213114754111</c:v>
                </c:pt>
                <c:pt idx="3">
                  <c:v>41.577512195122011</c:v>
                </c:pt>
                <c:pt idx="4">
                  <c:v>18.421621621621622</c:v>
                </c:pt>
                <c:pt idx="5">
                  <c:v>43.418823529411746</c:v>
                </c:pt>
                <c:pt idx="6">
                  <c:v>63.832823529411755</c:v>
                </c:pt>
              </c:numCache>
            </c:numRef>
          </c:val>
        </c:ser>
        <c:marker val="1"/>
        <c:axId val="86610304"/>
        <c:axId val="86611840"/>
      </c:lineChart>
      <c:catAx>
        <c:axId val="86610304"/>
        <c:scaling>
          <c:orientation val="minMax"/>
        </c:scaling>
        <c:axPos val="b"/>
        <c:tickLblPos val="nextTo"/>
        <c:crossAx val="86611840"/>
        <c:crosses val="autoZero"/>
        <c:auto val="1"/>
        <c:lblAlgn val="ctr"/>
        <c:lblOffset val="100"/>
      </c:catAx>
      <c:valAx>
        <c:axId val="86611840"/>
        <c:scaling>
          <c:orientation val="minMax"/>
        </c:scaling>
        <c:axPos val="l"/>
        <c:majorGridlines>
          <c:spPr>
            <a:ln>
              <a:prstDash val="sysDot"/>
            </a:ln>
          </c:spPr>
        </c:majorGridlines>
        <c:numFmt formatCode="0" sourceLinked="0"/>
        <c:tickLblPos val="nextTo"/>
        <c:crossAx val="86610304"/>
        <c:crosses val="autoZero"/>
        <c:crossBetween val="between"/>
        <c:majorUnit val="20"/>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v>So với dự toán</c:v>
          </c:tx>
          <c:spPr>
            <a:solidFill>
              <a:schemeClr val="tx2">
                <a:lumMod val="40000"/>
                <a:lumOff val="60000"/>
              </a:schemeClr>
            </a:solidFill>
            <a:ln>
              <a:solidFill>
                <a:schemeClr val="tx2">
                  <a:lumMod val="75000"/>
                </a:schemeClr>
              </a:solidFill>
            </a:ln>
          </c:spPr>
          <c:dLbls>
            <c:showVal val="1"/>
          </c:dLbls>
          <c:cat>
            <c:strRef>
              <c:f>'[SOLIEU15.07.xlsx]Thu chi NSNN 15 ngày'!$HR$27:$HR$30</c:f>
              <c:strCache>
                <c:ptCount val="4"/>
                <c:pt idx="0">
                  <c:v>Tổng thu NSNN</c:v>
                </c:pt>
                <c:pt idx="1">
                  <c:v>Thu nội địa (73.14%)</c:v>
                </c:pt>
                <c:pt idx="2">
                  <c:v>Thu từ dầu thô (8.14%)</c:v>
                </c:pt>
                <c:pt idx="3">
                  <c:v>Thu từ XNK (18.26%)</c:v>
                </c:pt>
              </c:strCache>
            </c:strRef>
          </c:cat>
          <c:val>
            <c:numRef>
              <c:f>'[SOLIEU15.07.xlsx]Thu chi NSNN 15 ngày'!$HS$27:$HS$30</c:f>
              <c:numCache>
                <c:formatCode>General</c:formatCode>
                <c:ptCount val="4"/>
                <c:pt idx="0">
                  <c:v>52.3</c:v>
                </c:pt>
                <c:pt idx="1">
                  <c:v>54.6</c:v>
                </c:pt>
                <c:pt idx="2">
                  <c:v>41.7</c:v>
                </c:pt>
                <c:pt idx="3">
                  <c:v>49.7</c:v>
                </c:pt>
              </c:numCache>
            </c:numRef>
          </c:val>
        </c:ser>
        <c:ser>
          <c:idx val="1"/>
          <c:order val="1"/>
          <c:tx>
            <c:v>So với cùng kỳ 2014</c:v>
          </c:tx>
          <c:spPr>
            <a:solidFill>
              <a:schemeClr val="tx2">
                <a:lumMod val="60000"/>
                <a:lumOff val="40000"/>
              </a:schemeClr>
            </a:solidFill>
            <a:ln>
              <a:solidFill>
                <a:schemeClr val="tx2">
                  <a:lumMod val="75000"/>
                </a:schemeClr>
              </a:solidFill>
            </a:ln>
          </c:spPr>
          <c:dLbls>
            <c:dLbl>
              <c:idx val="3"/>
              <c:layout>
                <c:manualLayout>
                  <c:x val="6.5895943559863808E-3"/>
                  <c:y val="8.6325139182741054E-2"/>
                </c:manualLayout>
              </c:layout>
              <c:showVal val="1"/>
            </c:dLbl>
            <c:showVal val="1"/>
          </c:dLbls>
          <c:cat>
            <c:strRef>
              <c:f>'[SOLIEU15.07.xlsx]Thu chi NSNN 15 ngày'!$HR$27:$HR$30</c:f>
              <c:strCache>
                <c:ptCount val="4"/>
                <c:pt idx="0">
                  <c:v>Tổng thu NSNN</c:v>
                </c:pt>
                <c:pt idx="1">
                  <c:v>Thu nội địa (73.14%)</c:v>
                </c:pt>
                <c:pt idx="2">
                  <c:v>Thu từ dầu thô (8.14%)</c:v>
                </c:pt>
                <c:pt idx="3">
                  <c:v>Thu từ XNK (18.26%)</c:v>
                </c:pt>
              </c:strCache>
            </c:strRef>
          </c:cat>
          <c:val>
            <c:numRef>
              <c:f>'[SOLIEU15.07.xlsx]Thu chi NSNN 15 ngày'!$HT$27:$HT$30</c:f>
              <c:numCache>
                <c:formatCode>0.00</c:formatCode>
                <c:ptCount val="4"/>
                <c:pt idx="0">
                  <c:v>6.1499999999999995</c:v>
                </c:pt>
                <c:pt idx="1">
                  <c:v>15.06</c:v>
                </c:pt>
                <c:pt idx="2">
                  <c:v>-32.54</c:v>
                </c:pt>
                <c:pt idx="3">
                  <c:v>-2.0000000000000011E-2</c:v>
                </c:pt>
              </c:numCache>
            </c:numRef>
          </c:val>
        </c:ser>
        <c:gapWidth val="75"/>
        <c:overlap val="-3"/>
        <c:axId val="86948096"/>
        <c:axId val="86773760"/>
      </c:barChart>
      <c:catAx>
        <c:axId val="86948096"/>
        <c:scaling>
          <c:orientation val="minMax"/>
        </c:scaling>
        <c:axPos val="b"/>
        <c:majorTickMark val="none"/>
        <c:tickLblPos val="nextTo"/>
        <c:crossAx val="86773760"/>
        <c:crosses val="autoZero"/>
        <c:auto val="1"/>
        <c:lblAlgn val="ctr"/>
        <c:lblOffset val="100"/>
      </c:catAx>
      <c:valAx>
        <c:axId val="86773760"/>
        <c:scaling>
          <c:orientation val="minMax"/>
        </c:scaling>
        <c:axPos val="l"/>
        <c:majorGridlines>
          <c:spPr>
            <a:ln>
              <a:prstDash val="sysDash"/>
            </a:ln>
          </c:spPr>
        </c:majorGridlines>
        <c:numFmt formatCode="General" sourceLinked="1"/>
        <c:majorTickMark val="none"/>
        <c:tickLblPos val="nextTo"/>
        <c:spPr>
          <a:noFill/>
          <a:ln>
            <a:noFill/>
            <a:prstDash val="sysDot"/>
          </a:ln>
        </c:spPr>
        <c:crossAx val="86948096"/>
        <c:crosses val="autoZero"/>
        <c:crossBetween val="between"/>
        <c:majorUnit val="20"/>
      </c:valAx>
    </c:plotArea>
    <c:legend>
      <c:legendPos val="b"/>
      <c:layout>
        <c:manualLayout>
          <c:xMode val="edge"/>
          <c:yMode val="edge"/>
          <c:x val="5.9076464306643747E-2"/>
          <c:y val="0.86403146612731863"/>
          <c:w val="0.8674143402253095"/>
          <c:h val="9.6692572307457758E-2"/>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'gia vang'!$B$1</c:f>
              <c:strCache>
                <c:ptCount val="1"/>
                <c:pt idx="0">
                  <c:v>1093.9</c:v>
                </c:pt>
              </c:strCache>
            </c:strRef>
          </c:tx>
          <c:spPr>
            <a:ln w="19050">
              <a:solidFill>
                <a:srgbClr val="0070C0"/>
              </a:solidFill>
            </a:ln>
          </c:spPr>
          <c:marker>
            <c:symbol val="none"/>
          </c:marker>
          <c:cat>
            <c:numRef>
              <c:f>'gia vang'!$A$2:$A$149</c:f>
              <c:numCache>
                <c:formatCode>d\-mmm\-yy</c:formatCode>
                <c:ptCount val="148"/>
                <c:pt idx="0">
                  <c:v>42206</c:v>
                </c:pt>
                <c:pt idx="1">
                  <c:v>42205</c:v>
                </c:pt>
                <c:pt idx="2">
                  <c:v>42202</c:v>
                </c:pt>
                <c:pt idx="3">
                  <c:v>42201</c:v>
                </c:pt>
                <c:pt idx="4">
                  <c:v>42200</c:v>
                </c:pt>
                <c:pt idx="5">
                  <c:v>42199</c:v>
                </c:pt>
                <c:pt idx="6">
                  <c:v>42198</c:v>
                </c:pt>
                <c:pt idx="7">
                  <c:v>42195</c:v>
                </c:pt>
                <c:pt idx="8">
                  <c:v>42194</c:v>
                </c:pt>
                <c:pt idx="9">
                  <c:v>42193</c:v>
                </c:pt>
                <c:pt idx="10">
                  <c:v>42192</c:v>
                </c:pt>
                <c:pt idx="11">
                  <c:v>42191</c:v>
                </c:pt>
                <c:pt idx="12">
                  <c:v>42188</c:v>
                </c:pt>
                <c:pt idx="13">
                  <c:v>42187</c:v>
                </c:pt>
                <c:pt idx="14">
                  <c:v>42186</c:v>
                </c:pt>
                <c:pt idx="15">
                  <c:v>42185</c:v>
                </c:pt>
                <c:pt idx="16">
                  <c:v>42184</c:v>
                </c:pt>
                <c:pt idx="17">
                  <c:v>42181</c:v>
                </c:pt>
                <c:pt idx="18">
                  <c:v>42180</c:v>
                </c:pt>
                <c:pt idx="19">
                  <c:v>42179</c:v>
                </c:pt>
                <c:pt idx="20">
                  <c:v>42178</c:v>
                </c:pt>
                <c:pt idx="21">
                  <c:v>42177</c:v>
                </c:pt>
                <c:pt idx="22">
                  <c:v>42174</c:v>
                </c:pt>
                <c:pt idx="23">
                  <c:v>42173</c:v>
                </c:pt>
                <c:pt idx="24">
                  <c:v>42172</c:v>
                </c:pt>
                <c:pt idx="25">
                  <c:v>42171</c:v>
                </c:pt>
                <c:pt idx="26">
                  <c:v>42170</c:v>
                </c:pt>
                <c:pt idx="27">
                  <c:v>42167</c:v>
                </c:pt>
                <c:pt idx="28">
                  <c:v>42166</c:v>
                </c:pt>
                <c:pt idx="29">
                  <c:v>42165</c:v>
                </c:pt>
                <c:pt idx="30">
                  <c:v>42164</c:v>
                </c:pt>
                <c:pt idx="31">
                  <c:v>42163</c:v>
                </c:pt>
                <c:pt idx="32">
                  <c:v>42160</c:v>
                </c:pt>
                <c:pt idx="33">
                  <c:v>42159</c:v>
                </c:pt>
                <c:pt idx="34">
                  <c:v>42158</c:v>
                </c:pt>
                <c:pt idx="35">
                  <c:v>42157</c:v>
                </c:pt>
                <c:pt idx="36">
                  <c:v>42156</c:v>
                </c:pt>
                <c:pt idx="37">
                  <c:v>42153</c:v>
                </c:pt>
                <c:pt idx="38">
                  <c:v>42152</c:v>
                </c:pt>
                <c:pt idx="39">
                  <c:v>42151</c:v>
                </c:pt>
                <c:pt idx="40">
                  <c:v>42150</c:v>
                </c:pt>
                <c:pt idx="41">
                  <c:v>42149</c:v>
                </c:pt>
                <c:pt idx="42">
                  <c:v>42148</c:v>
                </c:pt>
                <c:pt idx="43">
                  <c:v>42146</c:v>
                </c:pt>
                <c:pt idx="44">
                  <c:v>42145</c:v>
                </c:pt>
                <c:pt idx="45">
                  <c:v>42144</c:v>
                </c:pt>
                <c:pt idx="46">
                  <c:v>42143</c:v>
                </c:pt>
                <c:pt idx="47">
                  <c:v>42142</c:v>
                </c:pt>
                <c:pt idx="48">
                  <c:v>42139</c:v>
                </c:pt>
                <c:pt idx="49">
                  <c:v>42138</c:v>
                </c:pt>
                <c:pt idx="50">
                  <c:v>42137</c:v>
                </c:pt>
                <c:pt idx="51">
                  <c:v>42136</c:v>
                </c:pt>
                <c:pt idx="52">
                  <c:v>42135</c:v>
                </c:pt>
                <c:pt idx="53">
                  <c:v>42134</c:v>
                </c:pt>
                <c:pt idx="54">
                  <c:v>42132</c:v>
                </c:pt>
                <c:pt idx="55">
                  <c:v>42131</c:v>
                </c:pt>
                <c:pt idx="56">
                  <c:v>42130</c:v>
                </c:pt>
                <c:pt idx="57">
                  <c:v>42129</c:v>
                </c:pt>
                <c:pt idx="58">
                  <c:v>42128</c:v>
                </c:pt>
                <c:pt idx="59">
                  <c:v>42125</c:v>
                </c:pt>
                <c:pt idx="60">
                  <c:v>42124</c:v>
                </c:pt>
                <c:pt idx="61">
                  <c:v>42123</c:v>
                </c:pt>
                <c:pt idx="62">
                  <c:v>42122</c:v>
                </c:pt>
                <c:pt idx="63">
                  <c:v>42121</c:v>
                </c:pt>
                <c:pt idx="64">
                  <c:v>42118</c:v>
                </c:pt>
                <c:pt idx="65">
                  <c:v>42117</c:v>
                </c:pt>
                <c:pt idx="66">
                  <c:v>42116</c:v>
                </c:pt>
                <c:pt idx="67">
                  <c:v>42115</c:v>
                </c:pt>
                <c:pt idx="68">
                  <c:v>42114</c:v>
                </c:pt>
                <c:pt idx="69">
                  <c:v>42111</c:v>
                </c:pt>
                <c:pt idx="70">
                  <c:v>42110</c:v>
                </c:pt>
                <c:pt idx="71">
                  <c:v>42109</c:v>
                </c:pt>
                <c:pt idx="72">
                  <c:v>42108</c:v>
                </c:pt>
                <c:pt idx="73">
                  <c:v>42107</c:v>
                </c:pt>
                <c:pt idx="74">
                  <c:v>42104</c:v>
                </c:pt>
                <c:pt idx="75">
                  <c:v>42103</c:v>
                </c:pt>
                <c:pt idx="76">
                  <c:v>42102</c:v>
                </c:pt>
                <c:pt idx="77">
                  <c:v>42101</c:v>
                </c:pt>
                <c:pt idx="78">
                  <c:v>42100</c:v>
                </c:pt>
                <c:pt idx="79">
                  <c:v>42097</c:v>
                </c:pt>
                <c:pt idx="80">
                  <c:v>42096</c:v>
                </c:pt>
                <c:pt idx="81">
                  <c:v>42095</c:v>
                </c:pt>
                <c:pt idx="82">
                  <c:v>42094</c:v>
                </c:pt>
                <c:pt idx="83">
                  <c:v>42093</c:v>
                </c:pt>
                <c:pt idx="84">
                  <c:v>42090</c:v>
                </c:pt>
                <c:pt idx="85">
                  <c:v>42089</c:v>
                </c:pt>
                <c:pt idx="86">
                  <c:v>42088</c:v>
                </c:pt>
                <c:pt idx="87">
                  <c:v>42087</c:v>
                </c:pt>
                <c:pt idx="88">
                  <c:v>42086</c:v>
                </c:pt>
                <c:pt idx="89">
                  <c:v>42083</c:v>
                </c:pt>
                <c:pt idx="90">
                  <c:v>42082</c:v>
                </c:pt>
                <c:pt idx="91">
                  <c:v>42081</c:v>
                </c:pt>
                <c:pt idx="92">
                  <c:v>42080</c:v>
                </c:pt>
                <c:pt idx="93">
                  <c:v>42079</c:v>
                </c:pt>
                <c:pt idx="94">
                  <c:v>42076</c:v>
                </c:pt>
                <c:pt idx="95">
                  <c:v>42075</c:v>
                </c:pt>
                <c:pt idx="96">
                  <c:v>42074</c:v>
                </c:pt>
                <c:pt idx="97">
                  <c:v>42073</c:v>
                </c:pt>
                <c:pt idx="98">
                  <c:v>42072</c:v>
                </c:pt>
                <c:pt idx="99">
                  <c:v>42069</c:v>
                </c:pt>
                <c:pt idx="100">
                  <c:v>42068</c:v>
                </c:pt>
                <c:pt idx="101">
                  <c:v>42067</c:v>
                </c:pt>
                <c:pt idx="102">
                  <c:v>42066</c:v>
                </c:pt>
                <c:pt idx="103">
                  <c:v>42065</c:v>
                </c:pt>
                <c:pt idx="104">
                  <c:v>42062</c:v>
                </c:pt>
                <c:pt idx="105">
                  <c:v>42061</c:v>
                </c:pt>
                <c:pt idx="106">
                  <c:v>42060</c:v>
                </c:pt>
                <c:pt idx="107">
                  <c:v>42059</c:v>
                </c:pt>
                <c:pt idx="108">
                  <c:v>42058</c:v>
                </c:pt>
                <c:pt idx="109">
                  <c:v>42055</c:v>
                </c:pt>
                <c:pt idx="110">
                  <c:v>42054</c:v>
                </c:pt>
                <c:pt idx="111">
                  <c:v>42053</c:v>
                </c:pt>
                <c:pt idx="112">
                  <c:v>42052</c:v>
                </c:pt>
                <c:pt idx="113">
                  <c:v>42051</c:v>
                </c:pt>
                <c:pt idx="114">
                  <c:v>42050</c:v>
                </c:pt>
                <c:pt idx="115">
                  <c:v>42048</c:v>
                </c:pt>
                <c:pt idx="116">
                  <c:v>42047</c:v>
                </c:pt>
                <c:pt idx="117">
                  <c:v>42046</c:v>
                </c:pt>
                <c:pt idx="118">
                  <c:v>42045</c:v>
                </c:pt>
                <c:pt idx="119">
                  <c:v>42044</c:v>
                </c:pt>
                <c:pt idx="120">
                  <c:v>42041</c:v>
                </c:pt>
                <c:pt idx="121">
                  <c:v>42040</c:v>
                </c:pt>
                <c:pt idx="122">
                  <c:v>42039</c:v>
                </c:pt>
                <c:pt idx="123">
                  <c:v>42038</c:v>
                </c:pt>
                <c:pt idx="124">
                  <c:v>42037</c:v>
                </c:pt>
                <c:pt idx="125">
                  <c:v>42034</c:v>
                </c:pt>
                <c:pt idx="126">
                  <c:v>42033</c:v>
                </c:pt>
                <c:pt idx="127">
                  <c:v>42032</c:v>
                </c:pt>
                <c:pt idx="128">
                  <c:v>42031</c:v>
                </c:pt>
                <c:pt idx="129">
                  <c:v>42030</c:v>
                </c:pt>
                <c:pt idx="130">
                  <c:v>42027</c:v>
                </c:pt>
                <c:pt idx="131">
                  <c:v>42026</c:v>
                </c:pt>
                <c:pt idx="132">
                  <c:v>42025</c:v>
                </c:pt>
                <c:pt idx="133">
                  <c:v>42024</c:v>
                </c:pt>
                <c:pt idx="134">
                  <c:v>42023</c:v>
                </c:pt>
                <c:pt idx="135">
                  <c:v>42022</c:v>
                </c:pt>
                <c:pt idx="136">
                  <c:v>42020</c:v>
                </c:pt>
                <c:pt idx="137">
                  <c:v>42019</c:v>
                </c:pt>
                <c:pt idx="138">
                  <c:v>42018</c:v>
                </c:pt>
                <c:pt idx="139">
                  <c:v>42017</c:v>
                </c:pt>
                <c:pt idx="140">
                  <c:v>42016</c:v>
                </c:pt>
                <c:pt idx="141">
                  <c:v>42013</c:v>
                </c:pt>
                <c:pt idx="142">
                  <c:v>42012</c:v>
                </c:pt>
                <c:pt idx="143">
                  <c:v>42011</c:v>
                </c:pt>
                <c:pt idx="144">
                  <c:v>42010</c:v>
                </c:pt>
                <c:pt idx="145">
                  <c:v>42009</c:v>
                </c:pt>
                <c:pt idx="146">
                  <c:v>42006</c:v>
                </c:pt>
                <c:pt idx="147">
                  <c:v>42005</c:v>
                </c:pt>
              </c:numCache>
            </c:numRef>
          </c:cat>
          <c:val>
            <c:numRef>
              <c:f>'gia vang'!$B$2:$B$149</c:f>
              <c:numCache>
                <c:formatCode>General</c:formatCode>
                <c:ptCount val="148"/>
                <c:pt idx="0">
                  <c:v>1103.4000000000001</c:v>
                </c:pt>
                <c:pt idx="1">
                  <c:v>1106.7</c:v>
                </c:pt>
                <c:pt idx="2">
                  <c:v>1131.8</c:v>
                </c:pt>
                <c:pt idx="3">
                  <c:v>1143.8</c:v>
                </c:pt>
                <c:pt idx="4">
                  <c:v>1147.2</c:v>
                </c:pt>
                <c:pt idx="5">
                  <c:v>1153.3</c:v>
                </c:pt>
                <c:pt idx="6">
                  <c:v>1155.2</c:v>
                </c:pt>
                <c:pt idx="7">
                  <c:v>1157.7</c:v>
                </c:pt>
                <c:pt idx="8">
                  <c:v>1159</c:v>
                </c:pt>
                <c:pt idx="9">
                  <c:v>1163.3</c:v>
                </c:pt>
                <c:pt idx="10">
                  <c:v>1152.4000000000001</c:v>
                </c:pt>
                <c:pt idx="11">
                  <c:v>1172.9000000000001</c:v>
                </c:pt>
                <c:pt idx="12">
                  <c:v>1167.8</c:v>
                </c:pt>
                <c:pt idx="13">
                  <c:v>1163</c:v>
                </c:pt>
                <c:pt idx="14">
                  <c:v>1169</c:v>
                </c:pt>
                <c:pt idx="15">
                  <c:v>1171.5</c:v>
                </c:pt>
                <c:pt idx="16">
                  <c:v>1178.5</c:v>
                </c:pt>
                <c:pt idx="17">
                  <c:v>1172.9000000000001</c:v>
                </c:pt>
                <c:pt idx="18">
                  <c:v>1171.5</c:v>
                </c:pt>
                <c:pt idx="19">
                  <c:v>1172.5999999999999</c:v>
                </c:pt>
                <c:pt idx="20">
                  <c:v>1176.2</c:v>
                </c:pt>
                <c:pt idx="21">
                  <c:v>1183.7</c:v>
                </c:pt>
                <c:pt idx="22">
                  <c:v>1201.5</c:v>
                </c:pt>
                <c:pt idx="23">
                  <c:v>1201.5</c:v>
                </c:pt>
                <c:pt idx="24">
                  <c:v>1176.4000000000001</c:v>
                </c:pt>
                <c:pt idx="25">
                  <c:v>1180.5</c:v>
                </c:pt>
                <c:pt idx="26">
                  <c:v>1185.3</c:v>
                </c:pt>
                <c:pt idx="27">
                  <c:v>1178.8</c:v>
                </c:pt>
                <c:pt idx="28">
                  <c:v>1179.9000000000001</c:v>
                </c:pt>
                <c:pt idx="29">
                  <c:v>1186.0999999999999</c:v>
                </c:pt>
                <c:pt idx="30">
                  <c:v>1177.3</c:v>
                </c:pt>
                <c:pt idx="31">
                  <c:v>1173.2</c:v>
                </c:pt>
                <c:pt idx="32">
                  <c:v>1167.8</c:v>
                </c:pt>
                <c:pt idx="33">
                  <c:v>1174.9000000000001</c:v>
                </c:pt>
                <c:pt idx="34">
                  <c:v>1184.7</c:v>
                </c:pt>
                <c:pt idx="35">
                  <c:v>1194.0999999999999</c:v>
                </c:pt>
                <c:pt idx="36">
                  <c:v>1188.3</c:v>
                </c:pt>
                <c:pt idx="37">
                  <c:v>1189.4000000000001</c:v>
                </c:pt>
                <c:pt idx="38">
                  <c:v>1188.0999999999999</c:v>
                </c:pt>
                <c:pt idx="39">
                  <c:v>1186.5</c:v>
                </c:pt>
                <c:pt idx="40">
                  <c:v>1187.2</c:v>
                </c:pt>
                <c:pt idx="41">
                  <c:v>1207.4000000000001</c:v>
                </c:pt>
                <c:pt idx="42">
                  <c:v>1204.4000000000001</c:v>
                </c:pt>
                <c:pt idx="43">
                  <c:v>1204.3</c:v>
                </c:pt>
                <c:pt idx="44">
                  <c:v>1204.4000000000001</c:v>
                </c:pt>
                <c:pt idx="45">
                  <c:v>1208.9000000000001</c:v>
                </c:pt>
                <c:pt idx="46">
                  <c:v>1206.9000000000001</c:v>
                </c:pt>
                <c:pt idx="47">
                  <c:v>1227.8</c:v>
                </c:pt>
                <c:pt idx="48">
                  <c:v>1225.5</c:v>
                </c:pt>
                <c:pt idx="49">
                  <c:v>1225.4000000000001</c:v>
                </c:pt>
                <c:pt idx="50">
                  <c:v>1218.4000000000001</c:v>
                </c:pt>
                <c:pt idx="51">
                  <c:v>1192.5999999999999</c:v>
                </c:pt>
                <c:pt idx="52">
                  <c:v>1183.2</c:v>
                </c:pt>
                <c:pt idx="53">
                  <c:v>1189.2</c:v>
                </c:pt>
                <c:pt idx="54">
                  <c:v>1189.0999999999999</c:v>
                </c:pt>
                <c:pt idx="55">
                  <c:v>1182.4000000000001</c:v>
                </c:pt>
                <c:pt idx="56">
                  <c:v>1190.3</c:v>
                </c:pt>
                <c:pt idx="57">
                  <c:v>1193.2</c:v>
                </c:pt>
                <c:pt idx="58">
                  <c:v>1186.8</c:v>
                </c:pt>
                <c:pt idx="59">
                  <c:v>1174.5</c:v>
                </c:pt>
                <c:pt idx="60">
                  <c:v>1182.4000000000001</c:v>
                </c:pt>
                <c:pt idx="61">
                  <c:v>1209.8</c:v>
                </c:pt>
                <c:pt idx="62">
                  <c:v>1214</c:v>
                </c:pt>
                <c:pt idx="63">
                  <c:v>1203.3</c:v>
                </c:pt>
                <c:pt idx="64">
                  <c:v>1175.2</c:v>
                </c:pt>
                <c:pt idx="65">
                  <c:v>1194.4000000000001</c:v>
                </c:pt>
                <c:pt idx="66">
                  <c:v>1186.9000000000001</c:v>
                </c:pt>
                <c:pt idx="67">
                  <c:v>1202.9000000000001</c:v>
                </c:pt>
                <c:pt idx="68">
                  <c:v>1193.5</c:v>
                </c:pt>
                <c:pt idx="69">
                  <c:v>1202.9000000000001</c:v>
                </c:pt>
                <c:pt idx="70">
                  <c:v>1198</c:v>
                </c:pt>
                <c:pt idx="71">
                  <c:v>1201.5</c:v>
                </c:pt>
                <c:pt idx="72">
                  <c:v>1192.8</c:v>
                </c:pt>
                <c:pt idx="73">
                  <c:v>1199.3</c:v>
                </c:pt>
                <c:pt idx="74">
                  <c:v>1204.5999999999999</c:v>
                </c:pt>
                <c:pt idx="75">
                  <c:v>1193.5999999999999</c:v>
                </c:pt>
                <c:pt idx="76">
                  <c:v>1203.0999999999999</c:v>
                </c:pt>
                <c:pt idx="77">
                  <c:v>1210.5999999999999</c:v>
                </c:pt>
                <c:pt idx="78">
                  <c:v>1218.5999999999999</c:v>
                </c:pt>
                <c:pt idx="79">
                  <c:v>1200.9000000000001</c:v>
                </c:pt>
                <c:pt idx="80">
                  <c:v>1200.9000000000001</c:v>
                </c:pt>
                <c:pt idx="81">
                  <c:v>1208.0999999999999</c:v>
                </c:pt>
                <c:pt idx="82">
                  <c:v>1183.0999999999999</c:v>
                </c:pt>
                <c:pt idx="83">
                  <c:v>1184.8</c:v>
                </c:pt>
                <c:pt idx="84">
                  <c:v>1199.8</c:v>
                </c:pt>
                <c:pt idx="85">
                  <c:v>1205.0999999999999</c:v>
                </c:pt>
                <c:pt idx="86">
                  <c:v>1197.3</c:v>
                </c:pt>
                <c:pt idx="87">
                  <c:v>1191.7</c:v>
                </c:pt>
                <c:pt idx="88">
                  <c:v>1188</c:v>
                </c:pt>
                <c:pt idx="89">
                  <c:v>1184.8</c:v>
                </c:pt>
                <c:pt idx="90">
                  <c:v>1169.0999999999999</c:v>
                </c:pt>
                <c:pt idx="91">
                  <c:v>1151.4000000000001</c:v>
                </c:pt>
                <c:pt idx="92">
                  <c:v>1148.3</c:v>
                </c:pt>
                <c:pt idx="93">
                  <c:v>1153.3</c:v>
                </c:pt>
                <c:pt idx="94">
                  <c:v>1152.5999999999999</c:v>
                </c:pt>
                <c:pt idx="95">
                  <c:v>1152.0999999999999</c:v>
                </c:pt>
                <c:pt idx="96">
                  <c:v>1150.7</c:v>
                </c:pt>
                <c:pt idx="97">
                  <c:v>1160.0999999999999</c:v>
                </c:pt>
                <c:pt idx="98">
                  <c:v>1166.4000000000001</c:v>
                </c:pt>
                <c:pt idx="99">
                  <c:v>1164.0999999999999</c:v>
                </c:pt>
                <c:pt idx="100">
                  <c:v>1195.9000000000001</c:v>
                </c:pt>
                <c:pt idx="101">
                  <c:v>1200.5999999999999</c:v>
                </c:pt>
                <c:pt idx="102">
                  <c:v>1204</c:v>
                </c:pt>
                <c:pt idx="103">
                  <c:v>1207.7</c:v>
                </c:pt>
                <c:pt idx="104">
                  <c:v>1212.5999999999999</c:v>
                </c:pt>
                <c:pt idx="105">
                  <c:v>1209.5999999999999</c:v>
                </c:pt>
                <c:pt idx="106">
                  <c:v>1201</c:v>
                </c:pt>
                <c:pt idx="107">
                  <c:v>1196.9000000000001</c:v>
                </c:pt>
                <c:pt idx="108">
                  <c:v>1200.3</c:v>
                </c:pt>
                <c:pt idx="109">
                  <c:v>1204.4000000000001</c:v>
                </c:pt>
                <c:pt idx="110">
                  <c:v>1207.0999999999999</c:v>
                </c:pt>
                <c:pt idx="111">
                  <c:v>1199.7</c:v>
                </c:pt>
                <c:pt idx="112">
                  <c:v>1208.0999999999999</c:v>
                </c:pt>
                <c:pt idx="113">
                  <c:v>1231.7</c:v>
                </c:pt>
                <c:pt idx="114">
                  <c:v>1228.8</c:v>
                </c:pt>
                <c:pt idx="115">
                  <c:v>1226.5</c:v>
                </c:pt>
                <c:pt idx="116">
                  <c:v>1220.0999999999999</c:v>
                </c:pt>
                <c:pt idx="117">
                  <c:v>1219</c:v>
                </c:pt>
                <c:pt idx="118">
                  <c:v>1231.5999999999999</c:v>
                </c:pt>
                <c:pt idx="119">
                  <c:v>1240.8</c:v>
                </c:pt>
                <c:pt idx="120">
                  <c:v>1233.9000000000001</c:v>
                </c:pt>
                <c:pt idx="121">
                  <c:v>1262</c:v>
                </c:pt>
                <c:pt idx="122">
                  <c:v>1263.8</c:v>
                </c:pt>
                <c:pt idx="123">
                  <c:v>1259.7</c:v>
                </c:pt>
                <c:pt idx="124">
                  <c:v>1276.2</c:v>
                </c:pt>
                <c:pt idx="125">
                  <c:v>1278.5</c:v>
                </c:pt>
                <c:pt idx="126">
                  <c:v>1254.5999999999999</c:v>
                </c:pt>
                <c:pt idx="127">
                  <c:v>1285.9000000000001</c:v>
                </c:pt>
                <c:pt idx="128">
                  <c:v>1291.7</c:v>
                </c:pt>
                <c:pt idx="129">
                  <c:v>1279.4000000000001</c:v>
                </c:pt>
                <c:pt idx="130">
                  <c:v>1292.5999999999999</c:v>
                </c:pt>
                <c:pt idx="131">
                  <c:v>1300.7</c:v>
                </c:pt>
                <c:pt idx="132">
                  <c:v>1293.7</c:v>
                </c:pt>
                <c:pt idx="133">
                  <c:v>1294.2</c:v>
                </c:pt>
                <c:pt idx="134">
                  <c:v>1275.9000000000001</c:v>
                </c:pt>
                <c:pt idx="135">
                  <c:v>1279</c:v>
                </c:pt>
                <c:pt idx="136">
                  <c:v>1276.9000000000001</c:v>
                </c:pt>
                <c:pt idx="137">
                  <c:v>1264.7</c:v>
                </c:pt>
                <c:pt idx="138">
                  <c:v>1234.4000000000001</c:v>
                </c:pt>
                <c:pt idx="139">
                  <c:v>1234.3</c:v>
                </c:pt>
                <c:pt idx="140">
                  <c:v>1232.7</c:v>
                </c:pt>
                <c:pt idx="141">
                  <c:v>1216</c:v>
                </c:pt>
                <c:pt idx="142">
                  <c:v>1208.4000000000001</c:v>
                </c:pt>
                <c:pt idx="143">
                  <c:v>1210.5999999999999</c:v>
                </c:pt>
                <c:pt idx="144">
                  <c:v>1219.3</c:v>
                </c:pt>
                <c:pt idx="145">
                  <c:v>1203.9000000000001</c:v>
                </c:pt>
                <c:pt idx="146">
                  <c:v>1186</c:v>
                </c:pt>
                <c:pt idx="147">
                  <c:v>1186.8</c:v>
                </c:pt>
              </c:numCache>
            </c:numRef>
          </c:val>
        </c:ser>
        <c:marker val="1"/>
        <c:axId val="85930368"/>
        <c:axId val="85931904"/>
      </c:lineChart>
      <c:dateAx>
        <c:axId val="85930368"/>
        <c:scaling>
          <c:orientation val="minMax"/>
        </c:scaling>
        <c:axPos val="b"/>
        <c:numFmt formatCode="m/yy" sourceLinked="0"/>
        <c:tickLblPos val="nextTo"/>
        <c:txPr>
          <a:bodyPr/>
          <a:lstStyle/>
          <a:p>
            <a:pPr>
              <a:defRPr b="1"/>
            </a:pPr>
            <a:endParaRPr lang="en-US"/>
          </a:p>
        </c:txPr>
        <c:crossAx val="85931904"/>
        <c:crosses val="autoZero"/>
        <c:auto val="1"/>
        <c:lblOffset val="100"/>
        <c:baseTimeUnit val="days"/>
      </c:dateAx>
      <c:valAx>
        <c:axId val="85931904"/>
        <c:scaling>
          <c:orientation val="minMax"/>
          <c:max val="1300"/>
          <c:min val="1100"/>
        </c:scaling>
        <c:axPos val="l"/>
        <c:majorGridlines>
          <c:spPr>
            <a:ln>
              <a:prstDash val="sysDot"/>
            </a:ln>
          </c:spPr>
        </c:majorGridlines>
        <c:numFmt formatCode="General" sourceLinked="1"/>
        <c:tickLblPos val="nextTo"/>
        <c:txPr>
          <a:bodyPr/>
          <a:lstStyle/>
          <a:p>
            <a:pPr>
              <a:defRPr b="1"/>
            </a:pPr>
            <a:endParaRPr lang="en-US"/>
          </a:p>
        </c:txPr>
        <c:crossAx val="85930368"/>
        <c:crosses val="autoZero"/>
        <c:crossBetween val="between"/>
        <c:majorUnit val="50"/>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2320067672263972E-2"/>
          <c:y val="8.5637746813871263E-2"/>
          <c:w val="0.86166252938262156"/>
          <c:h val="0.48029167100883352"/>
        </c:manualLayout>
      </c:layout>
      <c:barChart>
        <c:barDir val="col"/>
        <c:grouping val="clustered"/>
        <c:ser>
          <c:idx val="0"/>
          <c:order val="0"/>
          <c:tx>
            <c:strRef>
              <c:f>Graph!$B$1</c:f>
              <c:strCache>
                <c:ptCount val="1"/>
                <c:pt idx="0">
                  <c:v>Tăng trưởng</c:v>
                </c:pt>
              </c:strCache>
            </c:strRef>
          </c:tx>
          <c:cat>
            <c:strRef>
              <c:f>Graph!$A$6:$A$21</c:f>
              <c:strCache>
                <c:ptCount val="16"/>
                <c:pt idx="0">
                  <c:v>2012Q1</c:v>
                </c:pt>
                <c:pt idx="1">
                  <c:v>2012Q2</c:v>
                </c:pt>
                <c:pt idx="2">
                  <c:v>2012Q3</c:v>
                </c:pt>
                <c:pt idx="3">
                  <c:v>2012Q4</c:v>
                </c:pt>
                <c:pt idx="4">
                  <c:v>2013Q1</c:v>
                </c:pt>
                <c:pt idx="5">
                  <c:v>2013Q2</c:v>
                </c:pt>
                <c:pt idx="6">
                  <c:v>2013Q3</c:v>
                </c:pt>
                <c:pt idx="7">
                  <c:v>2013Q4</c:v>
                </c:pt>
                <c:pt idx="8">
                  <c:v>2014Q1</c:v>
                </c:pt>
                <c:pt idx="9">
                  <c:v>2014Q2</c:v>
                </c:pt>
                <c:pt idx="10">
                  <c:v>2014Q3</c:v>
                </c:pt>
                <c:pt idx="11">
                  <c:v>2014Q4</c:v>
                </c:pt>
                <c:pt idx="12">
                  <c:v>2015Q1</c:v>
                </c:pt>
                <c:pt idx="13">
                  <c:v>2015Q2</c:v>
                </c:pt>
                <c:pt idx="14">
                  <c:v>2015Q3</c:v>
                </c:pt>
                <c:pt idx="15">
                  <c:v>2015Q4</c:v>
                </c:pt>
              </c:strCache>
            </c:strRef>
          </c:cat>
          <c:val>
            <c:numRef>
              <c:f>Graph!$B$6:$B$21</c:f>
              <c:numCache>
                <c:formatCode>0.00</c:formatCode>
                <c:ptCount val="16"/>
                <c:pt idx="0">
                  <c:v>4.75</c:v>
                </c:pt>
                <c:pt idx="1">
                  <c:v>5.08</c:v>
                </c:pt>
                <c:pt idx="2">
                  <c:v>5.39</c:v>
                </c:pt>
                <c:pt idx="3">
                  <c:v>5.57</c:v>
                </c:pt>
                <c:pt idx="4">
                  <c:v>4.76</c:v>
                </c:pt>
                <c:pt idx="5">
                  <c:v>5</c:v>
                </c:pt>
                <c:pt idx="6">
                  <c:v>5.54</c:v>
                </c:pt>
                <c:pt idx="7">
                  <c:v>6.04</c:v>
                </c:pt>
                <c:pt idx="8">
                  <c:v>5.0599999999999996</c:v>
                </c:pt>
                <c:pt idx="9">
                  <c:v>5.34</c:v>
                </c:pt>
                <c:pt idx="10">
                  <c:v>6.07</c:v>
                </c:pt>
                <c:pt idx="11">
                  <c:v>6.96</c:v>
                </c:pt>
                <c:pt idx="12">
                  <c:v>6.08</c:v>
                </c:pt>
                <c:pt idx="13">
                  <c:v>6.44</c:v>
                </c:pt>
                <c:pt idx="14">
                  <c:v>6.7730567129860004</c:v>
                </c:pt>
                <c:pt idx="15">
                  <c:v>7.3539066904469843</c:v>
                </c:pt>
              </c:numCache>
            </c:numRef>
          </c:val>
        </c:ser>
        <c:axId val="86089728"/>
        <c:axId val="86091264"/>
      </c:barChart>
      <c:lineChart>
        <c:grouping val="standard"/>
        <c:ser>
          <c:idx val="1"/>
          <c:order val="1"/>
          <c:tx>
            <c:strRef>
              <c:f>Graph!$C$1</c:f>
              <c:strCache>
                <c:ptCount val="1"/>
                <c:pt idx="0">
                  <c:v>Tăng trưởng loại bỏ tính mùa vụ</c:v>
                </c:pt>
              </c:strCache>
            </c:strRef>
          </c:tx>
          <c:marker>
            <c:symbol val="circle"/>
            <c:size val="7"/>
          </c:marker>
          <c:cat>
            <c:strRef>
              <c:f>Graph!$A$6:$A$21</c:f>
              <c:strCache>
                <c:ptCount val="16"/>
                <c:pt idx="0">
                  <c:v>2012Q1</c:v>
                </c:pt>
                <c:pt idx="1">
                  <c:v>2012Q2</c:v>
                </c:pt>
                <c:pt idx="2">
                  <c:v>2012Q3</c:v>
                </c:pt>
                <c:pt idx="3">
                  <c:v>2012Q4</c:v>
                </c:pt>
                <c:pt idx="4">
                  <c:v>2013Q1</c:v>
                </c:pt>
                <c:pt idx="5">
                  <c:v>2013Q2</c:v>
                </c:pt>
                <c:pt idx="6">
                  <c:v>2013Q3</c:v>
                </c:pt>
                <c:pt idx="7">
                  <c:v>2013Q4</c:v>
                </c:pt>
                <c:pt idx="8">
                  <c:v>2014Q1</c:v>
                </c:pt>
                <c:pt idx="9">
                  <c:v>2014Q2</c:v>
                </c:pt>
                <c:pt idx="10">
                  <c:v>2014Q3</c:v>
                </c:pt>
                <c:pt idx="11">
                  <c:v>2014Q4</c:v>
                </c:pt>
                <c:pt idx="12">
                  <c:v>2015Q1</c:v>
                </c:pt>
                <c:pt idx="13">
                  <c:v>2015Q2</c:v>
                </c:pt>
                <c:pt idx="14">
                  <c:v>2015Q3</c:v>
                </c:pt>
                <c:pt idx="15">
                  <c:v>2015Q4</c:v>
                </c:pt>
              </c:strCache>
            </c:strRef>
          </c:cat>
          <c:val>
            <c:numRef>
              <c:f>Graph!$C$6:$C$21</c:f>
              <c:numCache>
                <c:formatCode>0.00</c:formatCode>
                <c:ptCount val="16"/>
                <c:pt idx="0">
                  <c:v>5.2725705977659354</c:v>
                </c:pt>
                <c:pt idx="1">
                  <c:v>5.3641483297800345</c:v>
                </c:pt>
                <c:pt idx="2">
                  <c:v>5.2481036481438599</c:v>
                </c:pt>
                <c:pt idx="3">
                  <c:v>4.9697712977835344</c:v>
                </c:pt>
                <c:pt idx="4">
                  <c:v>5.2518967990714103</c:v>
                </c:pt>
                <c:pt idx="5">
                  <c:v>5.2897804589720598</c:v>
                </c:pt>
                <c:pt idx="6">
                  <c:v>5.3683507336901997</c:v>
                </c:pt>
                <c:pt idx="7">
                  <c:v>5.4292638182495514</c:v>
                </c:pt>
                <c:pt idx="8">
                  <c:v>5.5517050351234314</c:v>
                </c:pt>
                <c:pt idx="9">
                  <c:v>5.6582241548038503</c:v>
                </c:pt>
                <c:pt idx="10">
                  <c:v>5.8753309790186075</c:v>
                </c:pt>
                <c:pt idx="11">
                  <c:v>6.2652964663535204</c:v>
                </c:pt>
                <c:pt idx="12">
                  <c:v>6.6081472225710085</c:v>
                </c:pt>
                <c:pt idx="13">
                  <c:v>6.5410603089059798</c:v>
                </c:pt>
                <c:pt idx="14">
                  <c:v>6.5558420000000002</c:v>
                </c:pt>
                <c:pt idx="15">
                  <c:v>6.6198869999999843</c:v>
                </c:pt>
              </c:numCache>
            </c:numRef>
          </c:val>
        </c:ser>
        <c:marker val="1"/>
        <c:axId val="86089728"/>
        <c:axId val="86091264"/>
      </c:lineChart>
      <c:catAx>
        <c:axId val="86089728"/>
        <c:scaling>
          <c:orientation val="minMax"/>
        </c:scaling>
        <c:axPos val="b"/>
        <c:tickLblPos val="nextTo"/>
        <c:crossAx val="86091264"/>
        <c:crosses val="autoZero"/>
        <c:auto val="1"/>
        <c:lblAlgn val="ctr"/>
        <c:lblOffset val="100"/>
      </c:catAx>
      <c:valAx>
        <c:axId val="86091264"/>
        <c:scaling>
          <c:orientation val="minMax"/>
          <c:max val="8"/>
          <c:min val="4"/>
        </c:scaling>
        <c:axPos val="l"/>
        <c:majorGridlines>
          <c:spPr>
            <a:ln>
              <a:prstDash val="sysDot"/>
            </a:ln>
          </c:spPr>
        </c:majorGridlines>
        <c:numFmt formatCode="0" sourceLinked="0"/>
        <c:tickLblPos val="nextTo"/>
        <c:crossAx val="86089728"/>
        <c:crosses val="autoZero"/>
        <c:crossBetween val="between"/>
        <c:majorUnit val="1"/>
      </c:valAx>
    </c:plotArea>
    <c:legend>
      <c:legendPos val="b"/>
      <c:layout>
        <c:manualLayout>
          <c:xMode val="edge"/>
          <c:yMode val="edge"/>
          <c:x val="4.9999868239361714E-2"/>
          <c:y val="0.86164630445843615"/>
          <c:w val="0.8999999341196826"/>
          <c:h val="9.1642197279453705E-2"/>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65626549003362"/>
          <c:y val="5.0925925925925923E-2"/>
          <c:w val="0.8933437345099664"/>
          <c:h val="0.74231481481481565"/>
        </c:manualLayout>
      </c:layout>
      <c:lineChart>
        <c:grouping val="standard"/>
        <c:ser>
          <c:idx val="2"/>
          <c:order val="0"/>
          <c:tx>
            <c:strRef>
              <c:f>Graph!$D$1:$D$5</c:f>
              <c:strCache>
                <c:ptCount val="1"/>
                <c:pt idx="0">
                  <c:v>Tăng trưởng chu kỳ 0.34 0.54 0.55 0.49</c:v>
                </c:pt>
              </c:strCache>
            </c:strRef>
          </c:tx>
          <c:spPr>
            <a:ln>
              <a:solidFill>
                <a:schemeClr val="tx1"/>
              </a:solidFill>
            </a:ln>
          </c:spPr>
          <c:marker>
            <c:symbol val="none"/>
          </c:marker>
          <c:cat>
            <c:strRef>
              <c:f>Graph!$A$6:$A$21</c:f>
              <c:strCache>
                <c:ptCount val="16"/>
                <c:pt idx="0">
                  <c:v>2012Q1</c:v>
                </c:pt>
                <c:pt idx="1">
                  <c:v>2012Q2</c:v>
                </c:pt>
                <c:pt idx="2">
                  <c:v>2012Q3</c:v>
                </c:pt>
                <c:pt idx="3">
                  <c:v>2012Q4</c:v>
                </c:pt>
                <c:pt idx="4">
                  <c:v>2013Q1</c:v>
                </c:pt>
                <c:pt idx="5">
                  <c:v>2013Q2</c:v>
                </c:pt>
                <c:pt idx="6">
                  <c:v>2013Q3</c:v>
                </c:pt>
                <c:pt idx="7">
                  <c:v>2013Q4</c:v>
                </c:pt>
                <c:pt idx="8">
                  <c:v>2014Q1</c:v>
                </c:pt>
                <c:pt idx="9">
                  <c:v>2014Q2</c:v>
                </c:pt>
                <c:pt idx="10">
                  <c:v>2014Q3</c:v>
                </c:pt>
                <c:pt idx="11">
                  <c:v>2014Q4</c:v>
                </c:pt>
                <c:pt idx="12">
                  <c:v>2015Q1</c:v>
                </c:pt>
                <c:pt idx="13">
                  <c:v>2015Q2</c:v>
                </c:pt>
                <c:pt idx="14">
                  <c:v>2015Q3</c:v>
                </c:pt>
                <c:pt idx="15">
                  <c:v>2015Q4</c:v>
                </c:pt>
              </c:strCache>
            </c:strRef>
          </c:cat>
          <c:val>
            <c:numRef>
              <c:f>Graph!$D$6:$D$21</c:f>
              <c:numCache>
                <c:formatCode>0.00</c:formatCode>
                <c:ptCount val="16"/>
                <c:pt idx="0">
                  <c:v>0.44012400000000002</c:v>
                </c:pt>
                <c:pt idx="1">
                  <c:v>0.12636600000000001</c:v>
                </c:pt>
                <c:pt idx="2">
                  <c:v>-5.5000000000000123E-4</c:v>
                </c:pt>
                <c:pt idx="3">
                  <c:v>-0.11371199999999998</c:v>
                </c:pt>
                <c:pt idx="4">
                  <c:v>-0.29245500000000002</c:v>
                </c:pt>
                <c:pt idx="5">
                  <c:v>-0.271289</c:v>
                </c:pt>
                <c:pt idx="6">
                  <c:v>-0.24475800000000103</c:v>
                </c:pt>
                <c:pt idx="7">
                  <c:v>-0.20100999999999999</c:v>
                </c:pt>
                <c:pt idx="8">
                  <c:v>-0.15804300000000157</c:v>
                </c:pt>
                <c:pt idx="9">
                  <c:v>-9.1664000000000745E-2</c:v>
                </c:pt>
                <c:pt idx="10">
                  <c:v>-2.0906999999999999E-2</c:v>
                </c:pt>
                <c:pt idx="11">
                  <c:v>9.8291000000000045E-2</c:v>
                </c:pt>
                <c:pt idx="12">
                  <c:v>0.31835700000000194</c:v>
                </c:pt>
                <c:pt idx="13">
                  <c:v>0.57509999999999994</c:v>
                </c:pt>
                <c:pt idx="14">
                  <c:v>0.67630600000000063</c:v>
                </c:pt>
                <c:pt idx="15">
                  <c:v>0.74035099999999998</c:v>
                </c:pt>
              </c:numCache>
            </c:numRef>
          </c:val>
        </c:ser>
        <c:marker val="1"/>
        <c:axId val="86160128"/>
        <c:axId val="86161664"/>
      </c:lineChart>
      <c:catAx>
        <c:axId val="86160128"/>
        <c:scaling>
          <c:orientation val="minMax"/>
        </c:scaling>
        <c:axPos val="b"/>
        <c:tickLblPos val="low"/>
        <c:crossAx val="86161664"/>
        <c:crosses val="autoZero"/>
        <c:auto val="1"/>
        <c:lblAlgn val="ctr"/>
        <c:lblOffset val="100"/>
      </c:catAx>
      <c:valAx>
        <c:axId val="86161664"/>
        <c:scaling>
          <c:orientation val="minMax"/>
          <c:max val="0.80000000000000104"/>
        </c:scaling>
        <c:axPos val="l"/>
        <c:majorGridlines>
          <c:spPr>
            <a:ln>
              <a:prstDash val="sysDot"/>
            </a:ln>
          </c:spPr>
        </c:majorGridlines>
        <c:numFmt formatCode="0.0" sourceLinked="0"/>
        <c:tickLblPos val="nextTo"/>
        <c:spPr>
          <a:ln>
            <a:noFill/>
          </a:ln>
        </c:spPr>
        <c:crossAx val="86160128"/>
        <c:crosses val="autoZero"/>
        <c:crossBetween val="between"/>
        <c:majorUnit val="0.2"/>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Sheet3!$B$2</c:f>
              <c:strCache>
                <c:ptCount val="1"/>
                <c:pt idx="0">
                  <c:v>Toàn ngành</c:v>
                </c:pt>
              </c:strCache>
            </c:strRef>
          </c:tx>
          <c:spPr>
            <a:ln w="25400"/>
          </c:spPr>
          <c:marker>
            <c:symbol val="diamond"/>
            <c:size val="5"/>
          </c:marker>
          <c:cat>
            <c:strRef>
              <c:f>Sheet3!$A$21:$A$33</c:f>
              <c:strCache>
                <c:ptCount val="13"/>
                <c:pt idx="0">
                  <c:v>T7/14</c:v>
                </c:pt>
                <c:pt idx="1">
                  <c:v>T8/14</c:v>
                </c:pt>
                <c:pt idx="2">
                  <c:v>T9/14</c:v>
                </c:pt>
                <c:pt idx="3">
                  <c:v>T10/14</c:v>
                </c:pt>
                <c:pt idx="4">
                  <c:v>T11/14</c:v>
                </c:pt>
                <c:pt idx="5">
                  <c:v>T12/14</c:v>
                </c:pt>
                <c:pt idx="6">
                  <c:v>T1/15</c:v>
                </c:pt>
                <c:pt idx="7">
                  <c:v>T2/15</c:v>
                </c:pt>
                <c:pt idx="8">
                  <c:v>T3/15</c:v>
                </c:pt>
                <c:pt idx="9">
                  <c:v>T4/15</c:v>
                </c:pt>
                <c:pt idx="10">
                  <c:v>T5/15</c:v>
                </c:pt>
                <c:pt idx="11">
                  <c:v>T6/15</c:v>
                </c:pt>
                <c:pt idx="12">
                  <c:v>T7/15</c:v>
                </c:pt>
              </c:strCache>
            </c:strRef>
          </c:cat>
          <c:val>
            <c:numRef>
              <c:f>Sheet3!$B$21:$B$33</c:f>
              <c:numCache>
                <c:formatCode>General</c:formatCode>
                <c:ptCount val="13"/>
                <c:pt idx="0">
                  <c:v>6.2</c:v>
                </c:pt>
                <c:pt idx="1">
                  <c:v>6.3</c:v>
                </c:pt>
                <c:pt idx="2">
                  <c:v>6.4</c:v>
                </c:pt>
                <c:pt idx="3">
                  <c:v>6.9</c:v>
                </c:pt>
                <c:pt idx="4">
                  <c:v>7.5</c:v>
                </c:pt>
                <c:pt idx="5">
                  <c:v>7.6</c:v>
                </c:pt>
                <c:pt idx="6">
                  <c:v>17.5</c:v>
                </c:pt>
                <c:pt idx="7">
                  <c:v>12</c:v>
                </c:pt>
                <c:pt idx="8">
                  <c:v>9.1</c:v>
                </c:pt>
                <c:pt idx="9">
                  <c:v>9.4</c:v>
                </c:pt>
                <c:pt idx="10">
                  <c:v>9.2000000000000011</c:v>
                </c:pt>
                <c:pt idx="11">
                  <c:v>9.6</c:v>
                </c:pt>
                <c:pt idx="12">
                  <c:v>9.9</c:v>
                </c:pt>
              </c:numCache>
            </c:numRef>
          </c:val>
        </c:ser>
        <c:ser>
          <c:idx val="1"/>
          <c:order val="1"/>
          <c:tx>
            <c:strRef>
              <c:f>Sheet3!$C$2</c:f>
              <c:strCache>
                <c:ptCount val="1"/>
                <c:pt idx="0">
                  <c:v>CN Chế biến chế tạo</c:v>
                </c:pt>
              </c:strCache>
            </c:strRef>
          </c:tx>
          <c:spPr>
            <a:ln w="25400">
              <a:prstDash val="sysDot"/>
            </a:ln>
          </c:spPr>
          <c:marker>
            <c:symbol val="circle"/>
            <c:size val="5"/>
          </c:marker>
          <c:cat>
            <c:strRef>
              <c:f>Sheet3!$A$21:$A$33</c:f>
              <c:strCache>
                <c:ptCount val="13"/>
                <c:pt idx="0">
                  <c:v>T7/14</c:v>
                </c:pt>
                <c:pt idx="1">
                  <c:v>T8/14</c:v>
                </c:pt>
                <c:pt idx="2">
                  <c:v>T9/14</c:v>
                </c:pt>
                <c:pt idx="3">
                  <c:v>T10/14</c:v>
                </c:pt>
                <c:pt idx="4">
                  <c:v>T11/14</c:v>
                </c:pt>
                <c:pt idx="5">
                  <c:v>T12/14</c:v>
                </c:pt>
                <c:pt idx="6">
                  <c:v>T1/15</c:v>
                </c:pt>
                <c:pt idx="7">
                  <c:v>T2/15</c:v>
                </c:pt>
                <c:pt idx="8">
                  <c:v>T3/15</c:v>
                </c:pt>
                <c:pt idx="9">
                  <c:v>T4/15</c:v>
                </c:pt>
                <c:pt idx="10">
                  <c:v>T5/15</c:v>
                </c:pt>
                <c:pt idx="11">
                  <c:v>T6/15</c:v>
                </c:pt>
                <c:pt idx="12">
                  <c:v>T7/15</c:v>
                </c:pt>
              </c:strCache>
            </c:strRef>
          </c:cat>
          <c:val>
            <c:numRef>
              <c:f>Sheet3!$C$21:$C$33</c:f>
              <c:numCache>
                <c:formatCode>General</c:formatCode>
                <c:ptCount val="13"/>
                <c:pt idx="0">
                  <c:v>8.1</c:v>
                </c:pt>
                <c:pt idx="1">
                  <c:v>8.1</c:v>
                </c:pt>
                <c:pt idx="2">
                  <c:v>8.2000000000000011</c:v>
                </c:pt>
                <c:pt idx="3">
                  <c:v>8.4</c:v>
                </c:pt>
                <c:pt idx="4">
                  <c:v>8.6</c:v>
                </c:pt>
                <c:pt idx="5">
                  <c:v>8.7000000000000011</c:v>
                </c:pt>
                <c:pt idx="6">
                  <c:v>19.399999999999999</c:v>
                </c:pt>
                <c:pt idx="7">
                  <c:v>12.9</c:v>
                </c:pt>
                <c:pt idx="8">
                  <c:v>9.6</c:v>
                </c:pt>
                <c:pt idx="9">
                  <c:v>10.1</c:v>
                </c:pt>
                <c:pt idx="10">
                  <c:v>9.9</c:v>
                </c:pt>
                <c:pt idx="11">
                  <c:v>10</c:v>
                </c:pt>
                <c:pt idx="12">
                  <c:v>10.1</c:v>
                </c:pt>
              </c:numCache>
            </c:numRef>
          </c:val>
        </c:ser>
        <c:marker val="1"/>
        <c:axId val="86169472"/>
        <c:axId val="86171008"/>
      </c:lineChart>
      <c:catAx>
        <c:axId val="86169472"/>
        <c:scaling>
          <c:orientation val="minMax"/>
        </c:scaling>
        <c:axPos val="b"/>
        <c:tickLblPos val="nextTo"/>
        <c:crossAx val="86171008"/>
        <c:crosses val="autoZero"/>
        <c:auto val="1"/>
        <c:lblAlgn val="ctr"/>
        <c:lblOffset val="100"/>
      </c:catAx>
      <c:valAx>
        <c:axId val="86171008"/>
        <c:scaling>
          <c:orientation val="minMax"/>
          <c:max val="20"/>
        </c:scaling>
        <c:axPos val="l"/>
        <c:majorGridlines>
          <c:spPr>
            <a:ln>
              <a:prstDash val="sysDot"/>
            </a:ln>
          </c:spPr>
        </c:majorGridlines>
        <c:numFmt formatCode="General" sourceLinked="1"/>
        <c:tickLblPos val="nextTo"/>
        <c:spPr>
          <a:ln>
            <a:noFill/>
          </a:ln>
        </c:spPr>
        <c:crossAx val="86169472"/>
        <c:crosses val="autoZero"/>
        <c:crossBetween val="between"/>
        <c:majorUnit val="5"/>
      </c:valAx>
    </c:plotArea>
    <c:legend>
      <c:legendPos val="b"/>
    </c:legend>
    <c:plotVisOnly val="1"/>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663426939842383E-2"/>
          <c:y val="4.340277132861399E-2"/>
          <c:w val="0.85804387521910075"/>
          <c:h val="0.75925925925925963"/>
        </c:manualLayout>
      </c:layout>
      <c:barChart>
        <c:barDir val="col"/>
        <c:grouping val="clustered"/>
        <c:ser>
          <c:idx val="0"/>
          <c:order val="0"/>
          <c:tx>
            <c:strRef>
              <c:f>PMI!$A$2</c:f>
              <c:strCache>
                <c:ptCount val="1"/>
                <c:pt idx="0">
                  <c:v>PMI</c:v>
                </c:pt>
              </c:strCache>
            </c:strRef>
          </c:tx>
          <c:spPr>
            <a:solidFill>
              <a:schemeClr val="tx1"/>
            </a:solidFill>
          </c:spPr>
          <c:dLbls>
            <c:showVal val="1"/>
          </c:dLbls>
          <c:cat>
            <c:strRef>
              <c:f>PMI!$AB$1:$AN$1</c:f>
              <c:strCache>
                <c:ptCount val="13"/>
                <c:pt idx="0">
                  <c:v>T6/14</c:v>
                </c:pt>
                <c:pt idx="1">
                  <c:v>T7/14</c:v>
                </c:pt>
                <c:pt idx="2">
                  <c:v>T8/14</c:v>
                </c:pt>
                <c:pt idx="3">
                  <c:v>T9/14</c:v>
                </c:pt>
                <c:pt idx="4">
                  <c:v>T10/14</c:v>
                </c:pt>
                <c:pt idx="5">
                  <c:v>T11/14</c:v>
                </c:pt>
                <c:pt idx="6">
                  <c:v>T12/14</c:v>
                </c:pt>
                <c:pt idx="7">
                  <c:v>T1/15</c:v>
                </c:pt>
                <c:pt idx="8">
                  <c:v>T2/15</c:v>
                </c:pt>
                <c:pt idx="9">
                  <c:v>T3/15</c:v>
                </c:pt>
                <c:pt idx="10">
                  <c:v>T4/15</c:v>
                </c:pt>
                <c:pt idx="11">
                  <c:v>T5/15</c:v>
                </c:pt>
                <c:pt idx="12">
                  <c:v>T6/15</c:v>
                </c:pt>
              </c:strCache>
            </c:strRef>
          </c:cat>
          <c:val>
            <c:numRef>
              <c:f>PMI!$AB$2:$AN$2</c:f>
              <c:numCache>
                <c:formatCode>General</c:formatCode>
                <c:ptCount val="13"/>
                <c:pt idx="0">
                  <c:v>52.3</c:v>
                </c:pt>
                <c:pt idx="1">
                  <c:v>51.7</c:v>
                </c:pt>
                <c:pt idx="2">
                  <c:v>50.3</c:v>
                </c:pt>
                <c:pt idx="3">
                  <c:v>51.7</c:v>
                </c:pt>
                <c:pt idx="4">
                  <c:v>51</c:v>
                </c:pt>
                <c:pt idx="5">
                  <c:v>52.1</c:v>
                </c:pt>
                <c:pt idx="6">
                  <c:v>52.7</c:v>
                </c:pt>
                <c:pt idx="7">
                  <c:v>51.5</c:v>
                </c:pt>
                <c:pt idx="8">
                  <c:v>51.7</c:v>
                </c:pt>
                <c:pt idx="9">
                  <c:v>50.7</c:v>
                </c:pt>
                <c:pt idx="10">
                  <c:v>53.5</c:v>
                </c:pt>
                <c:pt idx="11">
                  <c:v>54.8</c:v>
                </c:pt>
                <c:pt idx="12">
                  <c:v>52.2</c:v>
                </c:pt>
              </c:numCache>
            </c:numRef>
          </c:val>
        </c:ser>
        <c:axId val="87178240"/>
        <c:axId val="87192320"/>
      </c:barChart>
      <c:catAx>
        <c:axId val="87178240"/>
        <c:scaling>
          <c:orientation val="minMax"/>
        </c:scaling>
        <c:axPos val="b"/>
        <c:tickLblPos val="low"/>
        <c:crossAx val="87192320"/>
        <c:crossesAt val="50"/>
        <c:auto val="1"/>
        <c:lblAlgn val="ctr"/>
        <c:lblOffset val="100"/>
      </c:catAx>
      <c:valAx>
        <c:axId val="87192320"/>
        <c:scaling>
          <c:orientation val="minMax"/>
          <c:max val="55"/>
          <c:min val="50"/>
        </c:scaling>
        <c:axPos val="l"/>
        <c:majorGridlines>
          <c:spPr>
            <a:ln w="12700">
              <a:prstDash val="sysDot"/>
            </a:ln>
          </c:spPr>
        </c:majorGridlines>
        <c:numFmt formatCode="General" sourceLinked="1"/>
        <c:tickLblPos val="nextTo"/>
        <c:spPr>
          <a:ln>
            <a:noFill/>
          </a:ln>
        </c:spPr>
        <c:crossAx val="87178240"/>
        <c:crosses val="autoZero"/>
        <c:crossBetween val="between"/>
        <c:majorUnit val="1"/>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8.3479629655228219E-2"/>
          <c:y val="2.8150282611104981E-2"/>
          <c:w val="0.85673429683651781"/>
          <c:h val="0.5276156326264777"/>
        </c:manualLayout>
      </c:layout>
      <c:barChart>
        <c:barDir val="col"/>
        <c:grouping val="clustered"/>
        <c:ser>
          <c:idx val="0"/>
          <c:order val="0"/>
          <c:tx>
            <c:strRef>
              <c:f>'Chỉ số tăng trưởng (yoy)'!$A$2</c:f>
              <c:strCache>
                <c:ptCount val="1"/>
                <c:pt idx="0">
                  <c:v>Tăng/giảmdoanh thu bình quân</c:v>
                </c:pt>
              </c:strCache>
            </c:strRef>
          </c:tx>
          <c:spPr>
            <a:pattFill prst="pct5">
              <a:fgClr>
                <a:srgbClr val="40699C"/>
              </a:fgClr>
              <a:bgClr>
                <a:srgbClr val="FFFFFF"/>
              </a:bgClr>
            </a:pattFill>
            <a:ln>
              <a:solidFill>
                <a:schemeClr val="tx1"/>
              </a:solidFill>
            </a:ln>
          </c:spPr>
          <c:cat>
            <c:strRef>
              <c:f>'Chỉ số tăng trưởng (yoy)'!$B$1:$H$1</c:f>
              <c:strCache>
                <c:ptCount val="7"/>
                <c:pt idx="0">
                  <c:v>Q1/2009</c:v>
                </c:pt>
                <c:pt idx="1">
                  <c:v>Q1/2010</c:v>
                </c:pt>
                <c:pt idx="2">
                  <c:v>Q1/2011</c:v>
                </c:pt>
                <c:pt idx="3">
                  <c:v>Q1/2012</c:v>
                </c:pt>
                <c:pt idx="4">
                  <c:v>Q1/2013</c:v>
                </c:pt>
                <c:pt idx="5">
                  <c:v>Q1/2014</c:v>
                </c:pt>
                <c:pt idx="6">
                  <c:v>Q1/2015</c:v>
                </c:pt>
              </c:strCache>
            </c:strRef>
          </c:cat>
          <c:val>
            <c:numRef>
              <c:f>'Chỉ số tăng trưởng (yoy)'!$B$2:$H$2</c:f>
              <c:numCache>
                <c:formatCode>0.00%</c:formatCode>
                <c:ptCount val="7"/>
                <c:pt idx="0">
                  <c:v>1.6790363746658227E-2</c:v>
                </c:pt>
                <c:pt idx="1">
                  <c:v>8.6663358652423764E-2</c:v>
                </c:pt>
                <c:pt idx="2">
                  <c:v>0.14414424121152153</c:v>
                </c:pt>
                <c:pt idx="3">
                  <c:v>0.14769336009000228</c:v>
                </c:pt>
                <c:pt idx="4">
                  <c:v>0.26062719243450433</c:v>
                </c:pt>
                <c:pt idx="5">
                  <c:v>-0.22383348741643874</c:v>
                </c:pt>
                <c:pt idx="6">
                  <c:v>0.49292509646113175</c:v>
                </c:pt>
              </c:numCache>
            </c:numRef>
          </c:val>
        </c:ser>
        <c:ser>
          <c:idx val="1"/>
          <c:order val="1"/>
          <c:tx>
            <c:strRef>
              <c:f>'Chỉ số tăng trưởng (yoy)'!$A$3</c:f>
              <c:strCache>
                <c:ptCount val="1"/>
                <c:pt idx="0">
                  <c:v>Tăng/giảm TS bình quân</c:v>
                </c:pt>
              </c:strCache>
            </c:strRef>
          </c:tx>
          <c:spPr>
            <a:pattFill prst="ltVert">
              <a:fgClr>
                <a:srgbClr val="953735"/>
              </a:fgClr>
              <a:bgClr>
                <a:srgbClr val="FFFFFF"/>
              </a:bgClr>
            </a:pattFill>
            <a:ln>
              <a:solidFill>
                <a:sysClr val="windowText" lastClr="000000"/>
              </a:solidFill>
            </a:ln>
          </c:spPr>
          <c:cat>
            <c:strRef>
              <c:f>'Chỉ số tăng trưởng (yoy)'!$B$1:$H$1</c:f>
              <c:strCache>
                <c:ptCount val="7"/>
                <c:pt idx="0">
                  <c:v>Q1/2009</c:v>
                </c:pt>
                <c:pt idx="1">
                  <c:v>Q1/2010</c:v>
                </c:pt>
                <c:pt idx="2">
                  <c:v>Q1/2011</c:v>
                </c:pt>
                <c:pt idx="3">
                  <c:v>Q1/2012</c:v>
                </c:pt>
                <c:pt idx="4">
                  <c:v>Q1/2013</c:v>
                </c:pt>
                <c:pt idx="5">
                  <c:v>Q1/2014</c:v>
                </c:pt>
                <c:pt idx="6">
                  <c:v>Q1/2015</c:v>
                </c:pt>
              </c:strCache>
            </c:strRef>
          </c:cat>
          <c:val>
            <c:numRef>
              <c:f>'Chỉ số tăng trưởng (yoy)'!$B$3:$H$3</c:f>
              <c:numCache>
                <c:formatCode>0.00%</c:formatCode>
                <c:ptCount val="7"/>
                <c:pt idx="0">
                  <c:v>0.20192905582867796</c:v>
                </c:pt>
                <c:pt idx="1">
                  <c:v>0.15447989005810367</c:v>
                </c:pt>
                <c:pt idx="2">
                  <c:v>0.18173725648443237</c:v>
                </c:pt>
                <c:pt idx="3">
                  <c:v>0.21342826108304391</c:v>
                </c:pt>
                <c:pt idx="4">
                  <c:v>0.11647282459206494</c:v>
                </c:pt>
                <c:pt idx="5">
                  <c:v>-0.32543958476231782</c:v>
                </c:pt>
                <c:pt idx="6">
                  <c:v>0.86305571128392933</c:v>
                </c:pt>
              </c:numCache>
            </c:numRef>
          </c:val>
        </c:ser>
        <c:ser>
          <c:idx val="2"/>
          <c:order val="2"/>
          <c:tx>
            <c:strRef>
              <c:f>'Chỉ số tăng trưởng (yoy)'!$A$4</c:f>
              <c:strCache>
                <c:ptCount val="1"/>
                <c:pt idx="0">
                  <c:v>Tăng/giảm VCSH bình quân</c:v>
                </c:pt>
              </c:strCache>
            </c:strRef>
          </c:tx>
          <c:spPr>
            <a:pattFill prst="pct60">
              <a:fgClr>
                <a:srgbClr val="948B54"/>
              </a:fgClr>
              <a:bgClr>
                <a:srgbClr val="FFFFFF"/>
              </a:bgClr>
            </a:pattFill>
            <a:ln>
              <a:solidFill>
                <a:sysClr val="windowText" lastClr="000000"/>
              </a:solidFill>
            </a:ln>
          </c:spPr>
          <c:cat>
            <c:strRef>
              <c:f>'Chỉ số tăng trưởng (yoy)'!$B$1:$H$1</c:f>
              <c:strCache>
                <c:ptCount val="7"/>
                <c:pt idx="0">
                  <c:v>Q1/2009</c:v>
                </c:pt>
                <c:pt idx="1">
                  <c:v>Q1/2010</c:v>
                </c:pt>
                <c:pt idx="2">
                  <c:v>Q1/2011</c:v>
                </c:pt>
                <c:pt idx="3">
                  <c:v>Q1/2012</c:v>
                </c:pt>
                <c:pt idx="4">
                  <c:v>Q1/2013</c:v>
                </c:pt>
                <c:pt idx="5">
                  <c:v>Q1/2014</c:v>
                </c:pt>
                <c:pt idx="6">
                  <c:v>Q1/2015</c:v>
                </c:pt>
              </c:strCache>
            </c:strRef>
          </c:cat>
          <c:val>
            <c:numRef>
              <c:f>'Chỉ số tăng trưởng (yoy)'!$B$4:$H$4</c:f>
              <c:numCache>
                <c:formatCode>0.00%</c:formatCode>
                <c:ptCount val="7"/>
                <c:pt idx="0">
                  <c:v>-5.439162682494913E-3</c:v>
                </c:pt>
                <c:pt idx="1">
                  <c:v>0.15916204417356841</c:v>
                </c:pt>
                <c:pt idx="2">
                  <c:v>0.13086831749841796</c:v>
                </c:pt>
                <c:pt idx="3">
                  <c:v>0.17226309807771725</c:v>
                </c:pt>
                <c:pt idx="4">
                  <c:v>0.1369279203449702</c:v>
                </c:pt>
                <c:pt idx="5">
                  <c:v>-0.25628731417894135</c:v>
                </c:pt>
                <c:pt idx="6">
                  <c:v>0.7678660311995279</c:v>
                </c:pt>
              </c:numCache>
            </c:numRef>
          </c:val>
        </c:ser>
        <c:gapWidth val="75"/>
        <c:axId val="87245952"/>
        <c:axId val="87247488"/>
      </c:barChart>
      <c:catAx>
        <c:axId val="87245952"/>
        <c:scaling>
          <c:orientation val="minMax"/>
        </c:scaling>
        <c:axPos val="b"/>
        <c:numFmt formatCode="General" sourceLinked="0"/>
        <c:majorTickMark val="none"/>
        <c:tickLblPos val="low"/>
        <c:crossAx val="87247488"/>
        <c:crosses val="autoZero"/>
        <c:auto val="1"/>
        <c:lblAlgn val="ctr"/>
        <c:lblOffset val="100"/>
      </c:catAx>
      <c:valAx>
        <c:axId val="87247488"/>
        <c:scaling>
          <c:orientation val="minMax"/>
        </c:scaling>
        <c:axPos val="l"/>
        <c:majorGridlines>
          <c:spPr>
            <a:ln>
              <a:prstDash val="sysDot"/>
            </a:ln>
          </c:spPr>
        </c:majorGridlines>
        <c:numFmt formatCode="0%" sourceLinked="0"/>
        <c:majorTickMark val="none"/>
        <c:tickLblPos val="nextTo"/>
        <c:spPr>
          <a:ln>
            <a:prstDash val="sysDot"/>
          </a:ln>
        </c:spPr>
        <c:crossAx val="87245952"/>
        <c:crosses val="autoZero"/>
        <c:crossBetween val="between"/>
        <c:majorUnit val="0.2"/>
      </c:valAx>
    </c:plotArea>
    <c:legend>
      <c:legendPos val="b"/>
      <c:layout>
        <c:manualLayout>
          <c:xMode val="edge"/>
          <c:yMode val="edge"/>
          <c:x val="1.7993217421304112E-2"/>
          <c:y val="0.80308723300899465"/>
          <c:w val="0.97845473153330065"/>
          <c:h val="0.15912737550233425"/>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ROA!$A$31</c:f>
              <c:strCache>
                <c:ptCount val="1"/>
                <c:pt idx="0">
                  <c:v>ROA</c:v>
                </c:pt>
              </c:strCache>
            </c:strRef>
          </c:tx>
          <c:spPr>
            <a:ln w="25400"/>
          </c:spPr>
          <c:marker>
            <c:symbol val="diamond"/>
            <c:size val="5"/>
          </c:marker>
          <c:cat>
            <c:strRef>
              <c:f>ROA!$B$30:$I$30</c:f>
              <c:strCache>
                <c:ptCount val="8"/>
                <c:pt idx="0">
                  <c:v>Q1/2008</c:v>
                </c:pt>
                <c:pt idx="1">
                  <c:v>Q1/2009</c:v>
                </c:pt>
                <c:pt idx="2">
                  <c:v>Q1/2010</c:v>
                </c:pt>
                <c:pt idx="3">
                  <c:v>Q1/2011</c:v>
                </c:pt>
                <c:pt idx="4">
                  <c:v>Q1/2012</c:v>
                </c:pt>
                <c:pt idx="5">
                  <c:v>Q1/2013</c:v>
                </c:pt>
                <c:pt idx="6">
                  <c:v>Q1/2014</c:v>
                </c:pt>
                <c:pt idx="7">
                  <c:v>Q1/2015</c:v>
                </c:pt>
              </c:strCache>
            </c:strRef>
          </c:cat>
          <c:val>
            <c:numRef>
              <c:f>ROA!$B$31:$I$31</c:f>
              <c:numCache>
                <c:formatCode>0.00%</c:formatCode>
                <c:ptCount val="8"/>
                <c:pt idx="0">
                  <c:v>2.610937476062606E-2</c:v>
                </c:pt>
                <c:pt idx="1">
                  <c:v>2.9873655741508645E-2</c:v>
                </c:pt>
                <c:pt idx="2">
                  <c:v>2.2850666589658012E-2</c:v>
                </c:pt>
                <c:pt idx="3">
                  <c:v>1.2873556932760129E-2</c:v>
                </c:pt>
                <c:pt idx="4">
                  <c:v>6.2712592656694044E-4</c:v>
                </c:pt>
                <c:pt idx="5">
                  <c:v>1.561361868074638E-3</c:v>
                </c:pt>
                <c:pt idx="6">
                  <c:v>-2.345710101154615E-2</c:v>
                </c:pt>
                <c:pt idx="7">
                  <c:v>8.1357669917138508E-3</c:v>
                </c:pt>
              </c:numCache>
            </c:numRef>
          </c:val>
        </c:ser>
        <c:ser>
          <c:idx val="1"/>
          <c:order val="1"/>
          <c:tx>
            <c:strRef>
              <c:f>ROA!$A$32</c:f>
              <c:strCache>
                <c:ptCount val="1"/>
                <c:pt idx="0">
                  <c:v>ROE</c:v>
                </c:pt>
              </c:strCache>
            </c:strRef>
          </c:tx>
          <c:spPr>
            <a:ln w="25400">
              <a:prstDash val="sysDash"/>
            </a:ln>
          </c:spPr>
          <c:marker>
            <c:symbol val="square"/>
            <c:size val="5"/>
          </c:marker>
          <c:cat>
            <c:strRef>
              <c:f>ROA!$B$30:$I$30</c:f>
              <c:strCache>
                <c:ptCount val="8"/>
                <c:pt idx="0">
                  <c:v>Q1/2008</c:v>
                </c:pt>
                <c:pt idx="1">
                  <c:v>Q1/2009</c:v>
                </c:pt>
                <c:pt idx="2">
                  <c:v>Q1/2010</c:v>
                </c:pt>
                <c:pt idx="3">
                  <c:v>Q1/2011</c:v>
                </c:pt>
                <c:pt idx="4">
                  <c:v>Q1/2012</c:v>
                </c:pt>
                <c:pt idx="5">
                  <c:v>Q1/2013</c:v>
                </c:pt>
                <c:pt idx="6">
                  <c:v>Q1/2014</c:v>
                </c:pt>
                <c:pt idx="7">
                  <c:v>Q1/2015</c:v>
                </c:pt>
              </c:strCache>
            </c:strRef>
          </c:cat>
          <c:val>
            <c:numRef>
              <c:f>ROA!$B$32:$I$32</c:f>
              <c:numCache>
                <c:formatCode>0.00%</c:formatCode>
                <c:ptCount val="8"/>
                <c:pt idx="0">
                  <c:v>4.9529644064363304E-2</c:v>
                </c:pt>
                <c:pt idx="1">
                  <c:v>5.3089376522232876E-2</c:v>
                </c:pt>
                <c:pt idx="2">
                  <c:v>4.0170776027941932E-2</c:v>
                </c:pt>
                <c:pt idx="3">
                  <c:v>2.198292881892442E-2</c:v>
                </c:pt>
                <c:pt idx="4">
                  <c:v>1.0544568322764481E-3</c:v>
                </c:pt>
                <c:pt idx="5">
                  <c:v>2.7189808869748492E-3</c:v>
                </c:pt>
                <c:pt idx="6">
                  <c:v>-3.9724240883106582E-2</c:v>
                </c:pt>
                <c:pt idx="7">
                  <c:v>1.3105558805703263E-2</c:v>
                </c:pt>
              </c:numCache>
            </c:numRef>
          </c:val>
        </c:ser>
        <c:marker val="1"/>
        <c:axId val="87255680"/>
        <c:axId val="87273856"/>
      </c:lineChart>
      <c:catAx>
        <c:axId val="87255680"/>
        <c:scaling>
          <c:orientation val="minMax"/>
        </c:scaling>
        <c:axPos val="b"/>
        <c:majorTickMark val="none"/>
        <c:tickLblPos val="low"/>
        <c:crossAx val="87273856"/>
        <c:crosses val="autoZero"/>
        <c:auto val="1"/>
        <c:lblAlgn val="ctr"/>
        <c:lblOffset val="100"/>
      </c:catAx>
      <c:valAx>
        <c:axId val="87273856"/>
        <c:scaling>
          <c:orientation val="minMax"/>
        </c:scaling>
        <c:axPos val="l"/>
        <c:majorGridlines>
          <c:spPr>
            <a:ln>
              <a:prstDash val="sysDot"/>
            </a:ln>
          </c:spPr>
        </c:majorGridlines>
        <c:numFmt formatCode="0%" sourceLinked="0"/>
        <c:majorTickMark val="none"/>
        <c:tickLblPos val="nextTo"/>
        <c:spPr>
          <a:ln w="9525">
            <a:noFill/>
          </a:ln>
        </c:spPr>
        <c:crossAx val="87255680"/>
        <c:crosses val="autoZero"/>
        <c:crossBetween val="between"/>
      </c:valAx>
      <c:spPr>
        <a:noFill/>
        <a:ln w="25400">
          <a:noFill/>
        </a:ln>
      </c:spPr>
    </c:plotArea>
    <c:legend>
      <c:legendPos val="b"/>
      <c:layout>
        <c:manualLayout>
          <c:xMode val="edge"/>
          <c:yMode val="edge"/>
          <c:x val="5.036800784201876E-2"/>
          <c:y val="0.84350788645030261"/>
          <c:w val="0.90382711626518408"/>
          <c:h val="0.11128769704261078"/>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numRef>
              <c:f>'Tong muc ban le'!$A$8:$A$12</c:f>
              <c:numCache>
                <c:formatCode>General</c:formatCode>
                <c:ptCount val="5"/>
                <c:pt idx="0">
                  <c:v>2011</c:v>
                </c:pt>
                <c:pt idx="1">
                  <c:v>2012</c:v>
                </c:pt>
                <c:pt idx="2">
                  <c:v>2013</c:v>
                </c:pt>
                <c:pt idx="3">
                  <c:v>2014</c:v>
                </c:pt>
                <c:pt idx="4">
                  <c:v>2015</c:v>
                </c:pt>
              </c:numCache>
            </c:numRef>
          </c:cat>
          <c:val>
            <c:numRef>
              <c:f>'Tong muc ban le'!$H$8:$H$12</c:f>
              <c:numCache>
                <c:formatCode>General</c:formatCode>
                <c:ptCount val="5"/>
                <c:pt idx="0">
                  <c:v>4.5999999999999996</c:v>
                </c:pt>
                <c:pt idx="1">
                  <c:v>6.74</c:v>
                </c:pt>
                <c:pt idx="2">
                  <c:v>4.8599999999999985</c:v>
                </c:pt>
                <c:pt idx="3">
                  <c:v>6.3</c:v>
                </c:pt>
                <c:pt idx="4">
                  <c:v>8.3000000000000007</c:v>
                </c:pt>
              </c:numCache>
            </c:numRef>
          </c:val>
        </c:ser>
        <c:axId val="81862656"/>
        <c:axId val="81864192"/>
      </c:barChart>
      <c:catAx>
        <c:axId val="81862656"/>
        <c:scaling>
          <c:orientation val="minMax"/>
        </c:scaling>
        <c:axPos val="b"/>
        <c:numFmt formatCode="General" sourceLinked="1"/>
        <c:tickLblPos val="nextTo"/>
        <c:crossAx val="81864192"/>
        <c:crosses val="autoZero"/>
        <c:auto val="1"/>
        <c:lblAlgn val="ctr"/>
        <c:lblOffset val="100"/>
      </c:catAx>
      <c:valAx>
        <c:axId val="81864192"/>
        <c:scaling>
          <c:orientation val="minMax"/>
        </c:scaling>
        <c:axPos val="l"/>
        <c:majorGridlines/>
        <c:numFmt formatCode="General" sourceLinked="1"/>
        <c:tickLblPos val="nextTo"/>
        <c:spPr>
          <a:ln>
            <a:noFill/>
          </a:ln>
        </c:spPr>
        <c:crossAx val="81862656"/>
        <c:crosses val="autoZero"/>
        <c:crossBetween val="between"/>
        <c:majorUnit val="3"/>
      </c:valAx>
    </c:plotArea>
    <c:plotVisOnly val="1"/>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35AD-CF1D-4514-B614-E44D1E41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0</TotalTime>
  <Pages>10</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thanhnx</cp:lastModifiedBy>
  <cp:revision>2</cp:revision>
  <cp:lastPrinted>2015-07-30T02:48:00Z</cp:lastPrinted>
  <dcterms:created xsi:type="dcterms:W3CDTF">2015-08-03T03:52:00Z</dcterms:created>
  <dcterms:modified xsi:type="dcterms:W3CDTF">2015-08-03T03:52:00Z</dcterms:modified>
</cp:coreProperties>
</file>