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jc w:val="center"/>
        <w:tblLook w:val="01E0"/>
      </w:tblPr>
      <w:tblGrid>
        <w:gridCol w:w="3556"/>
        <w:gridCol w:w="6488"/>
      </w:tblGrid>
      <w:tr w:rsidR="00900767" w:rsidRPr="003C1625" w:rsidTr="00B0278F">
        <w:trPr>
          <w:jc w:val="center"/>
        </w:trPr>
        <w:tc>
          <w:tcPr>
            <w:tcW w:w="3556" w:type="dxa"/>
          </w:tcPr>
          <w:p w:rsidR="00900767" w:rsidRPr="003C1625" w:rsidRDefault="00900767" w:rsidP="00910F80">
            <w:pPr>
              <w:widowControl w:val="0"/>
              <w:spacing w:after="0" w:line="288" w:lineRule="auto"/>
              <w:ind w:firstLine="0"/>
              <w:jc w:val="center"/>
              <w:rPr>
                <w:b/>
                <w:bCs/>
                <w:sz w:val="26"/>
                <w:szCs w:val="26"/>
                <w:lang w:val="vi-VN"/>
              </w:rPr>
            </w:pPr>
            <w:r w:rsidRPr="003C1625">
              <w:rPr>
                <w:b/>
                <w:bCs/>
                <w:sz w:val="26"/>
                <w:szCs w:val="26"/>
                <w:lang w:val="vi-VN"/>
              </w:rPr>
              <w:t xml:space="preserve">ỦY BAN GIÁM SÁT </w:t>
            </w:r>
          </w:p>
          <w:p w:rsidR="00900767" w:rsidRPr="003C1625" w:rsidRDefault="00900767" w:rsidP="00910F80">
            <w:pPr>
              <w:widowControl w:val="0"/>
              <w:spacing w:after="0" w:line="288" w:lineRule="auto"/>
              <w:ind w:firstLine="0"/>
              <w:jc w:val="center"/>
              <w:rPr>
                <w:b/>
                <w:bCs/>
                <w:sz w:val="26"/>
                <w:szCs w:val="26"/>
                <w:lang w:val="vi-VN"/>
              </w:rPr>
            </w:pPr>
            <w:r w:rsidRPr="003C1625">
              <w:rPr>
                <w:b/>
                <w:bCs/>
                <w:sz w:val="26"/>
                <w:szCs w:val="26"/>
                <w:lang w:val="vi-VN"/>
              </w:rPr>
              <w:t>TÀI CHÍNH QUỐC GIA</w:t>
            </w:r>
          </w:p>
          <w:p w:rsidR="00900767" w:rsidRPr="003C1625" w:rsidRDefault="00F55708" w:rsidP="00910F80">
            <w:pPr>
              <w:widowControl w:val="0"/>
              <w:spacing w:after="0" w:line="288" w:lineRule="auto"/>
              <w:ind w:firstLine="0"/>
              <w:jc w:val="center"/>
              <w:rPr>
                <w:sz w:val="26"/>
                <w:szCs w:val="26"/>
                <w:lang w:val="vi-VN"/>
              </w:rPr>
            </w:pPr>
            <w:r>
              <w:rPr>
                <w:noProof/>
                <w:sz w:val="26"/>
                <w:szCs w:val="26"/>
              </w:rPr>
              <w:pict>
                <v:line id="Line 2" o:spid="_x0000_s1026" style="position:absolute;left:0;text-align:left;z-index:251656192;visibility:visible;mso-wrap-distance-top:-1e-4mm;mso-wrap-distance-bottom:-1e-4mm"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CK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"/>
              </w:pict>
            </w:r>
          </w:p>
          <w:p w:rsidR="00900767" w:rsidRPr="003C1625" w:rsidRDefault="00900767" w:rsidP="00910F80">
            <w:pPr>
              <w:widowControl w:val="0"/>
              <w:spacing w:after="0" w:line="288" w:lineRule="auto"/>
              <w:ind w:firstLine="0"/>
              <w:jc w:val="center"/>
              <w:rPr>
                <w:sz w:val="26"/>
                <w:szCs w:val="26"/>
                <w:lang w:val="vi-VN"/>
              </w:rPr>
            </w:pPr>
            <w:r w:rsidRPr="003C1625">
              <w:rPr>
                <w:sz w:val="26"/>
                <w:szCs w:val="26"/>
                <w:lang w:val="vi-VN"/>
              </w:rPr>
              <w:t>Số:        /</w:t>
            </w:r>
            <w:r w:rsidR="000E5F9F" w:rsidRPr="00F71949">
              <w:rPr>
                <w:sz w:val="26"/>
                <w:szCs w:val="26"/>
                <w:lang w:val="vi-VN"/>
              </w:rPr>
              <w:t>BC-</w:t>
            </w:r>
            <w:r w:rsidRPr="003C1625">
              <w:rPr>
                <w:sz w:val="26"/>
                <w:szCs w:val="26"/>
                <w:lang w:val="vi-VN"/>
              </w:rPr>
              <w:t>UBGSTCQG</w:t>
            </w:r>
          </w:p>
        </w:tc>
        <w:tc>
          <w:tcPr>
            <w:tcW w:w="6488" w:type="dxa"/>
          </w:tcPr>
          <w:p w:rsidR="00900767" w:rsidRPr="003C1625" w:rsidRDefault="00900767" w:rsidP="00910F80">
            <w:pPr>
              <w:widowControl w:val="0"/>
              <w:spacing w:after="0" w:line="288" w:lineRule="auto"/>
              <w:jc w:val="center"/>
              <w:rPr>
                <w:b/>
                <w:bCs/>
                <w:sz w:val="26"/>
                <w:szCs w:val="26"/>
                <w:lang w:val="vi-VN"/>
              </w:rPr>
            </w:pPr>
            <w:r w:rsidRPr="003C1625">
              <w:rPr>
                <w:b/>
                <w:bCs/>
                <w:sz w:val="26"/>
                <w:szCs w:val="26"/>
                <w:lang w:val="vi-VN"/>
              </w:rPr>
              <w:t>CỘNG HÒA XÃ HỘI CHỦ NGHĨA VIỆT NAM</w:t>
            </w:r>
          </w:p>
          <w:p w:rsidR="00900767" w:rsidRPr="003C1625" w:rsidRDefault="00900767" w:rsidP="00910F80">
            <w:pPr>
              <w:widowControl w:val="0"/>
              <w:spacing w:after="0" w:line="288" w:lineRule="auto"/>
              <w:jc w:val="center"/>
              <w:rPr>
                <w:b/>
                <w:bCs/>
                <w:sz w:val="26"/>
                <w:szCs w:val="26"/>
                <w:lang w:val="vi-VN"/>
              </w:rPr>
            </w:pPr>
            <w:r w:rsidRPr="003C1625">
              <w:rPr>
                <w:b/>
                <w:bCs/>
                <w:sz w:val="26"/>
                <w:szCs w:val="26"/>
                <w:lang w:val="vi-VN"/>
              </w:rPr>
              <w:t>Độc lập - Tự do - Hạnh phúc</w:t>
            </w:r>
          </w:p>
          <w:p w:rsidR="00900767" w:rsidRPr="003C1625" w:rsidRDefault="00F55708" w:rsidP="00910F80">
            <w:pPr>
              <w:widowControl w:val="0"/>
              <w:spacing w:after="0" w:line="288" w:lineRule="auto"/>
              <w:ind w:left="397"/>
              <w:jc w:val="right"/>
              <w:rPr>
                <w:i/>
                <w:iCs/>
                <w:sz w:val="26"/>
                <w:szCs w:val="26"/>
              </w:rPr>
            </w:pPr>
            <w:r w:rsidRPr="00F55708">
              <w:rPr>
                <w:noProof/>
                <w:sz w:val="26"/>
                <w:szCs w:val="26"/>
              </w:rPr>
              <w:pict>
                <v:line id="Line 3" o:spid="_x0000_s1027" style="position:absolute;left:0;text-align:left;z-index:251657216;visibility:visible;mso-wrap-distance-top:-1e-4mm;mso-wrap-distance-bottom:-1e-4mm"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jm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"/>
              </w:pict>
            </w:r>
            <w:r w:rsidR="00900767" w:rsidRPr="003C1625">
              <w:rPr>
                <w:i/>
                <w:iCs/>
                <w:sz w:val="26"/>
                <w:szCs w:val="26"/>
                <w:lang w:val="vi-VN"/>
              </w:rPr>
              <w:t xml:space="preserve">      </w:t>
            </w:r>
          </w:p>
          <w:p w:rsidR="00900767" w:rsidRPr="003C1625" w:rsidRDefault="00900767" w:rsidP="00BC5ACA">
            <w:pPr>
              <w:widowControl w:val="0"/>
              <w:spacing w:after="0" w:line="288" w:lineRule="auto"/>
              <w:ind w:firstLine="0"/>
              <w:jc w:val="right"/>
              <w:rPr>
                <w:i/>
                <w:iCs/>
                <w:sz w:val="26"/>
                <w:szCs w:val="26"/>
              </w:rPr>
            </w:pPr>
            <w:r w:rsidRPr="003C1625">
              <w:rPr>
                <w:i/>
                <w:iCs/>
                <w:sz w:val="26"/>
                <w:szCs w:val="26"/>
                <w:lang w:val="vi-VN"/>
              </w:rPr>
              <w:t>Hà Nội, ngày</w:t>
            </w:r>
            <w:r w:rsidR="00B0278F" w:rsidRPr="003C1625">
              <w:rPr>
                <w:i/>
                <w:iCs/>
                <w:sz w:val="26"/>
                <w:szCs w:val="26"/>
              </w:rPr>
              <w:t xml:space="preserve"> </w:t>
            </w:r>
            <w:r w:rsidR="00F95AFA">
              <w:rPr>
                <w:i/>
                <w:iCs/>
                <w:sz w:val="26"/>
                <w:szCs w:val="26"/>
              </w:rPr>
              <w:t>2</w:t>
            </w:r>
            <w:r w:rsidR="00BC5ACA">
              <w:rPr>
                <w:i/>
                <w:iCs/>
                <w:sz w:val="26"/>
                <w:szCs w:val="26"/>
              </w:rPr>
              <w:t>9</w:t>
            </w:r>
            <w:r w:rsidR="00F95AFA" w:rsidRPr="003C1625">
              <w:rPr>
                <w:i/>
                <w:iCs/>
                <w:sz w:val="26"/>
                <w:szCs w:val="26"/>
              </w:rPr>
              <w:t xml:space="preserve"> </w:t>
            </w:r>
            <w:r w:rsidRPr="003C1625">
              <w:rPr>
                <w:i/>
                <w:iCs/>
                <w:sz w:val="26"/>
                <w:szCs w:val="26"/>
                <w:lang w:val="vi-VN"/>
              </w:rPr>
              <w:t>tháng</w:t>
            </w:r>
            <w:r w:rsidR="00640F8D">
              <w:rPr>
                <w:i/>
                <w:iCs/>
                <w:sz w:val="26"/>
                <w:szCs w:val="26"/>
              </w:rPr>
              <w:t xml:space="preserve"> 09 </w:t>
            </w:r>
            <w:r w:rsidR="00D63CF0" w:rsidRPr="003C1625">
              <w:rPr>
                <w:i/>
                <w:iCs/>
                <w:sz w:val="26"/>
                <w:szCs w:val="26"/>
              </w:rPr>
              <w:t xml:space="preserve"> </w:t>
            </w:r>
            <w:r w:rsidRPr="003C1625">
              <w:rPr>
                <w:i/>
                <w:iCs/>
                <w:sz w:val="26"/>
                <w:szCs w:val="26"/>
                <w:lang w:val="vi-VN"/>
              </w:rPr>
              <w:t>năm 201</w:t>
            </w:r>
            <w:r w:rsidR="00547EF8" w:rsidRPr="003C1625">
              <w:rPr>
                <w:i/>
                <w:iCs/>
                <w:sz w:val="26"/>
                <w:szCs w:val="26"/>
              </w:rPr>
              <w:t>5</w:t>
            </w:r>
          </w:p>
        </w:tc>
      </w:tr>
    </w:tbl>
    <w:p w:rsidR="00900767" w:rsidRPr="003C1625" w:rsidRDefault="00900767" w:rsidP="00910F80">
      <w:pPr>
        <w:spacing w:line="288" w:lineRule="auto"/>
        <w:rPr>
          <w:sz w:val="26"/>
          <w:szCs w:val="26"/>
        </w:rPr>
      </w:pPr>
    </w:p>
    <w:p w:rsidR="002B0EAB" w:rsidRPr="002B0EAB" w:rsidRDefault="002B0EAB" w:rsidP="002B0EAB">
      <w:pPr>
        <w:spacing w:after="200" w:line="276" w:lineRule="auto"/>
        <w:ind w:firstLine="0"/>
        <w:jc w:val="center"/>
        <w:rPr>
          <w:b/>
          <w:sz w:val="26"/>
          <w:szCs w:val="26"/>
        </w:rPr>
      </w:pPr>
      <w:r w:rsidRPr="002B0EAB">
        <w:rPr>
          <w:b/>
          <w:sz w:val="26"/>
          <w:szCs w:val="26"/>
        </w:rPr>
        <w:t>BÁO CÁO</w:t>
      </w:r>
    </w:p>
    <w:p w:rsidR="002B0EAB" w:rsidRPr="002B0EAB" w:rsidRDefault="002B0EAB" w:rsidP="002B0EAB">
      <w:pPr>
        <w:spacing w:after="200" w:line="276" w:lineRule="auto"/>
        <w:ind w:firstLine="0"/>
        <w:jc w:val="center"/>
        <w:rPr>
          <w:b/>
          <w:sz w:val="26"/>
          <w:szCs w:val="26"/>
        </w:rPr>
      </w:pPr>
      <w:r w:rsidRPr="002B0EAB">
        <w:rPr>
          <w:b/>
          <w:sz w:val="26"/>
          <w:szCs w:val="26"/>
        </w:rPr>
        <w:t xml:space="preserve">TÌNH HÌNH KINH TẾ THÁNG </w:t>
      </w:r>
      <w:r>
        <w:rPr>
          <w:b/>
          <w:sz w:val="26"/>
          <w:szCs w:val="26"/>
        </w:rPr>
        <w:t>9 VÀ 9</w:t>
      </w:r>
      <w:r w:rsidRPr="002B0EAB">
        <w:rPr>
          <w:b/>
          <w:sz w:val="26"/>
          <w:szCs w:val="26"/>
        </w:rPr>
        <w:t xml:space="preserve"> THÁNG ĐẦU NĂM 2015</w:t>
      </w:r>
    </w:p>
    <w:p w:rsidR="002B0EAB" w:rsidRPr="002B0EAB" w:rsidRDefault="002B0EAB" w:rsidP="002B0EAB">
      <w:pPr>
        <w:spacing w:after="200" w:line="276" w:lineRule="auto"/>
        <w:ind w:firstLine="0"/>
        <w:jc w:val="center"/>
        <w:rPr>
          <w:i/>
          <w:sz w:val="26"/>
          <w:szCs w:val="26"/>
        </w:rPr>
      </w:pPr>
      <w:r w:rsidRPr="002B0EAB">
        <w:rPr>
          <w:i/>
          <w:sz w:val="26"/>
          <w:szCs w:val="26"/>
        </w:rPr>
        <w:t>(Tài liệu phục vụ phiên họp Chính phủ tháng 9/2015)</w:t>
      </w:r>
    </w:p>
    <w:p w:rsidR="002B0EAB" w:rsidRPr="002B0EAB" w:rsidRDefault="002B0EAB" w:rsidP="002B0EAB">
      <w:pPr>
        <w:spacing w:after="200" w:line="276" w:lineRule="auto"/>
        <w:ind w:firstLine="0"/>
        <w:jc w:val="left"/>
        <w:rPr>
          <w:b/>
          <w:sz w:val="26"/>
          <w:szCs w:val="26"/>
        </w:rPr>
      </w:pPr>
    </w:p>
    <w:p w:rsidR="00B741E4" w:rsidRPr="00B741E4" w:rsidRDefault="00B741E4" w:rsidP="009403B4">
      <w:pPr>
        <w:pStyle w:val="ListParagraph"/>
        <w:numPr>
          <w:ilvl w:val="0"/>
          <w:numId w:val="33"/>
        </w:numPr>
        <w:tabs>
          <w:tab w:val="left" w:pos="851"/>
          <w:tab w:val="left" w:pos="3960"/>
          <w:tab w:val="left" w:pos="4590"/>
        </w:tabs>
        <w:spacing w:before="120" w:line="288" w:lineRule="auto"/>
        <w:ind w:left="714" w:hanging="357"/>
        <w:contextualSpacing w:val="0"/>
        <w:rPr>
          <w:rFonts w:eastAsia="Calibri"/>
          <w:i/>
          <w:sz w:val="26"/>
          <w:szCs w:val="26"/>
          <w:lang w:val="de-DE"/>
        </w:rPr>
      </w:pPr>
      <w:r w:rsidRPr="00B741E4">
        <w:rPr>
          <w:rFonts w:eastAsia="Calibri"/>
          <w:i/>
          <w:sz w:val="26"/>
          <w:szCs w:val="26"/>
          <w:lang w:val="pt-BR"/>
        </w:rPr>
        <w:t xml:space="preserve">Tăng trưởng kinh tế toàn cầu 2015 được dự báo thấp hơn năm 2014 do suy giảm tăng trưởng ở các nền kinh tế mới nổi. </w:t>
      </w:r>
      <w:r>
        <w:rPr>
          <w:rFonts w:eastAsia="Calibri"/>
          <w:i/>
          <w:sz w:val="26"/>
          <w:szCs w:val="26"/>
          <w:lang w:val="pt-BR"/>
        </w:rPr>
        <w:t>Trong khi t</w:t>
      </w:r>
      <w:r w:rsidRPr="00B741E4">
        <w:rPr>
          <w:rFonts w:eastAsia="Calibri"/>
          <w:i/>
          <w:sz w:val="26"/>
          <w:szCs w:val="26"/>
          <w:lang w:val="pt-BR"/>
        </w:rPr>
        <w:t>ăng trưởng của các nền kinh tế phát triển khả quan, nhất là Mỹ và Châu Âu</w:t>
      </w:r>
      <w:r>
        <w:rPr>
          <w:rFonts w:eastAsia="Calibri"/>
          <w:i/>
          <w:sz w:val="26"/>
          <w:szCs w:val="26"/>
          <w:lang w:val="pt-BR"/>
        </w:rPr>
        <w:t>, thì t</w:t>
      </w:r>
      <w:r w:rsidRPr="00B741E4">
        <w:rPr>
          <w:rFonts w:eastAsia="Calibri"/>
          <w:i/>
          <w:sz w:val="26"/>
          <w:szCs w:val="26"/>
          <w:lang w:val="pt-BR"/>
        </w:rPr>
        <w:t>ăng trưởng của các nền kinh tế mới nổi và đang phát triển suy giảm, nhất là các nước BRICS</w:t>
      </w:r>
      <w:r>
        <w:rPr>
          <w:rFonts w:eastAsia="Calibri"/>
          <w:i/>
          <w:sz w:val="26"/>
          <w:szCs w:val="26"/>
          <w:lang w:val="pt-BR"/>
        </w:rPr>
        <w:t xml:space="preserve">. </w:t>
      </w:r>
      <w:r w:rsidRPr="00B741E4">
        <w:rPr>
          <w:rFonts w:eastAsia="Calibri"/>
          <w:i/>
          <w:sz w:val="26"/>
          <w:szCs w:val="26"/>
          <w:lang w:val="pt-BR"/>
        </w:rPr>
        <w:t>Do những bất trắc đối với kinh tế thế giới nên FED đã trì hoãn việc tăng lãi suất, ít nhất là đến cuối năm 2015.</w:t>
      </w:r>
    </w:p>
    <w:p w:rsidR="0073590E" w:rsidRPr="0073590E" w:rsidRDefault="003C7685" w:rsidP="0073590E">
      <w:pPr>
        <w:pStyle w:val="ListParagraph"/>
        <w:numPr>
          <w:ilvl w:val="0"/>
          <w:numId w:val="33"/>
        </w:numPr>
        <w:tabs>
          <w:tab w:val="left" w:pos="851"/>
          <w:tab w:val="left" w:pos="3960"/>
          <w:tab w:val="left" w:pos="4590"/>
        </w:tabs>
        <w:spacing w:before="120" w:line="288" w:lineRule="auto"/>
        <w:ind w:left="714" w:hanging="357"/>
        <w:contextualSpacing w:val="0"/>
        <w:rPr>
          <w:rFonts w:eastAsiaTheme="minorEastAsia"/>
          <w:i/>
          <w:spacing w:val="-4"/>
          <w:sz w:val="26"/>
          <w:szCs w:val="26"/>
          <w:lang w:val="de-DE"/>
        </w:rPr>
      </w:pPr>
      <w:r>
        <w:rPr>
          <w:rFonts w:eastAsia="Calibri"/>
          <w:i/>
          <w:sz w:val="26"/>
          <w:szCs w:val="26"/>
          <w:lang w:val="pt-BR"/>
        </w:rPr>
        <w:t>Tăng trưởng trong nước</w:t>
      </w:r>
      <w:r w:rsidR="0073590E" w:rsidRPr="0073590E">
        <w:rPr>
          <w:lang w:val="de-DE"/>
        </w:rPr>
        <w:t xml:space="preserve"> </w:t>
      </w:r>
      <w:r>
        <w:rPr>
          <w:rFonts w:eastAsia="Calibri"/>
          <w:i/>
          <w:sz w:val="26"/>
          <w:szCs w:val="26"/>
          <w:lang w:val="pt-BR"/>
        </w:rPr>
        <w:t xml:space="preserve">giữ vững đà phục hồi trước những biến động kinh tế thế giới nhờ tăng trưởng mạnh mẽ của khu vực công nghiệp và xây dựng, nhất là công nghiệp chế biến, chế tạo. Trong khi đó, </w:t>
      </w:r>
      <w:r>
        <w:rPr>
          <w:i/>
          <w:sz w:val="26"/>
          <w:szCs w:val="26"/>
          <w:lang w:val="pl-PL"/>
        </w:rPr>
        <w:t>xuất khẩu có mức tăng khá so với các nước và đầu tư tư nhân cải thiện tích cực</w:t>
      </w:r>
      <w:r>
        <w:rPr>
          <w:sz w:val="26"/>
          <w:szCs w:val="26"/>
          <w:lang w:val="pl-PL"/>
        </w:rPr>
        <w:t xml:space="preserve">. </w:t>
      </w:r>
      <w:r>
        <w:rPr>
          <w:rFonts w:eastAsiaTheme="minorEastAsia"/>
          <w:i/>
          <w:sz w:val="26"/>
          <w:szCs w:val="26"/>
          <w:lang w:val="pl-PL"/>
        </w:rPr>
        <w:t xml:space="preserve">Hoạt động xản xuất kinh doanh tích cực giúp duy trì thu nội địa, bù đắp một phần tác động của giảm giá dầu. </w:t>
      </w:r>
    </w:p>
    <w:p w:rsidR="0073590E" w:rsidRPr="0073590E" w:rsidRDefault="0073590E" w:rsidP="0073590E">
      <w:pPr>
        <w:pStyle w:val="ListParagraph"/>
        <w:numPr>
          <w:ilvl w:val="0"/>
          <w:numId w:val="33"/>
        </w:numPr>
        <w:tabs>
          <w:tab w:val="left" w:pos="851"/>
          <w:tab w:val="left" w:pos="3960"/>
          <w:tab w:val="left" w:pos="4590"/>
        </w:tabs>
        <w:spacing w:before="120" w:line="288" w:lineRule="auto"/>
        <w:ind w:left="714" w:hanging="357"/>
        <w:contextualSpacing w:val="0"/>
        <w:rPr>
          <w:rFonts w:eastAsiaTheme="minorEastAsia"/>
          <w:i/>
          <w:sz w:val="26"/>
          <w:szCs w:val="26"/>
          <w:lang w:val="pl-PL"/>
        </w:rPr>
      </w:pPr>
      <w:r w:rsidRPr="0073590E">
        <w:rPr>
          <w:rFonts w:eastAsiaTheme="minorEastAsia"/>
          <w:i/>
          <w:sz w:val="26"/>
          <w:szCs w:val="26"/>
          <w:lang w:val="pl-PL"/>
        </w:rPr>
        <w:t xml:space="preserve">Kinh tế </w:t>
      </w:r>
      <w:r w:rsidR="003C7685">
        <w:rPr>
          <w:rFonts w:eastAsiaTheme="minorEastAsia"/>
          <w:i/>
          <w:sz w:val="26"/>
          <w:szCs w:val="26"/>
          <w:lang w:val="pl-PL"/>
        </w:rPr>
        <w:t xml:space="preserve">vĩ mô </w:t>
      </w:r>
      <w:r w:rsidRPr="0073590E">
        <w:rPr>
          <w:rFonts w:eastAsiaTheme="minorEastAsia"/>
          <w:i/>
          <w:sz w:val="26"/>
          <w:szCs w:val="26"/>
          <w:lang w:val="pl-PL"/>
        </w:rPr>
        <w:t>tiếp tục ổn định</w:t>
      </w:r>
      <w:r w:rsidR="003C7685">
        <w:rPr>
          <w:rFonts w:eastAsiaTheme="minorEastAsia"/>
          <w:i/>
          <w:sz w:val="26"/>
          <w:szCs w:val="26"/>
          <w:lang w:val="pl-PL"/>
        </w:rPr>
        <w:t xml:space="preserve">. </w:t>
      </w:r>
      <w:r w:rsidRPr="0073590E">
        <w:rPr>
          <w:rFonts w:eastAsiaTheme="minorEastAsia"/>
          <w:i/>
          <w:sz w:val="26"/>
          <w:szCs w:val="26"/>
          <w:lang w:val="pl-PL"/>
        </w:rPr>
        <w:t>Mặc dù trong tháng 9 lạm phát (so cùng kì năm trước) giảm xuống 0% nhưng lạm phát cơ bản vẫn ở mức 2,4%, là mức ổn định của lạm phát cơ bản trong suốt 7 tháng gần đây.</w:t>
      </w:r>
      <w:r w:rsidR="00B741E4">
        <w:rPr>
          <w:rFonts w:eastAsiaTheme="minorEastAsia"/>
          <w:i/>
          <w:sz w:val="26"/>
          <w:szCs w:val="26"/>
          <w:lang w:val="pl-PL"/>
        </w:rPr>
        <w:t xml:space="preserve"> Do diễn biến của giá dầu, </w:t>
      </w:r>
      <w:r w:rsidRPr="0073590E">
        <w:rPr>
          <w:rFonts w:eastAsiaTheme="minorEastAsia"/>
          <w:i/>
          <w:sz w:val="26"/>
          <w:szCs w:val="26"/>
          <w:lang w:val="pl-PL"/>
        </w:rPr>
        <w:t>UBGSTCQG giảm dự báo lạm phát năm 2015 xuống dưới 2%.</w:t>
      </w:r>
    </w:p>
    <w:p w:rsidR="00851F42" w:rsidRPr="00B741E4" w:rsidRDefault="00B741E4" w:rsidP="009403B4">
      <w:pPr>
        <w:pStyle w:val="ListParagraph"/>
        <w:numPr>
          <w:ilvl w:val="0"/>
          <w:numId w:val="33"/>
        </w:numPr>
        <w:tabs>
          <w:tab w:val="left" w:pos="3960"/>
          <w:tab w:val="left" w:pos="4590"/>
        </w:tabs>
        <w:spacing w:before="120" w:line="288" w:lineRule="auto"/>
        <w:ind w:left="714" w:hanging="357"/>
        <w:contextualSpacing w:val="0"/>
        <w:rPr>
          <w:rFonts w:eastAsiaTheme="minorEastAsia"/>
          <w:i/>
          <w:sz w:val="26"/>
          <w:szCs w:val="26"/>
          <w:lang w:val="pl-PL"/>
        </w:rPr>
      </w:pPr>
      <w:r w:rsidRPr="00B741E4">
        <w:rPr>
          <w:rFonts w:eastAsiaTheme="minorEastAsia"/>
          <w:i/>
          <w:spacing w:val="-4"/>
          <w:sz w:val="26"/>
          <w:szCs w:val="26"/>
          <w:lang w:val="de-DE"/>
        </w:rPr>
        <w:t>Khu vực tài chính có những tín hiệu tích cực</w:t>
      </w:r>
      <w:r w:rsidR="009403B4" w:rsidRPr="00B741E4">
        <w:rPr>
          <w:rFonts w:eastAsiaTheme="minorEastAsia"/>
          <w:i/>
          <w:sz w:val="26"/>
          <w:szCs w:val="26"/>
          <w:lang w:val="pl-PL"/>
        </w:rPr>
        <w:t>.</w:t>
      </w:r>
      <w:r w:rsidR="00851F42" w:rsidRPr="00B741E4">
        <w:rPr>
          <w:rFonts w:eastAsiaTheme="minorEastAsia"/>
          <w:i/>
          <w:sz w:val="26"/>
          <w:szCs w:val="26"/>
          <w:lang w:val="pl-PL"/>
        </w:rPr>
        <w:t xml:space="preserve"> </w:t>
      </w:r>
      <w:r w:rsidRPr="00B741E4">
        <w:rPr>
          <w:rFonts w:eastAsiaTheme="minorEastAsia"/>
          <w:i/>
          <w:sz w:val="26"/>
          <w:szCs w:val="26"/>
          <w:lang w:val="pl-PL"/>
        </w:rPr>
        <w:t>Khu vực ngân hàng ổn định thanh khoản, tăng trưởng tín dụng tốt, trích lập DPRR tăng.</w:t>
      </w:r>
      <w:r>
        <w:rPr>
          <w:rFonts w:eastAsiaTheme="minorEastAsia"/>
          <w:i/>
          <w:sz w:val="26"/>
          <w:szCs w:val="26"/>
          <w:lang w:val="pl-PL"/>
        </w:rPr>
        <w:t xml:space="preserve"> </w:t>
      </w:r>
      <w:r w:rsidRPr="00FC709A">
        <w:rPr>
          <w:i/>
          <w:sz w:val="26"/>
          <w:szCs w:val="26"/>
          <w:lang w:val="pl-PL"/>
        </w:rPr>
        <w:t xml:space="preserve">Thị trường </w:t>
      </w:r>
      <w:r>
        <w:rPr>
          <w:i/>
          <w:sz w:val="26"/>
          <w:szCs w:val="26"/>
          <w:lang w:val="pl-PL"/>
        </w:rPr>
        <w:t xml:space="preserve">cổ phiếu cũng ổn định trở lại trong tháng 9 sau những biến động kinh tế thế giới. </w:t>
      </w:r>
    </w:p>
    <w:p w:rsidR="00851F42" w:rsidRPr="00B741E4" w:rsidRDefault="00851F42" w:rsidP="009403B4">
      <w:pPr>
        <w:pStyle w:val="ListParagraph"/>
        <w:tabs>
          <w:tab w:val="left" w:pos="3960"/>
          <w:tab w:val="left" w:pos="4590"/>
        </w:tabs>
        <w:spacing w:before="120" w:line="360" w:lineRule="auto"/>
        <w:ind w:firstLine="0"/>
        <w:rPr>
          <w:rFonts w:eastAsiaTheme="minorEastAsia"/>
          <w:i/>
          <w:sz w:val="26"/>
          <w:szCs w:val="26"/>
          <w:lang w:val="pl-PL"/>
        </w:rPr>
      </w:pPr>
    </w:p>
    <w:p w:rsidR="002B0EAB" w:rsidRPr="00B741E4" w:rsidRDefault="002B0EAB">
      <w:pPr>
        <w:spacing w:after="200" w:line="276" w:lineRule="auto"/>
        <w:ind w:firstLine="0"/>
        <w:jc w:val="left"/>
        <w:rPr>
          <w:rFonts w:eastAsiaTheme="minorEastAsia"/>
          <w:b/>
          <w:i/>
          <w:sz w:val="26"/>
          <w:szCs w:val="26"/>
          <w:lang w:val="pl-PL"/>
        </w:rPr>
      </w:pPr>
    </w:p>
    <w:p w:rsidR="002B0EAB" w:rsidRPr="00B741E4" w:rsidRDefault="002B0EAB">
      <w:pPr>
        <w:spacing w:after="200" w:line="276" w:lineRule="auto"/>
        <w:ind w:firstLine="0"/>
        <w:jc w:val="left"/>
        <w:rPr>
          <w:rFonts w:eastAsiaTheme="minorEastAsia"/>
          <w:b/>
          <w:i/>
          <w:sz w:val="26"/>
          <w:szCs w:val="26"/>
          <w:highlight w:val="lightGray"/>
          <w:lang w:val="pl-PL"/>
        </w:rPr>
      </w:pPr>
      <w:r w:rsidRPr="00B741E4">
        <w:rPr>
          <w:rFonts w:eastAsiaTheme="minorEastAsia"/>
          <w:b/>
          <w:i/>
          <w:sz w:val="26"/>
          <w:szCs w:val="26"/>
          <w:highlight w:val="lightGray"/>
          <w:lang w:val="pl-PL"/>
        </w:rPr>
        <w:br w:type="page"/>
      </w:r>
    </w:p>
    <w:p w:rsidR="0073590E" w:rsidRPr="0073590E" w:rsidRDefault="0073590E" w:rsidP="0073590E">
      <w:pPr>
        <w:pStyle w:val="Footer"/>
        <w:numPr>
          <w:ilvl w:val="0"/>
          <w:numId w:val="12"/>
        </w:numPr>
        <w:tabs>
          <w:tab w:val="left" w:pos="284"/>
          <w:tab w:val="left" w:pos="567"/>
        </w:tabs>
        <w:spacing w:before="120" w:line="288" w:lineRule="auto"/>
        <w:ind w:left="1077" w:hanging="1077"/>
        <w:rPr>
          <w:b/>
          <w:sz w:val="26"/>
          <w:szCs w:val="26"/>
        </w:rPr>
      </w:pPr>
      <w:r w:rsidRPr="0073590E">
        <w:rPr>
          <w:b/>
          <w:sz w:val="26"/>
          <w:szCs w:val="26"/>
        </w:rPr>
        <w:lastRenderedPageBreak/>
        <w:t xml:space="preserve">KINH Tế </w:t>
      </w:r>
      <w:r w:rsidR="00181942">
        <w:rPr>
          <w:b/>
          <w:sz w:val="26"/>
          <w:szCs w:val="26"/>
        </w:rPr>
        <w:t>TH</w:t>
      </w:r>
      <w:r w:rsidR="00181942" w:rsidRPr="00181942">
        <w:rPr>
          <w:b/>
          <w:sz w:val="26"/>
          <w:szCs w:val="26"/>
        </w:rPr>
        <w:t>Ế</w:t>
      </w:r>
      <w:r w:rsidR="00181942">
        <w:rPr>
          <w:b/>
          <w:sz w:val="26"/>
          <w:szCs w:val="26"/>
        </w:rPr>
        <w:t xml:space="preserve"> GI</w:t>
      </w:r>
      <w:r w:rsidR="00181942" w:rsidRPr="00181942">
        <w:rPr>
          <w:b/>
          <w:sz w:val="26"/>
          <w:szCs w:val="26"/>
        </w:rPr>
        <w:t>ỚI</w:t>
      </w:r>
      <w:r w:rsidRPr="0073590E">
        <w:rPr>
          <w:b/>
          <w:sz w:val="26"/>
          <w:szCs w:val="26"/>
        </w:rPr>
        <w:t xml:space="preserve"> </w:t>
      </w:r>
    </w:p>
    <w:p w:rsidR="00633266" w:rsidRPr="00B741E4" w:rsidRDefault="00633266" w:rsidP="006268CF">
      <w:pPr>
        <w:spacing w:before="120" w:line="288" w:lineRule="auto"/>
        <w:ind w:firstLine="0"/>
        <w:jc w:val="left"/>
        <w:rPr>
          <w:rFonts w:eastAsiaTheme="minorEastAsia"/>
          <w:b/>
          <w:i/>
          <w:sz w:val="26"/>
          <w:szCs w:val="26"/>
          <w:lang w:val="pl-PL"/>
        </w:rPr>
      </w:pPr>
      <w:r w:rsidRPr="00B741E4">
        <w:rPr>
          <w:rFonts w:eastAsiaTheme="minorEastAsia"/>
          <w:b/>
          <w:i/>
          <w:sz w:val="26"/>
          <w:szCs w:val="26"/>
          <w:lang w:val="pl-PL"/>
        </w:rPr>
        <w:t xml:space="preserve">1. </w:t>
      </w:r>
      <w:r w:rsidR="00E0645C" w:rsidRPr="00B741E4">
        <w:rPr>
          <w:rFonts w:eastAsiaTheme="minorEastAsia"/>
          <w:b/>
          <w:i/>
          <w:sz w:val="26"/>
          <w:szCs w:val="26"/>
          <w:lang w:val="pl-PL"/>
        </w:rPr>
        <w:t>T</w:t>
      </w:r>
      <w:r w:rsidRPr="00B741E4">
        <w:rPr>
          <w:rFonts w:eastAsiaTheme="minorEastAsia"/>
          <w:b/>
          <w:i/>
          <w:sz w:val="26"/>
          <w:szCs w:val="26"/>
          <w:lang w:val="pl-PL"/>
        </w:rPr>
        <w:t xml:space="preserve">ăng trưởng kinh tế </w:t>
      </w:r>
    </w:p>
    <w:p w:rsidR="00F67AFB" w:rsidRPr="005A055D" w:rsidRDefault="001C1E9E" w:rsidP="006268CF">
      <w:pPr>
        <w:spacing w:before="120" w:line="288" w:lineRule="auto"/>
        <w:ind w:firstLine="567"/>
        <w:rPr>
          <w:rFonts w:eastAsia="Calibri"/>
          <w:sz w:val="26"/>
          <w:szCs w:val="26"/>
          <w:lang w:val="pt-BR"/>
        </w:rPr>
      </w:pPr>
      <w:r w:rsidRPr="008D6197">
        <w:rPr>
          <w:rFonts w:eastAsiaTheme="minorEastAsia"/>
          <w:sz w:val="26"/>
          <w:szCs w:val="26"/>
          <w:lang w:val="pl-PL"/>
        </w:rPr>
        <w:t>Tăn</w:t>
      </w:r>
      <w:r w:rsidRPr="008D6197">
        <w:rPr>
          <w:rFonts w:eastAsia="Calibri"/>
          <w:sz w:val="26"/>
          <w:szCs w:val="26"/>
          <w:lang w:val="pt-BR"/>
        </w:rPr>
        <w:t>g</w:t>
      </w:r>
      <w:r>
        <w:rPr>
          <w:rFonts w:eastAsia="Calibri"/>
          <w:sz w:val="26"/>
          <w:szCs w:val="26"/>
          <w:lang w:val="pt-BR"/>
        </w:rPr>
        <w:t xml:space="preserve"> trưởng</w:t>
      </w:r>
      <w:r w:rsidR="00F67AFB" w:rsidRPr="00AF7D45">
        <w:rPr>
          <w:rFonts w:eastAsia="Calibri"/>
          <w:sz w:val="26"/>
          <w:szCs w:val="26"/>
          <w:lang w:val="pt-BR"/>
        </w:rPr>
        <w:t xml:space="preserve"> kinh tế toàn cầu</w:t>
      </w:r>
      <w:r w:rsidR="00E10A4F">
        <w:rPr>
          <w:rFonts w:eastAsia="Calibri"/>
          <w:sz w:val="26"/>
          <w:szCs w:val="26"/>
          <w:lang w:val="pt-BR"/>
        </w:rPr>
        <w:t xml:space="preserve"> 2015 </w:t>
      </w:r>
      <w:r>
        <w:rPr>
          <w:rFonts w:eastAsia="Calibri"/>
          <w:sz w:val="26"/>
          <w:szCs w:val="26"/>
          <w:lang w:val="pt-BR"/>
        </w:rPr>
        <w:t>được dự báo thấp hơn năm 2014</w:t>
      </w:r>
      <w:r w:rsidR="00F67AFB" w:rsidRPr="00AF7D45">
        <w:rPr>
          <w:rFonts w:eastAsia="Calibri"/>
          <w:sz w:val="26"/>
          <w:szCs w:val="26"/>
          <w:lang w:val="pt-BR"/>
        </w:rPr>
        <w:t xml:space="preserve"> do </w:t>
      </w:r>
      <w:r>
        <w:rPr>
          <w:rFonts w:eastAsia="Calibri"/>
          <w:sz w:val="26"/>
          <w:szCs w:val="26"/>
          <w:lang w:val="pt-BR"/>
        </w:rPr>
        <w:t xml:space="preserve">suy giảm tăng trưởng ở các </w:t>
      </w:r>
      <w:r w:rsidR="006224A5">
        <w:rPr>
          <w:rFonts w:eastAsia="Calibri"/>
          <w:sz w:val="26"/>
          <w:szCs w:val="26"/>
          <w:lang w:val="pt-BR"/>
        </w:rPr>
        <w:t>nền kinh tế</w:t>
      </w:r>
      <w:r>
        <w:rPr>
          <w:rFonts w:eastAsia="Calibri"/>
          <w:sz w:val="26"/>
          <w:szCs w:val="26"/>
          <w:lang w:val="pt-BR"/>
        </w:rPr>
        <w:t xml:space="preserve"> mới nổi</w:t>
      </w:r>
      <w:r w:rsidR="00F67AFB">
        <w:rPr>
          <w:rFonts w:eastAsia="Calibri"/>
          <w:sz w:val="26"/>
          <w:szCs w:val="26"/>
          <w:lang w:val="pt-BR"/>
        </w:rPr>
        <w:t xml:space="preserve">. </w:t>
      </w:r>
      <w:r w:rsidR="006224A5">
        <w:rPr>
          <w:rFonts w:eastAsia="Calibri"/>
          <w:sz w:val="26"/>
          <w:szCs w:val="26"/>
          <w:lang w:val="pt-BR"/>
        </w:rPr>
        <w:t xml:space="preserve">Một số </w:t>
      </w:r>
      <w:r w:rsidR="005A055D">
        <w:rPr>
          <w:rFonts w:eastAsia="Calibri"/>
          <w:sz w:val="26"/>
          <w:szCs w:val="26"/>
          <w:lang w:val="pt-BR"/>
        </w:rPr>
        <w:t xml:space="preserve">tổ chức </w:t>
      </w:r>
      <w:r w:rsidR="00E10A4F">
        <w:rPr>
          <w:rFonts w:eastAsia="Calibri"/>
          <w:sz w:val="26"/>
          <w:szCs w:val="26"/>
          <w:lang w:val="pt-BR"/>
        </w:rPr>
        <w:t>tài chính quốc tế</w:t>
      </w:r>
      <w:r w:rsidR="005A055D">
        <w:rPr>
          <w:rFonts w:eastAsia="Calibri"/>
          <w:sz w:val="26"/>
          <w:szCs w:val="26"/>
          <w:lang w:val="pt-BR"/>
        </w:rPr>
        <w:t xml:space="preserve"> </w:t>
      </w:r>
      <w:r w:rsidR="006224A5">
        <w:rPr>
          <w:rFonts w:eastAsia="Calibri"/>
          <w:sz w:val="26"/>
          <w:szCs w:val="26"/>
          <w:lang w:val="pt-BR"/>
        </w:rPr>
        <w:t>đã</w:t>
      </w:r>
      <w:r w:rsidR="005A055D">
        <w:rPr>
          <w:rFonts w:eastAsia="Calibri"/>
          <w:sz w:val="26"/>
          <w:szCs w:val="26"/>
          <w:lang w:val="pt-BR"/>
        </w:rPr>
        <w:t xml:space="preserve"> hạ dự báo tăng trưởng kinh tế toàn cầu </w:t>
      </w:r>
      <w:r w:rsidR="006224A5">
        <w:rPr>
          <w:rFonts w:eastAsia="Calibri"/>
          <w:sz w:val="26"/>
          <w:szCs w:val="26"/>
          <w:lang w:val="pt-BR"/>
        </w:rPr>
        <w:t xml:space="preserve">cho </w:t>
      </w:r>
      <w:r w:rsidR="005A055D">
        <w:rPr>
          <w:rFonts w:eastAsia="Calibri"/>
          <w:sz w:val="26"/>
          <w:szCs w:val="26"/>
          <w:lang w:val="pt-BR"/>
        </w:rPr>
        <w:t xml:space="preserve">năm 2015 và 2016. </w:t>
      </w:r>
      <w:r w:rsidR="00F67AFB" w:rsidRPr="005A055D">
        <w:rPr>
          <w:rFonts w:eastAsia="Calibri"/>
          <w:sz w:val="26"/>
          <w:szCs w:val="26"/>
          <w:lang w:val="de-DE"/>
        </w:rPr>
        <w:t>OECD</w:t>
      </w:r>
      <w:r w:rsidR="005A055D">
        <w:rPr>
          <w:rFonts w:eastAsia="Calibri"/>
          <w:sz w:val="26"/>
          <w:szCs w:val="26"/>
          <w:lang w:val="de-DE"/>
        </w:rPr>
        <w:t xml:space="preserve"> </w:t>
      </w:r>
      <w:r>
        <w:rPr>
          <w:rFonts w:eastAsia="Calibri"/>
          <w:sz w:val="26"/>
          <w:szCs w:val="26"/>
          <w:lang w:val="de-DE"/>
        </w:rPr>
        <w:t>(tháng 9</w:t>
      </w:r>
      <w:r w:rsidR="006224A5">
        <w:rPr>
          <w:rFonts w:eastAsia="Calibri"/>
          <w:sz w:val="26"/>
          <w:szCs w:val="26"/>
          <w:lang w:val="de-DE"/>
        </w:rPr>
        <w:t>/2015</w:t>
      </w:r>
      <w:r>
        <w:rPr>
          <w:rFonts w:eastAsia="Calibri"/>
          <w:sz w:val="26"/>
          <w:szCs w:val="26"/>
          <w:lang w:val="de-DE"/>
        </w:rPr>
        <w:t xml:space="preserve">) </w:t>
      </w:r>
      <w:r w:rsidR="00F67AFB" w:rsidRPr="005A055D">
        <w:rPr>
          <w:rFonts w:eastAsia="Calibri"/>
          <w:sz w:val="26"/>
          <w:szCs w:val="26"/>
          <w:lang w:val="de-DE"/>
        </w:rPr>
        <w:t>dự báo</w:t>
      </w:r>
      <w:r w:rsidR="005A055D" w:rsidRPr="005A055D">
        <w:rPr>
          <w:rFonts w:eastAsia="Calibri"/>
          <w:sz w:val="26"/>
          <w:szCs w:val="26"/>
          <w:lang w:val="de-DE"/>
        </w:rPr>
        <w:t xml:space="preserve"> tăng trưởng GDP toàn cầu 2015 </w:t>
      </w:r>
      <w:r w:rsidR="00F67AFB" w:rsidRPr="005A055D">
        <w:rPr>
          <w:rFonts w:eastAsia="Calibri"/>
          <w:sz w:val="26"/>
          <w:szCs w:val="26"/>
          <w:lang w:val="de-DE"/>
        </w:rPr>
        <w:t>ở mức 3%</w:t>
      </w:r>
      <w:r w:rsidR="006224A5">
        <w:rPr>
          <w:rFonts w:eastAsia="Calibri"/>
          <w:sz w:val="26"/>
          <w:szCs w:val="26"/>
          <w:lang w:val="de-DE"/>
        </w:rPr>
        <w:t xml:space="preserve">, </w:t>
      </w:r>
      <w:r w:rsidR="00F67AFB" w:rsidRPr="005A055D">
        <w:rPr>
          <w:rFonts w:eastAsia="Calibri"/>
          <w:sz w:val="26"/>
          <w:szCs w:val="26"/>
          <w:lang w:val="de-DE"/>
        </w:rPr>
        <w:t xml:space="preserve">giảm 0,1 điểm phần trăm so với </w:t>
      </w:r>
      <w:r w:rsidR="006224A5">
        <w:rPr>
          <w:rFonts w:eastAsia="Calibri"/>
          <w:sz w:val="26"/>
          <w:szCs w:val="26"/>
          <w:lang w:val="de-DE"/>
        </w:rPr>
        <w:t>dự báo tại</w:t>
      </w:r>
      <w:r w:rsidR="002447B4">
        <w:rPr>
          <w:rFonts w:eastAsia="Calibri"/>
          <w:sz w:val="26"/>
          <w:szCs w:val="26"/>
          <w:lang w:val="de-DE"/>
        </w:rPr>
        <w:t xml:space="preserve"> tháng 1</w:t>
      </w:r>
      <w:r w:rsidR="006224A5">
        <w:rPr>
          <w:rFonts w:eastAsia="Calibri"/>
          <w:sz w:val="26"/>
          <w:szCs w:val="26"/>
          <w:lang w:val="de-DE"/>
        </w:rPr>
        <w:t>/2015 và</w:t>
      </w:r>
      <w:r w:rsidR="00F67AFB" w:rsidRPr="005A055D">
        <w:rPr>
          <w:rFonts w:eastAsia="Calibri"/>
          <w:sz w:val="26"/>
          <w:szCs w:val="26"/>
          <w:lang w:val="de-DE"/>
        </w:rPr>
        <w:t xml:space="preserve"> thấp hơn</w:t>
      </w:r>
      <w:r w:rsidR="001761BB">
        <w:rPr>
          <w:rFonts w:eastAsia="Calibri"/>
          <w:sz w:val="26"/>
          <w:szCs w:val="26"/>
          <w:lang w:val="de-DE"/>
        </w:rPr>
        <w:t xml:space="preserve"> mức 3,3% của</w:t>
      </w:r>
      <w:r w:rsidR="00F67AFB" w:rsidRPr="005A055D">
        <w:rPr>
          <w:rFonts w:eastAsia="Calibri"/>
          <w:sz w:val="26"/>
          <w:szCs w:val="26"/>
          <w:lang w:val="de-DE"/>
        </w:rPr>
        <w:t xml:space="preserve"> năm 2014. </w:t>
      </w:r>
      <w:r w:rsidR="005A055D">
        <w:rPr>
          <w:rFonts w:eastAsia="Calibri"/>
          <w:sz w:val="26"/>
          <w:szCs w:val="26"/>
          <w:lang w:val="de-DE"/>
        </w:rPr>
        <w:t>IMF</w:t>
      </w:r>
      <w:r w:rsidR="001761BB">
        <w:rPr>
          <w:rFonts w:eastAsia="Calibri"/>
          <w:sz w:val="26"/>
          <w:szCs w:val="26"/>
          <w:lang w:val="de-DE"/>
        </w:rPr>
        <w:t xml:space="preserve"> </w:t>
      </w:r>
      <w:r w:rsidR="006224A5">
        <w:rPr>
          <w:rFonts w:eastAsia="Calibri"/>
          <w:sz w:val="26"/>
          <w:szCs w:val="26"/>
          <w:lang w:val="de-DE"/>
        </w:rPr>
        <w:t>(</w:t>
      </w:r>
      <w:r w:rsidR="001761BB">
        <w:rPr>
          <w:rFonts w:eastAsia="Calibri"/>
          <w:sz w:val="26"/>
          <w:szCs w:val="26"/>
          <w:lang w:val="de-DE"/>
        </w:rPr>
        <w:t>tháng 7</w:t>
      </w:r>
      <w:r w:rsidR="006224A5">
        <w:rPr>
          <w:rFonts w:eastAsia="Calibri"/>
          <w:sz w:val="26"/>
          <w:szCs w:val="26"/>
          <w:lang w:val="de-DE"/>
        </w:rPr>
        <w:t>/2015)</w:t>
      </w:r>
      <w:r w:rsidR="005A055D">
        <w:rPr>
          <w:rFonts w:eastAsia="Calibri"/>
          <w:sz w:val="26"/>
          <w:szCs w:val="26"/>
          <w:lang w:val="de-DE"/>
        </w:rPr>
        <w:t xml:space="preserve"> cũng dự báo tăng trưởng 2015 ở mức 3,3%, giảm 0,1 điểm % </w:t>
      </w:r>
      <w:r w:rsidR="00AA7F68">
        <w:rPr>
          <w:rFonts w:eastAsia="Calibri"/>
          <w:sz w:val="26"/>
          <w:szCs w:val="26"/>
          <w:lang w:val="de-DE"/>
        </w:rPr>
        <w:t>so với</w:t>
      </w:r>
      <w:r w:rsidR="005A055D">
        <w:rPr>
          <w:rFonts w:eastAsia="Calibri"/>
          <w:sz w:val="26"/>
          <w:szCs w:val="26"/>
          <w:lang w:val="de-DE"/>
        </w:rPr>
        <w:t xml:space="preserve"> dự báo </w:t>
      </w:r>
      <w:r w:rsidR="006224A5">
        <w:rPr>
          <w:rFonts w:eastAsia="Calibri"/>
          <w:sz w:val="26"/>
          <w:szCs w:val="26"/>
          <w:lang w:val="de-DE"/>
        </w:rPr>
        <w:t>tại</w:t>
      </w:r>
      <w:r w:rsidR="005A055D">
        <w:rPr>
          <w:rFonts w:eastAsia="Calibri"/>
          <w:sz w:val="26"/>
          <w:szCs w:val="26"/>
          <w:lang w:val="de-DE"/>
        </w:rPr>
        <w:t xml:space="preserve"> tháng 4</w:t>
      </w:r>
      <w:r w:rsidR="006224A5">
        <w:rPr>
          <w:rFonts w:eastAsia="Calibri"/>
          <w:sz w:val="26"/>
          <w:szCs w:val="26"/>
          <w:lang w:val="de-DE"/>
        </w:rPr>
        <w:t>/2015</w:t>
      </w:r>
      <w:r w:rsidR="005A055D">
        <w:rPr>
          <w:rFonts w:eastAsia="Calibri"/>
          <w:sz w:val="26"/>
          <w:szCs w:val="26"/>
          <w:lang w:val="de-DE"/>
        </w:rPr>
        <w:t xml:space="preserve"> và thấp hơn mức 3,4% của năm 2014.</w:t>
      </w:r>
      <w:r w:rsidR="00AA7F68">
        <w:rPr>
          <w:rFonts w:eastAsia="Calibri"/>
          <w:sz w:val="26"/>
          <w:szCs w:val="26"/>
          <w:lang w:val="de-DE"/>
        </w:rPr>
        <w:t xml:space="preserve"> Do những bất trắc</w:t>
      </w:r>
      <w:r w:rsidR="006224A5">
        <w:rPr>
          <w:rFonts w:eastAsia="Calibri"/>
          <w:sz w:val="26"/>
          <w:szCs w:val="26"/>
          <w:lang w:val="de-DE"/>
        </w:rPr>
        <w:t xml:space="preserve"> đối với</w:t>
      </w:r>
      <w:r w:rsidR="00AA7F68">
        <w:rPr>
          <w:rFonts w:eastAsia="Calibri"/>
          <w:sz w:val="26"/>
          <w:szCs w:val="26"/>
          <w:lang w:val="de-DE"/>
        </w:rPr>
        <w:t xml:space="preserve"> kinh tế thế giới </w:t>
      </w:r>
      <w:r w:rsidR="006224A5">
        <w:rPr>
          <w:rFonts w:eastAsia="Calibri"/>
          <w:sz w:val="26"/>
          <w:szCs w:val="26"/>
          <w:lang w:val="de-DE"/>
        </w:rPr>
        <w:t xml:space="preserve">nên FED </w:t>
      </w:r>
      <w:r w:rsidR="00AA7F68">
        <w:rPr>
          <w:rFonts w:eastAsia="Calibri"/>
          <w:sz w:val="26"/>
          <w:szCs w:val="26"/>
          <w:lang w:val="de-DE"/>
        </w:rPr>
        <w:t>đã trì hoãn việc tăng lãi suất</w:t>
      </w:r>
      <w:r w:rsidR="006224A5">
        <w:rPr>
          <w:rFonts w:eastAsia="Calibri"/>
          <w:sz w:val="26"/>
          <w:szCs w:val="26"/>
          <w:lang w:val="de-DE"/>
        </w:rPr>
        <w:t>, ít nhất là đến</w:t>
      </w:r>
      <w:r w:rsidR="00AA7F68">
        <w:rPr>
          <w:rFonts w:eastAsia="Calibri"/>
          <w:sz w:val="26"/>
          <w:szCs w:val="26"/>
          <w:lang w:val="de-DE"/>
        </w:rPr>
        <w:t xml:space="preserve"> cuối năm 2015.</w:t>
      </w:r>
    </w:p>
    <w:p w:rsidR="0073590E" w:rsidRPr="0073590E" w:rsidRDefault="0073590E" w:rsidP="0073590E">
      <w:pPr>
        <w:tabs>
          <w:tab w:val="left" w:pos="3960"/>
          <w:tab w:val="left" w:pos="4590"/>
        </w:tabs>
        <w:spacing w:before="120" w:line="288" w:lineRule="auto"/>
        <w:ind w:firstLine="567"/>
        <w:rPr>
          <w:rFonts w:eastAsia="Calibri"/>
          <w:b/>
          <w:i/>
          <w:sz w:val="26"/>
          <w:szCs w:val="26"/>
          <w:lang w:val="de-DE"/>
        </w:rPr>
      </w:pPr>
      <w:r w:rsidRPr="0073590E">
        <w:rPr>
          <w:rFonts w:eastAsia="Calibri"/>
          <w:b/>
          <w:i/>
          <w:sz w:val="26"/>
          <w:szCs w:val="26"/>
          <w:lang w:val="de-DE"/>
        </w:rPr>
        <w:t>Tăng trưởng của các nền kinh tế phát triển khả quan</w:t>
      </w:r>
      <w:r w:rsidR="00B741E4">
        <w:rPr>
          <w:rFonts w:eastAsia="Calibri"/>
          <w:b/>
          <w:i/>
          <w:sz w:val="26"/>
          <w:szCs w:val="26"/>
          <w:lang w:val="de-DE"/>
        </w:rPr>
        <w:t>,</w:t>
      </w:r>
      <w:r w:rsidRPr="0073590E">
        <w:rPr>
          <w:rFonts w:eastAsia="Calibri"/>
          <w:b/>
          <w:i/>
          <w:sz w:val="26"/>
          <w:szCs w:val="26"/>
          <w:lang w:val="de-DE"/>
        </w:rPr>
        <w:t xml:space="preserve"> nhất là Mỹ và Châu Âu</w:t>
      </w:r>
    </w:p>
    <w:p w:rsidR="00B67A62" w:rsidRDefault="0073590E" w:rsidP="006268CF">
      <w:pPr>
        <w:tabs>
          <w:tab w:val="left" w:pos="3960"/>
          <w:tab w:val="left" w:pos="4590"/>
        </w:tabs>
        <w:spacing w:before="120" w:line="288" w:lineRule="auto"/>
        <w:ind w:firstLine="567"/>
        <w:rPr>
          <w:rFonts w:eastAsia="Calibri"/>
          <w:sz w:val="26"/>
          <w:szCs w:val="26"/>
          <w:lang w:val="de-DE"/>
        </w:rPr>
      </w:pPr>
      <w:r w:rsidRPr="0073590E">
        <w:rPr>
          <w:rFonts w:eastAsia="Calibri"/>
          <w:i/>
          <w:sz w:val="26"/>
          <w:szCs w:val="26"/>
          <w:lang w:val="de-DE"/>
        </w:rPr>
        <w:t>Mỹ,</w:t>
      </w:r>
      <w:r w:rsidR="00F67AFB" w:rsidRPr="00AF7D45">
        <w:rPr>
          <w:rFonts w:eastAsia="Calibri"/>
          <w:i/>
          <w:sz w:val="26"/>
          <w:szCs w:val="26"/>
          <w:lang w:val="de-DE"/>
        </w:rPr>
        <w:t xml:space="preserve"> </w:t>
      </w:r>
      <w:r w:rsidR="00F67AFB" w:rsidRPr="00AF7D45">
        <w:rPr>
          <w:rFonts w:eastAsia="Calibri"/>
          <w:sz w:val="26"/>
          <w:szCs w:val="26"/>
          <w:lang w:val="de-DE"/>
        </w:rPr>
        <w:t xml:space="preserve">tăng trưởng </w:t>
      </w:r>
      <w:r w:rsidR="00AA7F68">
        <w:rPr>
          <w:rFonts w:eastAsia="Calibri"/>
          <w:sz w:val="26"/>
          <w:szCs w:val="26"/>
          <w:lang w:val="de-DE"/>
        </w:rPr>
        <w:t xml:space="preserve">quý II </w:t>
      </w:r>
      <w:r w:rsidR="004F3B68">
        <w:rPr>
          <w:rFonts w:eastAsia="Calibri"/>
          <w:sz w:val="26"/>
          <w:szCs w:val="26"/>
          <w:lang w:val="de-DE"/>
        </w:rPr>
        <w:t xml:space="preserve">đạt </w:t>
      </w:r>
      <w:r w:rsidR="00F67AFB" w:rsidRPr="00AF7D45">
        <w:rPr>
          <w:rFonts w:eastAsia="Calibri"/>
          <w:sz w:val="26"/>
          <w:szCs w:val="26"/>
          <w:lang w:val="de-DE"/>
        </w:rPr>
        <w:t>3,7%</w:t>
      </w:r>
      <w:r w:rsidR="00F67AFB" w:rsidRPr="00AF7D45">
        <w:rPr>
          <w:rStyle w:val="FootnoteReference"/>
          <w:rFonts w:eastAsia="Calibri"/>
          <w:sz w:val="26"/>
          <w:szCs w:val="26"/>
          <w:lang w:val="de-DE"/>
        </w:rPr>
        <w:footnoteReference w:id="1"/>
      </w:r>
      <w:r w:rsidR="00F67AFB" w:rsidRPr="00AF7D45">
        <w:rPr>
          <w:rFonts w:eastAsia="Calibri"/>
          <w:sz w:val="26"/>
          <w:szCs w:val="26"/>
          <w:lang w:val="de-DE"/>
        </w:rPr>
        <w:t xml:space="preserve"> cao hơn </w:t>
      </w:r>
      <w:r w:rsidR="00AA7F68">
        <w:rPr>
          <w:rFonts w:eastAsia="Calibri"/>
          <w:sz w:val="26"/>
          <w:szCs w:val="26"/>
          <w:lang w:val="de-DE"/>
        </w:rPr>
        <w:t xml:space="preserve">mức </w:t>
      </w:r>
      <w:r w:rsidR="00F67AFB" w:rsidRPr="00AF7D45">
        <w:rPr>
          <w:rFonts w:eastAsia="Calibri"/>
          <w:sz w:val="26"/>
          <w:szCs w:val="26"/>
          <w:lang w:val="de-DE"/>
        </w:rPr>
        <w:t>0,6%</w:t>
      </w:r>
      <w:r w:rsidR="00AA7F68">
        <w:rPr>
          <w:rFonts w:eastAsia="Calibri"/>
          <w:sz w:val="26"/>
          <w:szCs w:val="26"/>
          <w:lang w:val="de-DE"/>
        </w:rPr>
        <w:t xml:space="preserve"> của quý trước</w:t>
      </w:r>
      <w:r w:rsidR="00F67AFB" w:rsidRPr="00AF7D45">
        <w:rPr>
          <w:rFonts w:eastAsia="Calibri"/>
          <w:sz w:val="26"/>
          <w:szCs w:val="26"/>
          <w:lang w:val="de-DE"/>
        </w:rPr>
        <w:t>.</w:t>
      </w:r>
      <w:r w:rsidR="00F67AFB">
        <w:rPr>
          <w:rFonts w:eastAsia="Calibri"/>
          <w:sz w:val="26"/>
          <w:szCs w:val="26"/>
          <w:lang w:val="de-DE"/>
        </w:rPr>
        <w:t xml:space="preserve"> T</w:t>
      </w:r>
      <w:r w:rsidR="00F67AFB" w:rsidRPr="008778BD">
        <w:rPr>
          <w:rFonts w:eastAsia="Calibri"/>
          <w:sz w:val="26"/>
          <w:szCs w:val="26"/>
          <w:lang w:val="de-DE"/>
        </w:rPr>
        <w:t>ỷ lệ thất nghiệp đã giảm xuống 5,1%</w:t>
      </w:r>
      <w:r w:rsidR="00F67AFB">
        <w:rPr>
          <w:rFonts w:eastAsia="Calibri"/>
          <w:sz w:val="26"/>
          <w:szCs w:val="26"/>
          <w:lang w:val="de-DE"/>
        </w:rPr>
        <w:t xml:space="preserve">; </w:t>
      </w:r>
      <w:r w:rsidR="00F67AFB" w:rsidRPr="00AF7D45">
        <w:rPr>
          <w:rFonts w:eastAsia="Calibri"/>
          <w:sz w:val="26"/>
          <w:szCs w:val="26"/>
          <w:lang w:val="de-DE"/>
        </w:rPr>
        <w:t xml:space="preserve"> </w:t>
      </w:r>
      <w:r w:rsidR="00D521CC">
        <w:rPr>
          <w:rFonts w:eastAsia="Calibri"/>
          <w:sz w:val="26"/>
          <w:szCs w:val="26"/>
          <w:lang w:val="de-DE"/>
        </w:rPr>
        <w:t xml:space="preserve">Tỷ lệ lạm phát của tháng 8 tăng 0,2% so với cùng kỳ 2014. </w:t>
      </w:r>
    </w:p>
    <w:p w:rsidR="00F67AFB" w:rsidRPr="00B67A62" w:rsidRDefault="0073590E" w:rsidP="006268CF">
      <w:pPr>
        <w:tabs>
          <w:tab w:val="left" w:pos="3960"/>
          <w:tab w:val="left" w:pos="4590"/>
        </w:tabs>
        <w:spacing w:before="120" w:line="288" w:lineRule="auto"/>
        <w:ind w:firstLine="567"/>
        <w:rPr>
          <w:rFonts w:eastAsia="Calibri"/>
          <w:sz w:val="26"/>
          <w:szCs w:val="26"/>
          <w:lang w:val="de-DE"/>
        </w:rPr>
      </w:pPr>
      <w:r w:rsidRPr="0073590E">
        <w:rPr>
          <w:i/>
          <w:sz w:val="26"/>
          <w:szCs w:val="26"/>
          <w:lang w:val="de-DE"/>
        </w:rPr>
        <w:t>Châu Âu,</w:t>
      </w:r>
      <w:r w:rsidR="00F67AFB" w:rsidRPr="00AF7D45">
        <w:rPr>
          <w:b/>
          <w:i/>
          <w:sz w:val="26"/>
          <w:szCs w:val="26"/>
          <w:lang w:val="de-DE"/>
        </w:rPr>
        <w:t xml:space="preserve"> </w:t>
      </w:r>
      <w:r w:rsidR="00F67AFB" w:rsidRPr="00AF7D45">
        <w:rPr>
          <w:sz w:val="26"/>
          <w:szCs w:val="26"/>
          <w:lang w:val="de-DE"/>
        </w:rPr>
        <w:t xml:space="preserve">có dấu hiệu cải thiện </w:t>
      </w:r>
      <w:r w:rsidR="004F3B68">
        <w:rPr>
          <w:sz w:val="26"/>
          <w:szCs w:val="26"/>
          <w:lang w:val="de-DE"/>
        </w:rPr>
        <w:t>nhưng</w:t>
      </w:r>
      <w:r w:rsidR="00F67AFB" w:rsidRPr="00AF7D45">
        <w:rPr>
          <w:sz w:val="26"/>
          <w:szCs w:val="26"/>
          <w:lang w:val="de-DE"/>
        </w:rPr>
        <w:t xml:space="preserve"> </w:t>
      </w:r>
      <w:r w:rsidR="004F3B68">
        <w:rPr>
          <w:sz w:val="26"/>
          <w:szCs w:val="26"/>
          <w:lang w:val="de-DE"/>
        </w:rPr>
        <w:t>còn</w:t>
      </w:r>
      <w:r w:rsidR="00F67AFB" w:rsidRPr="00AF7D45">
        <w:rPr>
          <w:sz w:val="26"/>
          <w:szCs w:val="26"/>
          <w:lang w:val="de-DE"/>
        </w:rPr>
        <w:t xml:space="preserve"> chậm, tăng trưởng GDP</w:t>
      </w:r>
      <w:r w:rsidR="00F67AFB" w:rsidRPr="00AF7D45">
        <w:rPr>
          <w:b/>
          <w:i/>
          <w:sz w:val="26"/>
          <w:szCs w:val="26"/>
          <w:lang w:val="de-DE"/>
        </w:rPr>
        <w:t xml:space="preserve"> </w:t>
      </w:r>
      <w:r w:rsidR="00F67AFB" w:rsidRPr="00AF7D45">
        <w:rPr>
          <w:sz w:val="26"/>
          <w:szCs w:val="26"/>
          <w:lang w:val="de-DE"/>
        </w:rPr>
        <w:t xml:space="preserve">quý II đạt </w:t>
      </w:r>
      <w:r w:rsidR="00395646">
        <w:rPr>
          <w:sz w:val="26"/>
          <w:szCs w:val="26"/>
          <w:lang w:val="de-DE"/>
        </w:rPr>
        <w:t>0,4</w:t>
      </w:r>
      <w:r w:rsidR="00F67AFB" w:rsidRPr="00AF7D45">
        <w:rPr>
          <w:sz w:val="26"/>
          <w:szCs w:val="26"/>
          <w:lang w:val="de-DE"/>
        </w:rPr>
        <w:t xml:space="preserve">% (cao hơn mức </w:t>
      </w:r>
      <w:r w:rsidR="00395646">
        <w:rPr>
          <w:sz w:val="26"/>
          <w:szCs w:val="26"/>
          <w:lang w:val="de-DE"/>
        </w:rPr>
        <w:t>0,1</w:t>
      </w:r>
      <w:r w:rsidR="00F67AFB" w:rsidRPr="00AF7D45">
        <w:rPr>
          <w:sz w:val="26"/>
          <w:szCs w:val="26"/>
          <w:lang w:val="de-DE"/>
        </w:rPr>
        <w:t xml:space="preserve">% của </w:t>
      </w:r>
      <w:r w:rsidR="00395646">
        <w:rPr>
          <w:sz w:val="26"/>
          <w:szCs w:val="26"/>
          <w:lang w:val="de-DE"/>
        </w:rPr>
        <w:t>cùng kỳ 2014</w:t>
      </w:r>
      <w:r w:rsidR="00F67AFB" w:rsidRPr="00AF7D45">
        <w:rPr>
          <w:sz w:val="26"/>
          <w:szCs w:val="26"/>
          <w:lang w:val="de-DE"/>
        </w:rPr>
        <w:t>)</w:t>
      </w:r>
      <w:r w:rsidR="005B6D14">
        <w:rPr>
          <w:sz w:val="26"/>
          <w:szCs w:val="26"/>
          <w:lang w:val="de-DE"/>
        </w:rPr>
        <w:t>; chỉ số PMI tháng 8 dù giảm nhẹ so với tháng 7 (0,1 điểm) nhưng vẫn đạt 52,3 điểm</w:t>
      </w:r>
      <w:r w:rsidR="00F67AFB" w:rsidRPr="00AF7D45">
        <w:rPr>
          <w:sz w:val="26"/>
          <w:szCs w:val="26"/>
          <w:lang w:val="de-DE"/>
        </w:rPr>
        <w:t>, tỷ lệ thất nghiệp tháng 7 là 10,9% thấp hơn mức 11,1% của tháng trước</w:t>
      </w:r>
      <w:r w:rsidR="004F3B68">
        <w:rPr>
          <w:sz w:val="26"/>
          <w:szCs w:val="26"/>
          <w:lang w:val="de-DE"/>
        </w:rPr>
        <w:t xml:space="preserve"> đó</w:t>
      </w:r>
      <w:r w:rsidR="00F67AFB" w:rsidRPr="00AF7D45">
        <w:rPr>
          <w:sz w:val="26"/>
          <w:szCs w:val="26"/>
          <w:lang w:val="de-DE"/>
        </w:rPr>
        <w:t>. Tuy nhiên, lạm phát tháng 8 là 0,1% thấp hơn mứ</w:t>
      </w:r>
      <w:r w:rsidR="005B6D14">
        <w:rPr>
          <w:sz w:val="26"/>
          <w:szCs w:val="26"/>
          <w:lang w:val="de-DE"/>
        </w:rPr>
        <w:t>c 0,2% của tháng 7</w:t>
      </w:r>
      <w:r w:rsidR="00F67AFB" w:rsidRPr="00AF7D45">
        <w:rPr>
          <w:sz w:val="26"/>
          <w:szCs w:val="26"/>
          <w:lang w:val="de-DE"/>
        </w:rPr>
        <w:t>. Do được hưởng lợi từ đồng euro yếu nên kim ngạch xuất khẩu của khu vực trong tháng 6 đạt 182,7 tỷ euro</w:t>
      </w:r>
      <w:r w:rsidR="00F67AFB" w:rsidRPr="00AF7D45">
        <w:rPr>
          <w:rStyle w:val="FootnoteReference"/>
          <w:sz w:val="26"/>
          <w:szCs w:val="26"/>
        </w:rPr>
        <w:footnoteReference w:id="2"/>
      </w:r>
      <w:r w:rsidR="00F67AFB" w:rsidRPr="00AF7D45">
        <w:rPr>
          <w:sz w:val="26"/>
          <w:szCs w:val="26"/>
          <w:lang w:val="de-DE"/>
        </w:rPr>
        <w:t>, tăng 12% so với cùng kỳ năm 2014, đưa thặng dư thương mại hàng hóa của khu vực lên 26,3 tỷ euro. Lo ngại về giảm phát sẽ là lý do để ECB khởi động chương trình QE theo phương thức mỗi tháng mua 60 tỷ Euro trái phiếu chính phủ cho đến tháng 9/2016.</w:t>
      </w:r>
    </w:p>
    <w:p w:rsidR="00F67AFB" w:rsidRPr="00AF7D45" w:rsidRDefault="0073590E" w:rsidP="006268CF">
      <w:pPr>
        <w:spacing w:before="120" w:line="288" w:lineRule="auto"/>
        <w:rPr>
          <w:sz w:val="26"/>
          <w:szCs w:val="26"/>
          <w:lang w:val="de-DE"/>
        </w:rPr>
      </w:pPr>
      <w:r w:rsidRPr="0073590E">
        <w:rPr>
          <w:i/>
          <w:sz w:val="26"/>
          <w:szCs w:val="26"/>
          <w:lang w:val="de-DE"/>
        </w:rPr>
        <w:t>Nhật Bản,</w:t>
      </w:r>
      <w:r w:rsidR="00F67AFB" w:rsidRPr="00AF7D45">
        <w:rPr>
          <w:b/>
          <w:i/>
          <w:sz w:val="26"/>
          <w:szCs w:val="26"/>
          <w:lang w:val="de-DE"/>
        </w:rPr>
        <w:t xml:space="preserve"> </w:t>
      </w:r>
      <w:r w:rsidR="00F67AFB" w:rsidRPr="00AF7D45">
        <w:rPr>
          <w:sz w:val="26"/>
          <w:szCs w:val="26"/>
          <w:lang w:val="de-DE"/>
        </w:rPr>
        <w:t xml:space="preserve">suy giảm kinh tế trong quý II khi tốc độ tăng tưởng là </w:t>
      </w:r>
      <w:r w:rsidR="00395646">
        <w:rPr>
          <w:sz w:val="26"/>
          <w:szCs w:val="26"/>
          <w:lang w:val="de-DE"/>
        </w:rPr>
        <w:t>0,3</w:t>
      </w:r>
      <w:r w:rsidR="00F67AFB" w:rsidRPr="00AF7D45">
        <w:rPr>
          <w:sz w:val="26"/>
          <w:szCs w:val="26"/>
          <w:lang w:val="de-DE"/>
        </w:rPr>
        <w:t>%</w:t>
      </w:r>
      <w:r w:rsidR="00F67AFB" w:rsidRPr="00AF7D45">
        <w:rPr>
          <w:rStyle w:val="FootnoteReference"/>
          <w:sz w:val="26"/>
          <w:szCs w:val="26"/>
          <w:lang w:val="de-DE"/>
        </w:rPr>
        <w:footnoteReference w:id="3"/>
      </w:r>
      <w:r w:rsidR="00F67AFB" w:rsidRPr="00AF7D45">
        <w:rPr>
          <w:sz w:val="26"/>
          <w:szCs w:val="26"/>
          <w:lang w:val="de-DE"/>
        </w:rPr>
        <w:t xml:space="preserve"> </w:t>
      </w:r>
      <w:r w:rsidR="00282066">
        <w:rPr>
          <w:sz w:val="26"/>
          <w:szCs w:val="26"/>
          <w:lang w:val="de-DE"/>
        </w:rPr>
        <w:t>(</w:t>
      </w:r>
      <w:r w:rsidR="00F67AFB" w:rsidRPr="00AF7D45">
        <w:rPr>
          <w:sz w:val="26"/>
          <w:szCs w:val="26"/>
          <w:lang w:val="de-DE"/>
        </w:rPr>
        <w:t>quý trước</w:t>
      </w:r>
      <w:r w:rsidR="00395646">
        <w:rPr>
          <w:sz w:val="26"/>
          <w:szCs w:val="26"/>
          <w:lang w:val="de-DE"/>
        </w:rPr>
        <w:t xml:space="preserve"> tăng 1,1%</w:t>
      </w:r>
      <w:r w:rsidR="00282066">
        <w:rPr>
          <w:sz w:val="26"/>
          <w:szCs w:val="26"/>
          <w:lang w:val="de-DE"/>
        </w:rPr>
        <w:t>)</w:t>
      </w:r>
      <w:r w:rsidR="00F67AFB" w:rsidRPr="00AF7D45">
        <w:rPr>
          <w:sz w:val="26"/>
          <w:szCs w:val="26"/>
          <w:lang w:val="de-DE"/>
        </w:rPr>
        <w:t xml:space="preserve">. </w:t>
      </w:r>
      <w:r w:rsidR="00282066">
        <w:rPr>
          <w:sz w:val="26"/>
          <w:szCs w:val="26"/>
          <w:lang w:val="de-DE"/>
        </w:rPr>
        <w:t>T</w:t>
      </w:r>
      <w:r w:rsidR="00F67AFB" w:rsidRPr="00AF7D45">
        <w:rPr>
          <w:sz w:val="26"/>
          <w:szCs w:val="26"/>
          <w:lang w:val="de-DE"/>
        </w:rPr>
        <w:t>iêu dùng cá nhân giảm 0,8%; xuất khẩu giảm 4,4%; Chỉ số giá hàng hóa của công ty giảm 3,3% trong tháng 8 sau khi giảm 3% trong tháng 7. Tuy nhiên, nền kinh tế cũng đón nhận một số tín hiệu khả quan khi chỉ số PMI tháng 8 đạt 51,7 điểm (cao hơn mức 51,2 điểm của tháng 7); Các đơn hàng máy móc cốt lõi trong 6 đến 9 tháng tới tăng 3,7% trong tháng 7 sau khi giảm 7,9% trong tháng trước đó.</w:t>
      </w:r>
    </w:p>
    <w:p w:rsidR="0073590E" w:rsidRPr="0073590E" w:rsidRDefault="0073590E" w:rsidP="0073590E">
      <w:pPr>
        <w:spacing w:before="120" w:line="288" w:lineRule="auto"/>
        <w:rPr>
          <w:b/>
          <w:i/>
          <w:sz w:val="26"/>
          <w:szCs w:val="26"/>
          <w:lang w:val="de-DE"/>
        </w:rPr>
      </w:pPr>
      <w:r w:rsidRPr="0073590E">
        <w:rPr>
          <w:b/>
          <w:i/>
          <w:sz w:val="26"/>
          <w:szCs w:val="26"/>
          <w:lang w:val="de-DE"/>
        </w:rPr>
        <w:t>Tăng trư cá nhân giảm 0,8%; xuất khẩu giảm 4,ng phát triển suy giảm, nhất là các nước BRICS</w:t>
      </w:r>
    </w:p>
    <w:p w:rsidR="00F67AFB" w:rsidRPr="00AF7D45" w:rsidRDefault="0073590E" w:rsidP="006268CF">
      <w:pPr>
        <w:tabs>
          <w:tab w:val="left" w:pos="3960"/>
          <w:tab w:val="left" w:pos="4590"/>
        </w:tabs>
        <w:spacing w:before="120" w:line="288" w:lineRule="auto"/>
        <w:ind w:firstLine="567"/>
        <w:rPr>
          <w:rFonts w:eastAsia="Calibri"/>
          <w:sz w:val="26"/>
          <w:szCs w:val="26"/>
          <w:lang w:val="de-DE"/>
        </w:rPr>
      </w:pPr>
      <w:r w:rsidRPr="0073590E">
        <w:rPr>
          <w:rFonts w:eastAsia="Calibri"/>
          <w:i/>
          <w:sz w:val="26"/>
          <w:szCs w:val="26"/>
          <w:lang w:val="de-DE"/>
        </w:rPr>
        <w:t>Trung Quốc</w:t>
      </w:r>
      <w:r w:rsidR="00F67AFB" w:rsidRPr="00AF7D45">
        <w:rPr>
          <w:rFonts w:eastAsia="Calibri"/>
          <w:b/>
          <w:i/>
          <w:sz w:val="26"/>
          <w:szCs w:val="26"/>
          <w:lang w:val="de-DE"/>
        </w:rPr>
        <w:t xml:space="preserve">, </w:t>
      </w:r>
      <w:r w:rsidR="00837DB7">
        <w:rPr>
          <w:rFonts w:eastAsia="Calibri"/>
          <w:b/>
          <w:i/>
          <w:sz w:val="26"/>
          <w:szCs w:val="26"/>
          <w:lang w:val="de-DE"/>
        </w:rPr>
        <w:t>c</w:t>
      </w:r>
      <w:r w:rsidR="00282066">
        <w:rPr>
          <w:sz w:val="26"/>
          <w:szCs w:val="26"/>
          <w:lang w:val="de-DE"/>
        </w:rPr>
        <w:t xml:space="preserve">hỉ số PMI </w:t>
      </w:r>
      <w:r w:rsidR="00837DB7">
        <w:rPr>
          <w:sz w:val="26"/>
          <w:szCs w:val="26"/>
          <w:lang w:val="de-DE"/>
        </w:rPr>
        <w:t xml:space="preserve">7 tháng liên tiếp dưới 50 điểm riêng trong </w:t>
      </w:r>
      <w:r w:rsidR="00F67AFB" w:rsidRPr="00AF7D45">
        <w:rPr>
          <w:sz w:val="26"/>
          <w:szCs w:val="26"/>
          <w:lang w:val="de-DE"/>
        </w:rPr>
        <w:t xml:space="preserve">tháng 8 là 47,3 điểm </w:t>
      </w:r>
      <w:r w:rsidR="00837DB7">
        <w:rPr>
          <w:sz w:val="26"/>
          <w:szCs w:val="26"/>
          <w:lang w:val="de-DE"/>
        </w:rPr>
        <w:t>là mức thấp kỷ lục</w:t>
      </w:r>
      <w:r w:rsidR="007A6DE6">
        <w:rPr>
          <w:sz w:val="26"/>
          <w:szCs w:val="26"/>
          <w:vertAlign w:val="superscript"/>
          <w:lang w:val="de-DE"/>
        </w:rPr>
        <w:t>3</w:t>
      </w:r>
      <w:r w:rsidR="00837DB7">
        <w:rPr>
          <w:sz w:val="26"/>
          <w:szCs w:val="26"/>
          <w:lang w:val="de-DE"/>
        </w:rPr>
        <w:t>. Xuất khẩu 7 tháng đầu năm giảm 0,5% so với cùng kỳ năm 2014. Trong khi đó, tải khoản vốn liên tục thâm hụt từ quý II/2014 , riêng nửa đầu năm 2015 thâm hụt 171 tỷ USD. Tính đến cuối tháng 8, dự trữ ngoại hối của Trung Quốc giảm 293 tỷ USD so với cuối năm 2014.</w:t>
      </w:r>
    </w:p>
    <w:p w:rsidR="00F67AFB" w:rsidRPr="00A558FC" w:rsidRDefault="0073590E" w:rsidP="006268CF">
      <w:pPr>
        <w:spacing w:before="120" w:line="288" w:lineRule="auto"/>
        <w:rPr>
          <w:sz w:val="26"/>
          <w:szCs w:val="26"/>
          <w:lang w:val="de-DE"/>
        </w:rPr>
      </w:pPr>
      <w:r w:rsidRPr="0073590E">
        <w:rPr>
          <w:i/>
          <w:sz w:val="26"/>
          <w:szCs w:val="26"/>
          <w:lang w:val="de-DE"/>
        </w:rPr>
        <w:lastRenderedPageBreak/>
        <w:t>Các nước BRICs khác</w:t>
      </w:r>
      <w:r w:rsidR="00EE1429">
        <w:rPr>
          <w:b/>
          <w:i/>
          <w:sz w:val="26"/>
          <w:szCs w:val="26"/>
          <w:lang w:val="de-DE"/>
        </w:rPr>
        <w:t xml:space="preserve">: </w:t>
      </w:r>
      <w:r w:rsidR="00F67AFB" w:rsidRPr="00A558FC">
        <w:rPr>
          <w:i/>
          <w:sz w:val="26"/>
          <w:szCs w:val="26"/>
          <w:lang w:val="de-DE"/>
        </w:rPr>
        <w:t xml:space="preserve">Nga </w:t>
      </w:r>
      <w:r w:rsidR="00F67AFB" w:rsidRPr="00AF7D45">
        <w:rPr>
          <w:sz w:val="26"/>
          <w:szCs w:val="26"/>
          <w:lang w:val="de-DE"/>
        </w:rPr>
        <w:t>dự báo tăng trưởng năm 2015 là âm 2,8%, khoảng 187 ngân hàng đối mặt với tình trạng thiếu hụt nguồn vốn, trong khi tỷ lệ nợ xấu sẽ tăng gấp đôi lên 17,7%.</w:t>
      </w:r>
      <w:r w:rsidR="00F67AFB" w:rsidRPr="00AF7D45">
        <w:rPr>
          <w:b/>
          <w:i/>
          <w:sz w:val="26"/>
          <w:szCs w:val="26"/>
          <w:lang w:val="de-DE"/>
        </w:rPr>
        <w:t xml:space="preserve"> </w:t>
      </w:r>
      <w:r w:rsidR="00F67AFB" w:rsidRPr="00A558FC">
        <w:rPr>
          <w:i/>
          <w:sz w:val="26"/>
          <w:szCs w:val="26"/>
          <w:lang w:val="de-DE"/>
        </w:rPr>
        <w:t>Brazil</w:t>
      </w:r>
      <w:r w:rsidR="00F67AFB" w:rsidRPr="00AF7D45">
        <w:rPr>
          <w:sz w:val="26"/>
          <w:szCs w:val="26"/>
          <w:lang w:val="de-DE"/>
        </w:rPr>
        <w:t xml:space="preserve">, tăng trưởng quý </w:t>
      </w:r>
      <w:r w:rsidR="00837DB7">
        <w:rPr>
          <w:sz w:val="26"/>
          <w:szCs w:val="26"/>
          <w:lang w:val="de-DE"/>
        </w:rPr>
        <w:t>II là -1,9%, là quý thứ 2</w:t>
      </w:r>
      <w:r w:rsidR="00F67AFB" w:rsidRPr="00AF7D45">
        <w:rPr>
          <w:sz w:val="26"/>
          <w:szCs w:val="26"/>
          <w:lang w:val="de-DE"/>
        </w:rPr>
        <w:t xml:space="preserve"> liên tiếp tăng trưởng âm. Trong khi đó, lạm phát tăng từ 7,2% trong tháng 1 lên 9,6% trong tháng 7. </w:t>
      </w:r>
      <w:r w:rsidR="00F67AFB" w:rsidRPr="00837DB7">
        <w:rPr>
          <w:i/>
          <w:sz w:val="26"/>
          <w:szCs w:val="26"/>
          <w:lang w:val="de-DE"/>
        </w:rPr>
        <w:t>Nam Phi</w:t>
      </w:r>
      <w:r w:rsidR="00F67AFB" w:rsidRPr="00AF7D45">
        <w:rPr>
          <w:sz w:val="26"/>
          <w:szCs w:val="26"/>
          <w:lang w:val="de-DE"/>
        </w:rPr>
        <w:t xml:space="preserve"> tăng trưởng âm </w:t>
      </w:r>
      <w:r w:rsidR="00837DB7">
        <w:rPr>
          <w:sz w:val="26"/>
          <w:szCs w:val="26"/>
          <w:lang w:val="de-DE"/>
        </w:rPr>
        <w:t>1,3% trong quý II/2015</w:t>
      </w:r>
      <w:r w:rsidR="00F67AFB" w:rsidRPr="00AF7D45">
        <w:rPr>
          <w:sz w:val="26"/>
          <w:szCs w:val="26"/>
          <w:lang w:val="de-DE"/>
        </w:rPr>
        <w:t xml:space="preserve">. </w:t>
      </w:r>
      <w:r w:rsidR="00F67AFB" w:rsidRPr="00A558FC">
        <w:rPr>
          <w:i/>
          <w:sz w:val="26"/>
          <w:szCs w:val="26"/>
          <w:lang w:val="de-DE"/>
        </w:rPr>
        <w:t>Malaysia</w:t>
      </w:r>
      <w:r w:rsidR="00F67AFB">
        <w:rPr>
          <w:sz w:val="26"/>
          <w:szCs w:val="26"/>
          <w:lang w:val="de-DE"/>
        </w:rPr>
        <w:t xml:space="preserve">, tăng trưởng quý II/2015 </w:t>
      </w:r>
      <w:r w:rsidR="007A6DE6">
        <w:rPr>
          <w:sz w:val="26"/>
          <w:szCs w:val="26"/>
          <w:lang w:val="de-DE"/>
        </w:rPr>
        <w:t xml:space="preserve">chỉ </w:t>
      </w:r>
      <w:r w:rsidR="00F67AFB">
        <w:rPr>
          <w:sz w:val="26"/>
          <w:szCs w:val="26"/>
          <w:lang w:val="de-DE"/>
        </w:rPr>
        <w:t xml:space="preserve">đạt </w:t>
      </w:r>
      <w:r w:rsidR="007A6DE6">
        <w:rPr>
          <w:sz w:val="26"/>
          <w:szCs w:val="26"/>
          <w:lang w:val="de-DE"/>
        </w:rPr>
        <w:t>1,1</w:t>
      </w:r>
      <w:r w:rsidR="00F67AFB">
        <w:rPr>
          <w:sz w:val="26"/>
          <w:szCs w:val="26"/>
          <w:lang w:val="de-DE"/>
        </w:rPr>
        <w:t>% (</w:t>
      </w:r>
      <w:r w:rsidR="007A6DE6">
        <w:rPr>
          <w:sz w:val="26"/>
          <w:szCs w:val="26"/>
          <w:lang w:val="de-DE"/>
        </w:rPr>
        <w:t>là quý giảm thứ 3 liên tiếp</w:t>
      </w:r>
      <w:r w:rsidR="00F67AFB">
        <w:rPr>
          <w:sz w:val="26"/>
          <w:szCs w:val="26"/>
          <w:lang w:val="de-DE"/>
        </w:rPr>
        <w:t>) do</w:t>
      </w:r>
      <w:r w:rsidR="00F67AFB" w:rsidRPr="008D48D8">
        <w:rPr>
          <w:sz w:val="26"/>
          <w:szCs w:val="26"/>
          <w:lang w:val="de-DE"/>
        </w:rPr>
        <w:t xml:space="preserve"> xuất khẩu và tiêu dùng đều yếu</w:t>
      </w:r>
      <w:r w:rsidR="00F67AFB">
        <w:rPr>
          <w:rStyle w:val="FootnoteReference"/>
          <w:sz w:val="26"/>
          <w:szCs w:val="26"/>
          <w:lang w:val="de-DE"/>
        </w:rPr>
        <w:footnoteReference w:id="4"/>
      </w:r>
      <w:r w:rsidR="00F67AFB">
        <w:rPr>
          <w:sz w:val="26"/>
          <w:szCs w:val="26"/>
          <w:lang w:val="de-DE"/>
        </w:rPr>
        <w:t xml:space="preserve">; </w:t>
      </w:r>
      <w:r w:rsidR="00F67AFB" w:rsidRPr="00A558FC">
        <w:rPr>
          <w:sz w:val="26"/>
          <w:szCs w:val="26"/>
          <w:lang w:val="de-DE"/>
        </w:rPr>
        <w:t xml:space="preserve">đồng Ringgit </w:t>
      </w:r>
      <w:r w:rsidR="00F67AFB">
        <w:rPr>
          <w:sz w:val="26"/>
          <w:szCs w:val="26"/>
          <w:lang w:val="de-DE"/>
        </w:rPr>
        <w:t xml:space="preserve">cũng đã mất giá liên tục và </w:t>
      </w:r>
      <w:r w:rsidR="00F67AFB" w:rsidRPr="00A558FC">
        <w:rPr>
          <w:sz w:val="26"/>
          <w:szCs w:val="26"/>
          <w:lang w:val="de-DE"/>
        </w:rPr>
        <w:t>ngày 12/8 đã giảm xuống mức thấp nhất 17 năm qua</w:t>
      </w:r>
      <w:r w:rsidR="00F67AFB">
        <w:rPr>
          <w:sz w:val="26"/>
          <w:szCs w:val="26"/>
          <w:lang w:val="de-DE"/>
        </w:rPr>
        <w:t xml:space="preserve">. </w:t>
      </w:r>
      <w:r w:rsidR="00F67AFB">
        <w:rPr>
          <w:i/>
          <w:sz w:val="26"/>
          <w:szCs w:val="26"/>
          <w:lang w:val="de-DE"/>
        </w:rPr>
        <w:t xml:space="preserve">Indonesia, </w:t>
      </w:r>
      <w:r w:rsidR="00F67AFB">
        <w:rPr>
          <w:sz w:val="26"/>
          <w:szCs w:val="26"/>
          <w:lang w:val="de-DE"/>
        </w:rPr>
        <w:t xml:space="preserve">tăng trưởng </w:t>
      </w:r>
      <w:r w:rsidR="00F67AFB" w:rsidRPr="00A558FC">
        <w:rPr>
          <w:sz w:val="26"/>
          <w:szCs w:val="26"/>
          <w:lang w:val="de-DE"/>
        </w:rPr>
        <w:t xml:space="preserve">quý II/2015 </w:t>
      </w:r>
      <w:r w:rsidR="00F67AFB">
        <w:rPr>
          <w:sz w:val="26"/>
          <w:szCs w:val="26"/>
          <w:lang w:val="de-DE"/>
        </w:rPr>
        <w:t xml:space="preserve">là </w:t>
      </w:r>
      <w:r w:rsidR="007A6DE6">
        <w:rPr>
          <w:sz w:val="26"/>
          <w:szCs w:val="26"/>
          <w:lang w:val="de-DE"/>
        </w:rPr>
        <w:t>3,78</w:t>
      </w:r>
      <w:r w:rsidR="00F67AFB">
        <w:rPr>
          <w:sz w:val="26"/>
          <w:szCs w:val="26"/>
          <w:lang w:val="de-DE"/>
        </w:rPr>
        <w:t>% (</w:t>
      </w:r>
      <w:r w:rsidR="00F67AFB" w:rsidRPr="00A558FC">
        <w:rPr>
          <w:sz w:val="26"/>
          <w:szCs w:val="26"/>
          <w:lang w:val="de-DE"/>
        </w:rPr>
        <w:t xml:space="preserve">giảm so với mức </w:t>
      </w:r>
      <w:r w:rsidR="007A6DE6">
        <w:rPr>
          <w:sz w:val="26"/>
          <w:szCs w:val="26"/>
          <w:lang w:val="de-DE"/>
        </w:rPr>
        <w:t>3,83</w:t>
      </w:r>
      <w:r w:rsidR="00F67AFB" w:rsidRPr="00A558FC">
        <w:rPr>
          <w:sz w:val="26"/>
          <w:szCs w:val="26"/>
          <w:lang w:val="de-DE"/>
        </w:rPr>
        <w:t xml:space="preserve">% của </w:t>
      </w:r>
      <w:r w:rsidR="007A6DE6">
        <w:rPr>
          <w:sz w:val="26"/>
          <w:szCs w:val="26"/>
          <w:lang w:val="de-DE"/>
        </w:rPr>
        <w:t>cùng kỳ 2014</w:t>
      </w:r>
      <w:r w:rsidR="00F67AFB">
        <w:rPr>
          <w:sz w:val="26"/>
          <w:szCs w:val="26"/>
          <w:lang w:val="de-DE"/>
        </w:rPr>
        <w:t>)</w:t>
      </w:r>
      <w:r w:rsidR="00F67AFB" w:rsidRPr="00A558FC">
        <w:rPr>
          <w:sz w:val="26"/>
          <w:szCs w:val="26"/>
          <w:lang w:val="de-DE"/>
        </w:rPr>
        <w:t>.</w:t>
      </w:r>
      <w:r w:rsidR="00F67AFB">
        <w:rPr>
          <w:sz w:val="26"/>
          <w:szCs w:val="26"/>
          <w:lang w:val="de-DE"/>
        </w:rPr>
        <w:t xml:space="preserve"> </w:t>
      </w:r>
    </w:p>
    <w:p w:rsidR="00633266" w:rsidRPr="004D1DC3" w:rsidRDefault="00633266" w:rsidP="006268CF">
      <w:pPr>
        <w:spacing w:before="120" w:line="288" w:lineRule="auto"/>
        <w:ind w:firstLine="0"/>
        <w:jc w:val="left"/>
        <w:rPr>
          <w:b/>
          <w:sz w:val="26"/>
          <w:szCs w:val="26"/>
          <w:lang w:val="nl-NL"/>
        </w:rPr>
      </w:pPr>
      <w:r w:rsidRPr="004D1DC3">
        <w:rPr>
          <w:b/>
          <w:sz w:val="26"/>
          <w:szCs w:val="26"/>
          <w:lang w:val="nl-NL"/>
        </w:rPr>
        <w:t>2.</w:t>
      </w:r>
      <w:r w:rsidR="00070EEC" w:rsidRPr="004D1DC3">
        <w:rPr>
          <w:b/>
          <w:sz w:val="26"/>
          <w:szCs w:val="26"/>
          <w:lang w:val="nl-NL"/>
        </w:rPr>
        <w:t xml:space="preserve"> T</w:t>
      </w:r>
      <w:r w:rsidRPr="004D1DC3">
        <w:rPr>
          <w:b/>
          <w:sz w:val="26"/>
          <w:szCs w:val="26"/>
          <w:lang w:val="nl-NL"/>
        </w:rPr>
        <w:t>hị trường tài chính</w:t>
      </w:r>
    </w:p>
    <w:p w:rsidR="008C328E" w:rsidRDefault="008C328E" w:rsidP="006268CF">
      <w:pPr>
        <w:spacing w:before="120" w:line="288" w:lineRule="auto"/>
        <w:ind w:firstLine="567"/>
        <w:rPr>
          <w:sz w:val="26"/>
          <w:szCs w:val="26"/>
          <w:lang w:val="de-DE"/>
        </w:rPr>
      </w:pPr>
      <w:r w:rsidRPr="00AF7D45">
        <w:rPr>
          <w:spacing w:val="4"/>
          <w:sz w:val="26"/>
          <w:szCs w:val="26"/>
          <w:lang w:val="de-DE"/>
        </w:rPr>
        <w:t>Thị trường tài chính quốc tế đã phải hứng chịu khá nhiều cú shock trong năm 2015 đặc biệt là sau sự phá giá của đồng NDT trong</w:t>
      </w:r>
      <w:r w:rsidRPr="00AF7D45">
        <w:rPr>
          <w:sz w:val="26"/>
          <w:szCs w:val="26"/>
          <w:lang w:val="de-DE"/>
        </w:rPr>
        <w:t xml:space="preserve"> tháng 8</w:t>
      </w:r>
      <w:r w:rsidRPr="00AF7D45">
        <w:rPr>
          <w:rStyle w:val="FootnoteReference"/>
          <w:sz w:val="26"/>
          <w:szCs w:val="26"/>
        </w:rPr>
        <w:footnoteReference w:id="5"/>
      </w:r>
      <w:r w:rsidRPr="00AF7D45">
        <w:rPr>
          <w:sz w:val="26"/>
          <w:szCs w:val="26"/>
          <w:lang w:val="de-DE"/>
        </w:rPr>
        <w:t>. Việc mất giá NDT đã dẫn đến đồng tiền 8 nước châu Á</w:t>
      </w:r>
      <w:r w:rsidR="007A6DE6">
        <w:rPr>
          <w:rStyle w:val="FootnoteReference"/>
          <w:sz w:val="26"/>
          <w:szCs w:val="26"/>
          <w:lang w:val="de-DE"/>
        </w:rPr>
        <w:footnoteReference w:id="6"/>
      </w:r>
      <w:r w:rsidRPr="00AF7D45">
        <w:rPr>
          <w:sz w:val="26"/>
          <w:szCs w:val="26"/>
          <w:lang w:val="de-DE"/>
        </w:rPr>
        <w:t xml:space="preserve"> mất giá trung bình 1,7% ngay trong tuần. TTCK Trung Quốc mất hơn 30% trong vòng 4 tuần, Chỉ số MSCI các thị trường chứng khoán mới nổi đã giảm 17% so với đầu năm 2015 v</w:t>
      </w:r>
      <w:r>
        <w:rPr>
          <w:sz w:val="26"/>
          <w:szCs w:val="26"/>
          <w:lang w:val="de-DE"/>
        </w:rPr>
        <w:t xml:space="preserve">à 27% so với cùng kỳ năm ngoái, </w:t>
      </w:r>
      <w:r w:rsidRPr="00AF7D45">
        <w:rPr>
          <w:sz w:val="26"/>
          <w:szCs w:val="26"/>
          <w:lang w:val="de-DE"/>
        </w:rPr>
        <w:t>Chỉ số Dow Jones và S&amp;P 500 đã giảm hơn 10% từ mức cao nhất trong tháng 5 năm nay; Nikkei 225 giảm 13,64%; Kospi giảm 8,23%. Trước những bất ổn về tình hình tài chính, dòng vốn đầu tư chứng khoán đang có dấu hiệu chảy từ thị trường mới nổi sang châu Âu. Từ giữa tháng 7 đến giữa tháng 8, tổng số vốn chảy ra khỏi những thị trường mới nổi đã lên đến 17 tỷ USD, chiếm hơn 50% trên tổng số 29,4 tỷ USD vốn bị rút kể từ đầu năm nay</w:t>
      </w:r>
      <w:r w:rsidRPr="00AF7D45">
        <w:rPr>
          <w:rStyle w:val="FootnoteReference"/>
          <w:sz w:val="26"/>
          <w:szCs w:val="26"/>
        </w:rPr>
        <w:footnoteReference w:id="7"/>
      </w:r>
      <w:r w:rsidRPr="00AF7D45">
        <w:rPr>
          <w:sz w:val="26"/>
          <w:szCs w:val="26"/>
          <w:lang w:val="de-DE"/>
        </w:rPr>
        <w:t>.</w:t>
      </w:r>
    </w:p>
    <w:p w:rsidR="000D0FDC" w:rsidRPr="004D1DC3" w:rsidRDefault="008C328E" w:rsidP="006268CF">
      <w:pPr>
        <w:spacing w:before="120" w:line="288" w:lineRule="auto"/>
        <w:ind w:firstLine="0"/>
        <w:jc w:val="left"/>
        <w:rPr>
          <w:b/>
          <w:sz w:val="26"/>
          <w:szCs w:val="26"/>
          <w:lang w:val="nl-NL"/>
        </w:rPr>
      </w:pPr>
      <w:r w:rsidRPr="004D1DC3">
        <w:rPr>
          <w:b/>
          <w:sz w:val="26"/>
          <w:szCs w:val="26"/>
          <w:lang w:val="nl-NL"/>
        </w:rPr>
        <w:t xml:space="preserve">3. </w:t>
      </w:r>
      <w:r w:rsidR="000D0FDC" w:rsidRPr="004D1DC3">
        <w:rPr>
          <w:b/>
          <w:sz w:val="26"/>
          <w:szCs w:val="26"/>
          <w:lang w:val="nl-NL"/>
        </w:rPr>
        <w:t>Giá hàng hóa</w:t>
      </w:r>
    </w:p>
    <w:p w:rsidR="00E3720B" w:rsidRPr="006D6AC4" w:rsidRDefault="005A055D" w:rsidP="006268CF">
      <w:pPr>
        <w:spacing w:after="200" w:line="288" w:lineRule="auto"/>
        <w:rPr>
          <w:bCs/>
          <w:sz w:val="26"/>
          <w:szCs w:val="26"/>
          <w:lang w:val="de-DE"/>
        </w:rPr>
      </w:pPr>
      <w:r>
        <w:rPr>
          <w:bCs/>
          <w:i/>
          <w:sz w:val="26"/>
          <w:szCs w:val="26"/>
          <w:lang w:val="de-DE"/>
        </w:rPr>
        <w:t xml:space="preserve">- </w:t>
      </w:r>
      <w:r w:rsidR="00E3720B" w:rsidRPr="00AF7D45">
        <w:rPr>
          <w:bCs/>
          <w:i/>
          <w:sz w:val="26"/>
          <w:szCs w:val="26"/>
          <w:lang w:val="de-DE"/>
        </w:rPr>
        <w:t>Giá</w:t>
      </w:r>
      <w:r w:rsidR="00E3720B">
        <w:rPr>
          <w:bCs/>
          <w:i/>
          <w:sz w:val="26"/>
          <w:szCs w:val="26"/>
          <w:lang w:val="de-DE"/>
        </w:rPr>
        <w:t xml:space="preserve"> hàng hóa thế giới </w:t>
      </w:r>
      <w:r w:rsidR="00E3720B" w:rsidRPr="00FC595F">
        <w:rPr>
          <w:bCs/>
          <w:sz w:val="26"/>
          <w:szCs w:val="26"/>
          <w:lang w:val="de-DE"/>
        </w:rPr>
        <w:t>vẫn tiếp tục xu hướng giảm trong năm 2015 trước khi phục hồi trong năm 2016.</w:t>
      </w:r>
      <w:r w:rsidR="00E3720B">
        <w:rPr>
          <w:bCs/>
          <w:sz w:val="26"/>
          <w:szCs w:val="26"/>
          <w:lang w:val="de-DE"/>
        </w:rPr>
        <w:t xml:space="preserve"> Giá các mặt hàng chủ chốt giảm mạnh do lượng tồn trữ quá nhiều trong khi sản lượng tăng cao do được mùa. So với cùng kỳ 2014, giá các loại hàng hóa chủ chốt trong tháng 8/2015</w:t>
      </w:r>
      <w:r w:rsidR="00E3720B">
        <w:rPr>
          <w:rStyle w:val="FootnoteReference"/>
          <w:bCs/>
          <w:sz w:val="26"/>
          <w:szCs w:val="26"/>
          <w:lang w:val="de-DE"/>
        </w:rPr>
        <w:footnoteReference w:id="8"/>
      </w:r>
      <w:r w:rsidR="00E3720B">
        <w:rPr>
          <w:bCs/>
          <w:sz w:val="26"/>
          <w:szCs w:val="26"/>
          <w:lang w:val="de-DE"/>
        </w:rPr>
        <w:t xml:space="preserve"> giảm sâu: giá năng lượng giảm 51%; giá nông sản giảm 14,2%; giá lương thực giảm 16,8%; nguyên liệu thô giảm 8,2%; kim loại giảm 28,9%.</w:t>
      </w:r>
    </w:p>
    <w:p w:rsidR="00EC5B7E" w:rsidRPr="00EC5B7E" w:rsidRDefault="00EC5B7E" w:rsidP="006268CF">
      <w:pPr>
        <w:spacing w:before="120" w:line="288" w:lineRule="auto"/>
        <w:rPr>
          <w:sz w:val="26"/>
          <w:szCs w:val="26"/>
          <w:lang w:val="de-DE"/>
        </w:rPr>
      </w:pPr>
      <w:r w:rsidRPr="00EC5B7E">
        <w:rPr>
          <w:sz w:val="26"/>
          <w:szCs w:val="26"/>
          <w:lang w:val="de-DE"/>
        </w:rPr>
        <w:t xml:space="preserve">- </w:t>
      </w:r>
      <w:r w:rsidRPr="005A055D">
        <w:rPr>
          <w:i/>
          <w:sz w:val="26"/>
          <w:szCs w:val="26"/>
          <w:lang w:val="de-DE"/>
        </w:rPr>
        <w:t>Giá dầu giảm so với dự báo tháng trước</w:t>
      </w:r>
      <w:r w:rsidRPr="00EC5B7E">
        <w:rPr>
          <w:sz w:val="26"/>
          <w:szCs w:val="26"/>
          <w:lang w:val="de-DE"/>
        </w:rPr>
        <w:t>. Giá dầu WTI mặc dù giảm xuống 38,5 USD/thùng vào cuối tháng 8/2015, nhưng trong nửa đầu tháng 9/2015 đã tăng trở lại ở mức 45,5 USD/thùng. Theo EIA, giá dầu WTI bình quân sẽ đạt 49 USD/thùng năm 2015 và 50 USD/thùng năm 2016, giảm so với dự báo tháng trước đó là 49,6 USD/thùng và 54,5 USD/thùng. Tuy nhiên, EIA cho rằng vẫn phải tính đến trường hợp xấu nhất khi giá dầu có thể giảm tới mức 32 USD/thùng vào tháng 12/2015.</w:t>
      </w:r>
    </w:p>
    <w:p w:rsidR="005926AC" w:rsidRPr="003C1625" w:rsidRDefault="005926AC" w:rsidP="006268CF">
      <w:pPr>
        <w:pStyle w:val="Footer"/>
        <w:numPr>
          <w:ilvl w:val="0"/>
          <w:numId w:val="12"/>
        </w:numPr>
        <w:tabs>
          <w:tab w:val="left" w:pos="284"/>
          <w:tab w:val="left" w:pos="567"/>
        </w:tabs>
        <w:spacing w:before="120" w:line="288" w:lineRule="auto"/>
        <w:ind w:left="1077" w:hanging="1077"/>
        <w:rPr>
          <w:b/>
          <w:sz w:val="26"/>
          <w:szCs w:val="26"/>
        </w:rPr>
      </w:pPr>
      <w:r w:rsidRPr="003C1625">
        <w:rPr>
          <w:b/>
          <w:sz w:val="26"/>
          <w:szCs w:val="26"/>
        </w:rPr>
        <w:lastRenderedPageBreak/>
        <w:t>KINH TẾ VIỆT NAM</w:t>
      </w:r>
    </w:p>
    <w:p w:rsidR="00AE4F5D" w:rsidRDefault="001649AF" w:rsidP="006268CF">
      <w:pPr>
        <w:spacing w:before="120" w:line="288" w:lineRule="auto"/>
        <w:ind w:firstLine="0"/>
        <w:jc w:val="left"/>
        <w:rPr>
          <w:b/>
          <w:sz w:val="26"/>
          <w:szCs w:val="26"/>
          <w:lang w:val="nl-NL"/>
        </w:rPr>
      </w:pPr>
      <w:r w:rsidRPr="003C1625">
        <w:rPr>
          <w:b/>
          <w:sz w:val="26"/>
          <w:szCs w:val="26"/>
          <w:lang w:val="nl-NL"/>
        </w:rPr>
        <w:t xml:space="preserve">1. </w:t>
      </w:r>
      <w:r w:rsidR="0055433C" w:rsidRPr="003C1625">
        <w:rPr>
          <w:b/>
          <w:sz w:val="26"/>
          <w:szCs w:val="26"/>
          <w:lang w:val="nl-NL"/>
        </w:rPr>
        <w:t>Tăng tr</w:t>
      </w:r>
      <w:r w:rsidR="003C1625" w:rsidRPr="003C1625">
        <w:rPr>
          <w:b/>
          <w:sz w:val="26"/>
          <w:szCs w:val="26"/>
          <w:lang w:val="nl-NL"/>
        </w:rPr>
        <w:t>ưở</w:t>
      </w:r>
      <w:r w:rsidR="0055433C" w:rsidRPr="003C1625">
        <w:rPr>
          <w:b/>
          <w:sz w:val="26"/>
          <w:szCs w:val="26"/>
          <w:lang w:val="nl-NL"/>
        </w:rPr>
        <w:t xml:space="preserve">ng </w:t>
      </w:r>
      <w:r w:rsidR="000B79D7">
        <w:rPr>
          <w:b/>
          <w:sz w:val="26"/>
          <w:szCs w:val="26"/>
          <w:lang w:val="nl-NL"/>
        </w:rPr>
        <w:t>giữ</w:t>
      </w:r>
      <w:r w:rsidR="0055433C" w:rsidRPr="003C1625">
        <w:rPr>
          <w:b/>
          <w:sz w:val="26"/>
          <w:szCs w:val="26"/>
          <w:lang w:val="nl-NL"/>
        </w:rPr>
        <w:t xml:space="preserve"> </w:t>
      </w:r>
      <w:r w:rsidR="00B741E4">
        <w:rPr>
          <w:b/>
          <w:sz w:val="26"/>
          <w:szCs w:val="26"/>
          <w:lang w:val="nl-NL"/>
        </w:rPr>
        <w:t xml:space="preserve">vững </w:t>
      </w:r>
      <w:r w:rsidR="0055433C" w:rsidRPr="003C1625">
        <w:rPr>
          <w:b/>
          <w:sz w:val="26"/>
          <w:szCs w:val="26"/>
          <w:lang w:val="nl-NL"/>
        </w:rPr>
        <w:t>đà phục</w:t>
      </w:r>
      <w:r w:rsidR="00B741E4">
        <w:rPr>
          <w:b/>
          <w:sz w:val="26"/>
          <w:szCs w:val="26"/>
          <w:lang w:val="nl-NL"/>
        </w:rPr>
        <w:t xml:space="preserve"> hồi</w:t>
      </w:r>
      <w:r w:rsidR="00A62D5E">
        <w:rPr>
          <w:b/>
          <w:sz w:val="26"/>
          <w:szCs w:val="26"/>
          <w:lang w:val="nl-NL"/>
        </w:rPr>
        <w:t xml:space="preserve"> </w:t>
      </w:r>
      <w:r w:rsidR="000B79D7">
        <w:rPr>
          <w:b/>
          <w:sz w:val="26"/>
          <w:szCs w:val="26"/>
          <w:lang w:val="nl-NL"/>
        </w:rPr>
        <w:t>trước</w:t>
      </w:r>
      <w:r w:rsidR="00A62D5E">
        <w:rPr>
          <w:b/>
          <w:sz w:val="26"/>
          <w:szCs w:val="26"/>
          <w:lang w:val="nl-NL"/>
        </w:rPr>
        <w:t xml:space="preserve"> </w:t>
      </w:r>
      <w:r w:rsidR="000B79D7">
        <w:rPr>
          <w:b/>
          <w:sz w:val="26"/>
          <w:szCs w:val="26"/>
          <w:lang w:val="nl-NL"/>
        </w:rPr>
        <w:t xml:space="preserve">những </w:t>
      </w:r>
      <w:r w:rsidR="00A62D5E">
        <w:rPr>
          <w:b/>
          <w:sz w:val="26"/>
          <w:szCs w:val="26"/>
          <w:lang w:val="nl-NL"/>
        </w:rPr>
        <w:t>biến động</w:t>
      </w:r>
      <w:r w:rsidR="000B79D7">
        <w:rPr>
          <w:b/>
          <w:sz w:val="26"/>
          <w:szCs w:val="26"/>
          <w:lang w:val="nl-NL"/>
        </w:rPr>
        <w:t xml:space="preserve"> kinh tế thế giới</w:t>
      </w:r>
    </w:p>
    <w:p w:rsidR="00F71949" w:rsidRPr="00F71949" w:rsidRDefault="000719D9" w:rsidP="00F71949">
      <w:pPr>
        <w:spacing w:line="312" w:lineRule="auto"/>
        <w:rPr>
          <w:sz w:val="26"/>
          <w:szCs w:val="26"/>
          <w:lang w:val="nl-NL"/>
        </w:rPr>
      </w:pPr>
      <w:r>
        <w:rPr>
          <w:rFonts w:eastAsiaTheme="minorHAnsi"/>
          <w:spacing w:val="2"/>
          <w:sz w:val="26"/>
          <w:szCs w:val="26"/>
          <w:lang w:val="nl-NL"/>
        </w:rPr>
        <w:t xml:space="preserve">Mặc dù kinh tế thế giới có nhiều biến động trong quý 3/2015 nhưng những </w:t>
      </w:r>
      <w:r w:rsidR="00877732">
        <w:rPr>
          <w:rFonts w:eastAsiaTheme="minorHAnsi"/>
          <w:spacing w:val="2"/>
          <w:sz w:val="26"/>
          <w:szCs w:val="26"/>
          <w:lang w:val="nl-NL"/>
        </w:rPr>
        <w:t xml:space="preserve">biến động này không tác động nhiều đến tăng trưởng kinh tế và </w:t>
      </w:r>
      <w:r>
        <w:rPr>
          <w:sz w:val="26"/>
          <w:szCs w:val="26"/>
          <w:lang w:val="nl-NL"/>
        </w:rPr>
        <w:t>t</w:t>
      </w:r>
      <w:r w:rsidRPr="00F71949">
        <w:rPr>
          <w:sz w:val="26"/>
          <w:szCs w:val="26"/>
          <w:lang w:val="nl-NL"/>
        </w:rPr>
        <w:t xml:space="preserve">ăng </w:t>
      </w:r>
      <w:r w:rsidR="00F71949" w:rsidRPr="00F71949">
        <w:rPr>
          <w:sz w:val="26"/>
          <w:szCs w:val="26"/>
          <w:lang w:val="nl-NL"/>
        </w:rPr>
        <w:t xml:space="preserve">trưởng GDP 9 tháng đầu năm </w:t>
      </w:r>
      <w:r>
        <w:rPr>
          <w:sz w:val="26"/>
          <w:szCs w:val="26"/>
          <w:lang w:val="nl-NL"/>
        </w:rPr>
        <w:t>vẫn</w:t>
      </w:r>
      <w:r w:rsidRPr="00F71949">
        <w:rPr>
          <w:sz w:val="26"/>
          <w:szCs w:val="26"/>
          <w:lang w:val="nl-NL"/>
        </w:rPr>
        <w:t xml:space="preserve"> </w:t>
      </w:r>
      <w:r w:rsidR="00877732">
        <w:rPr>
          <w:sz w:val="26"/>
          <w:szCs w:val="26"/>
          <w:lang w:val="nl-NL"/>
        </w:rPr>
        <w:t>đạt</w:t>
      </w:r>
      <w:r>
        <w:rPr>
          <w:sz w:val="26"/>
          <w:szCs w:val="26"/>
          <w:lang w:val="nl-NL"/>
        </w:rPr>
        <w:t xml:space="preserve"> mức</w:t>
      </w:r>
      <w:r w:rsidRPr="00F71949">
        <w:rPr>
          <w:sz w:val="26"/>
          <w:szCs w:val="26"/>
          <w:lang w:val="nl-NL"/>
        </w:rPr>
        <w:t xml:space="preserve"> </w:t>
      </w:r>
      <w:r w:rsidR="00F71949" w:rsidRPr="00F71949">
        <w:rPr>
          <w:sz w:val="26"/>
          <w:szCs w:val="26"/>
          <w:lang w:val="nl-NL"/>
        </w:rPr>
        <w:t>6,</w:t>
      </w:r>
      <w:r w:rsidR="006D43A3">
        <w:rPr>
          <w:sz w:val="26"/>
          <w:szCs w:val="26"/>
          <w:lang w:val="nl-NL"/>
        </w:rPr>
        <w:t>5</w:t>
      </w:r>
      <w:r w:rsidR="00F71949" w:rsidRPr="00F71949">
        <w:rPr>
          <w:sz w:val="26"/>
          <w:szCs w:val="26"/>
          <w:lang w:val="nl-NL"/>
        </w:rPr>
        <w:t xml:space="preserve">% (so với cùng kỳ </w:t>
      </w:r>
      <w:r w:rsidR="00877732">
        <w:rPr>
          <w:sz w:val="26"/>
          <w:szCs w:val="26"/>
          <w:lang w:val="nl-NL"/>
        </w:rPr>
        <w:t>2014</w:t>
      </w:r>
      <w:r w:rsidR="00F71949" w:rsidRPr="00F71949">
        <w:rPr>
          <w:sz w:val="26"/>
          <w:szCs w:val="26"/>
          <w:lang w:val="nl-NL"/>
        </w:rPr>
        <w:t xml:space="preserve">). </w:t>
      </w:r>
      <w:r w:rsidR="005C5794" w:rsidRPr="005C5794">
        <w:rPr>
          <w:b/>
          <w:i/>
          <w:sz w:val="26"/>
          <w:szCs w:val="26"/>
          <w:lang w:val="nl-NL"/>
        </w:rPr>
        <w:t>UBGSTCQG</w:t>
      </w:r>
      <w:r w:rsidR="000B79D7">
        <w:rPr>
          <w:b/>
          <w:i/>
          <w:sz w:val="26"/>
          <w:szCs w:val="26"/>
          <w:lang w:val="nl-NL"/>
        </w:rPr>
        <w:t xml:space="preserve"> giữ nguyên</w:t>
      </w:r>
      <w:r w:rsidR="005C5794" w:rsidRPr="005C5794">
        <w:rPr>
          <w:b/>
          <w:i/>
          <w:sz w:val="26"/>
          <w:szCs w:val="26"/>
          <w:lang w:val="nl-NL"/>
        </w:rPr>
        <w:t xml:space="preserve"> </w:t>
      </w:r>
      <w:r w:rsidR="000B79D7">
        <w:rPr>
          <w:b/>
          <w:i/>
          <w:sz w:val="26"/>
          <w:szCs w:val="26"/>
          <w:lang w:val="nl-NL"/>
        </w:rPr>
        <w:t>dự báo từ đầu năm về mức tăng trưởng GDP 6,5% của năm 2015</w:t>
      </w:r>
      <w:r w:rsidR="000B79D7">
        <w:rPr>
          <w:sz w:val="26"/>
          <w:szCs w:val="26"/>
          <w:lang w:val="nl-NL"/>
        </w:rPr>
        <w:t xml:space="preserve">. </w:t>
      </w:r>
      <w:r w:rsidR="000B79D7" w:rsidRPr="00F71949">
        <w:rPr>
          <w:sz w:val="26"/>
          <w:szCs w:val="26"/>
          <w:lang w:val="nl-NL"/>
        </w:rPr>
        <w:t xml:space="preserve"> </w:t>
      </w:r>
    </w:p>
    <w:p w:rsidR="00384661" w:rsidRPr="003A6D98" w:rsidRDefault="006D43A3" w:rsidP="006268CF">
      <w:pPr>
        <w:spacing w:before="120" w:line="288" w:lineRule="auto"/>
        <w:ind w:firstLine="709"/>
        <w:rPr>
          <w:rFonts w:eastAsiaTheme="minorHAnsi"/>
          <w:spacing w:val="2"/>
          <w:sz w:val="26"/>
          <w:szCs w:val="26"/>
          <w:lang w:val="pl-PL"/>
        </w:rPr>
      </w:pPr>
      <w:r w:rsidRPr="006D43A3">
        <w:rPr>
          <w:rFonts w:eastAsiaTheme="minorHAnsi"/>
          <w:i/>
          <w:spacing w:val="2"/>
          <w:sz w:val="26"/>
          <w:szCs w:val="26"/>
          <w:lang w:val="nl-NL"/>
        </w:rPr>
        <w:t>Động lực chính cho tăng trưởng là ngành công nghiệp và xây dựng, nhất là công nghiệp chế biến, chế tạo</w:t>
      </w:r>
      <w:r>
        <w:rPr>
          <w:rFonts w:eastAsiaTheme="minorHAnsi"/>
          <w:spacing w:val="2"/>
          <w:sz w:val="26"/>
          <w:szCs w:val="26"/>
          <w:lang w:val="nl-NL"/>
        </w:rPr>
        <w:t xml:space="preserve">. </w:t>
      </w:r>
      <w:r w:rsidR="000B79D7">
        <w:rPr>
          <w:rFonts w:eastAsiaTheme="minorHAnsi"/>
          <w:lang w:val="pl-PL"/>
        </w:rPr>
        <w:t>Tăng trưởng (GDP) khu vực công nghiệp và xây dựng 9 tháng/2015 ở mức 9,57%, cao gần gấp đôi mức tăng của cùng kì 2014 (5,75%); trong khi, tăng trưởng của khu vực dịch vụ hầu như không tăng và của khu vực nông-lâm-ngư nghiệp giảm so với cùng kì 2014 (giảm từ 2,94% xuống 2,08%)</w:t>
      </w:r>
      <w:r w:rsidR="000B79D7">
        <w:rPr>
          <w:rFonts w:eastAsiaTheme="minorHAnsi"/>
          <w:spacing w:val="2"/>
          <w:sz w:val="26"/>
          <w:szCs w:val="26"/>
          <w:lang w:val="nl-NL"/>
        </w:rPr>
        <w:t xml:space="preserve">. </w:t>
      </w:r>
      <w:r w:rsidR="000B79D7">
        <w:rPr>
          <w:rFonts w:eastAsiaTheme="minorHAnsi"/>
          <w:lang w:val="pl-PL"/>
        </w:rPr>
        <w:t>C</w:t>
      </w:r>
      <w:r w:rsidR="000B79D7" w:rsidRPr="006B5D53">
        <w:rPr>
          <w:rFonts w:eastAsiaTheme="minorHAnsi"/>
          <w:lang w:val="pl-PL"/>
        </w:rPr>
        <w:t xml:space="preserve">hỉ số sản xuất công nghiệp </w:t>
      </w:r>
      <w:r w:rsidR="000B79D7">
        <w:rPr>
          <w:rFonts w:eastAsiaTheme="minorHAnsi"/>
          <w:lang w:val="pl-PL"/>
        </w:rPr>
        <w:t>(</w:t>
      </w:r>
      <w:r w:rsidR="000B79D7" w:rsidRPr="006B5D53">
        <w:rPr>
          <w:rFonts w:eastAsiaTheme="minorHAnsi"/>
          <w:lang w:val="pl-PL"/>
        </w:rPr>
        <w:t>IIP</w:t>
      </w:r>
      <w:r w:rsidR="000B79D7">
        <w:rPr>
          <w:rFonts w:eastAsiaTheme="minorHAnsi"/>
          <w:lang w:val="pl-PL"/>
        </w:rPr>
        <w:t>) 9 tháng/2015 cũng</w:t>
      </w:r>
      <w:r w:rsidR="000B79D7" w:rsidRPr="006B5D53">
        <w:rPr>
          <w:rFonts w:eastAsiaTheme="minorHAnsi"/>
          <w:lang w:val="pl-PL"/>
        </w:rPr>
        <w:t xml:space="preserve"> tăng 9,</w:t>
      </w:r>
      <w:r w:rsidR="000B79D7">
        <w:rPr>
          <w:rFonts w:eastAsiaTheme="minorHAnsi"/>
          <w:lang w:val="pl-PL"/>
        </w:rPr>
        <w:t>8</w:t>
      </w:r>
      <w:r w:rsidR="000B79D7" w:rsidRPr="006B5D53">
        <w:rPr>
          <w:rFonts w:eastAsiaTheme="minorHAnsi"/>
          <w:lang w:val="pl-PL"/>
        </w:rPr>
        <w:t>%, cao hơn nhiều so với mức 6,3% của cùng kỳ năm 2014</w:t>
      </w:r>
      <w:r w:rsidR="009B5E08">
        <w:rPr>
          <w:rFonts w:eastAsiaTheme="minorHAnsi"/>
          <w:lang w:val="pl-PL"/>
        </w:rPr>
        <w:t>;</w:t>
      </w:r>
      <w:r w:rsidR="000B79D7" w:rsidRPr="006B5D53">
        <w:rPr>
          <w:rFonts w:eastAsiaTheme="minorHAnsi"/>
          <w:lang w:val="pl-PL"/>
        </w:rPr>
        <w:t xml:space="preserve"> </w:t>
      </w:r>
      <w:r w:rsidR="009B5E08">
        <w:rPr>
          <w:rFonts w:eastAsiaTheme="minorHAnsi"/>
          <w:lang w:val="pl-PL"/>
        </w:rPr>
        <w:t>t</w:t>
      </w:r>
      <w:r w:rsidR="000B79D7" w:rsidRPr="006B5D53">
        <w:rPr>
          <w:rFonts w:eastAsiaTheme="minorHAnsi"/>
          <w:lang w:val="pl-PL"/>
        </w:rPr>
        <w:t>rong đó</w:t>
      </w:r>
      <w:r w:rsidR="009B5E08">
        <w:rPr>
          <w:rFonts w:eastAsiaTheme="minorHAnsi"/>
          <w:lang w:val="pl-PL"/>
        </w:rPr>
        <w:t>,</w:t>
      </w:r>
      <w:r w:rsidR="000B79D7" w:rsidRPr="006B5D53">
        <w:rPr>
          <w:rFonts w:eastAsiaTheme="minorHAnsi"/>
          <w:lang w:val="pl-PL"/>
        </w:rPr>
        <w:t xml:space="preserve"> công nghiệp chế biến</w:t>
      </w:r>
      <w:r w:rsidR="009B5E08">
        <w:rPr>
          <w:rFonts w:eastAsiaTheme="minorHAnsi"/>
          <w:lang w:val="pl-PL"/>
        </w:rPr>
        <w:t>,</w:t>
      </w:r>
      <w:r w:rsidR="000B79D7" w:rsidRPr="006B5D53">
        <w:rPr>
          <w:rFonts w:eastAsiaTheme="minorHAnsi"/>
          <w:lang w:val="pl-PL"/>
        </w:rPr>
        <w:t xml:space="preserve"> chế</w:t>
      </w:r>
      <w:r w:rsidR="009B5E08">
        <w:rPr>
          <w:rFonts w:eastAsiaTheme="minorHAnsi"/>
          <w:lang w:val="pl-PL"/>
        </w:rPr>
        <w:t xml:space="preserve"> tạo</w:t>
      </w:r>
      <w:r w:rsidR="000B79D7" w:rsidRPr="006B5D53">
        <w:rPr>
          <w:rFonts w:eastAsiaTheme="minorHAnsi"/>
          <w:lang w:val="pl-PL"/>
        </w:rPr>
        <w:t xml:space="preserve"> tăng 10,</w:t>
      </w:r>
      <w:r w:rsidR="009B5E08">
        <w:rPr>
          <w:rFonts w:eastAsiaTheme="minorHAnsi"/>
          <w:lang w:val="pl-PL"/>
        </w:rPr>
        <w:t>2</w:t>
      </w:r>
      <w:r w:rsidR="000B79D7" w:rsidRPr="006B5D53">
        <w:rPr>
          <w:rFonts w:eastAsiaTheme="minorHAnsi"/>
          <w:lang w:val="pl-PL"/>
        </w:rPr>
        <w:t>% (</w:t>
      </w:r>
      <w:r w:rsidR="009B5E08">
        <w:rPr>
          <w:rFonts w:eastAsiaTheme="minorHAnsi"/>
          <w:lang w:val="pl-PL"/>
        </w:rPr>
        <w:t xml:space="preserve">so với mức </w:t>
      </w:r>
      <w:r w:rsidR="000B79D7" w:rsidRPr="006B5D53">
        <w:rPr>
          <w:rFonts w:eastAsiaTheme="minorHAnsi"/>
          <w:lang w:val="pl-PL"/>
        </w:rPr>
        <w:t>8,</w:t>
      </w:r>
      <w:r w:rsidR="009B5E08">
        <w:rPr>
          <w:rFonts w:eastAsiaTheme="minorHAnsi"/>
          <w:lang w:val="pl-PL"/>
        </w:rPr>
        <w:t>2</w:t>
      </w:r>
      <w:r w:rsidR="000B79D7" w:rsidRPr="006B5D53">
        <w:rPr>
          <w:rFonts w:eastAsiaTheme="minorHAnsi"/>
          <w:lang w:val="pl-PL"/>
        </w:rPr>
        <w:t>%</w:t>
      </w:r>
      <w:r w:rsidR="009B5E08">
        <w:rPr>
          <w:rFonts w:eastAsiaTheme="minorHAnsi"/>
          <w:lang w:val="pl-PL"/>
        </w:rPr>
        <w:t xml:space="preserve"> của cùng kì 2014</w:t>
      </w:r>
      <w:r w:rsidR="000B79D7" w:rsidRPr="006B5D53">
        <w:rPr>
          <w:rFonts w:eastAsiaTheme="minorHAnsi"/>
          <w:lang w:val="pl-PL"/>
        </w:rPr>
        <w:t xml:space="preserve">). </w:t>
      </w:r>
      <w:r w:rsidR="00384661" w:rsidRPr="003A6D98">
        <w:rPr>
          <w:rFonts w:eastAsiaTheme="minorHAnsi"/>
          <w:spacing w:val="2"/>
          <w:sz w:val="26"/>
          <w:szCs w:val="26"/>
          <w:lang w:val="pl-PL"/>
        </w:rPr>
        <w:t>Chỉ số PMI</w:t>
      </w:r>
      <w:r w:rsidR="00384661" w:rsidRPr="003A6D98">
        <w:rPr>
          <w:rFonts w:eastAsiaTheme="minorHAnsi"/>
          <w:spacing w:val="2"/>
          <w:sz w:val="26"/>
          <w:szCs w:val="26"/>
          <w:vertAlign w:val="superscript"/>
          <w:lang w:val="pl-PL"/>
        </w:rPr>
        <w:t xml:space="preserve"> </w:t>
      </w:r>
      <w:r w:rsidR="003A6D98" w:rsidRPr="003A6D98">
        <w:rPr>
          <w:sz w:val="26"/>
          <w:szCs w:val="26"/>
          <w:lang w:val="pl-PL"/>
        </w:rPr>
        <w:t xml:space="preserve">bình quân 8 tháng </w:t>
      </w:r>
      <w:r w:rsidR="003A6D98">
        <w:rPr>
          <w:sz w:val="26"/>
          <w:szCs w:val="26"/>
          <w:lang w:val="pl-PL"/>
        </w:rPr>
        <w:t>đạt 52,3 điểm</w:t>
      </w:r>
      <w:r w:rsidR="00877732">
        <w:rPr>
          <w:sz w:val="26"/>
          <w:szCs w:val="26"/>
          <w:lang w:val="pl-PL"/>
        </w:rPr>
        <w:t>, là</w:t>
      </w:r>
      <w:r w:rsidR="003A6D98">
        <w:rPr>
          <w:sz w:val="26"/>
          <w:szCs w:val="26"/>
          <w:lang w:val="pl-PL"/>
        </w:rPr>
        <w:t xml:space="preserve"> </w:t>
      </w:r>
      <w:r w:rsidR="003A6D98" w:rsidRPr="003A6D98">
        <w:rPr>
          <w:sz w:val="26"/>
          <w:szCs w:val="26"/>
          <w:lang w:val="pl-PL"/>
        </w:rPr>
        <w:t xml:space="preserve">mức cao trong 3 năm qua. </w:t>
      </w:r>
    </w:p>
    <w:tbl>
      <w:tblPr>
        <w:tblStyle w:val="TableGrid"/>
        <w:tblW w:w="953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356"/>
        <w:gridCol w:w="4389"/>
      </w:tblGrid>
      <w:tr w:rsidR="00384661" w:rsidTr="00465315">
        <w:trPr>
          <w:trHeight w:val="3421"/>
        </w:trPr>
        <w:tc>
          <w:tcPr>
            <w:tcW w:w="5144" w:type="dxa"/>
            <w:gridSpan w:val="2"/>
          </w:tcPr>
          <w:p w:rsidR="00384661" w:rsidRPr="00384661" w:rsidRDefault="000A0BE5" w:rsidP="006268CF">
            <w:pPr>
              <w:spacing w:line="288" w:lineRule="auto"/>
              <w:ind w:firstLine="0"/>
              <w:jc w:val="center"/>
              <w:rPr>
                <w:rFonts w:ascii="Times New Roman Bold" w:eastAsiaTheme="minorEastAsia" w:hAnsi="Times New Roman Bold"/>
                <w:b/>
                <w:spacing w:val="-4"/>
                <w:sz w:val="24"/>
                <w:szCs w:val="26"/>
                <w:lang w:val="pl-PL"/>
              </w:rPr>
            </w:pPr>
            <w:r>
              <w:rPr>
                <w:rFonts w:ascii="Times New Roman Bold" w:eastAsiaTheme="minorEastAsia" w:hAnsi="Times New Roman Bold"/>
                <w:b/>
                <w:spacing w:val="-4"/>
                <w:sz w:val="24"/>
                <w:szCs w:val="26"/>
                <w:lang w:val="pl-PL"/>
              </w:rPr>
              <w:t xml:space="preserve">Hình </w:t>
            </w:r>
            <w:r w:rsidR="004D2074">
              <w:rPr>
                <w:rFonts w:ascii="Times New Roman Bold" w:eastAsiaTheme="minorEastAsia" w:hAnsi="Times New Roman Bold"/>
                <w:b/>
                <w:spacing w:val="-4"/>
                <w:sz w:val="24"/>
                <w:szCs w:val="26"/>
                <w:lang w:val="pl-PL"/>
              </w:rPr>
              <w:t>1</w:t>
            </w:r>
            <w:r w:rsidR="00384661" w:rsidRPr="00384661">
              <w:rPr>
                <w:rFonts w:ascii="Times New Roman Bold" w:eastAsiaTheme="minorEastAsia" w:hAnsi="Times New Roman Bold"/>
                <w:b/>
                <w:spacing w:val="-4"/>
                <w:sz w:val="24"/>
                <w:szCs w:val="26"/>
                <w:lang w:val="pl-PL"/>
              </w:rPr>
              <w:t xml:space="preserve">: IIP </w:t>
            </w:r>
            <w:r w:rsidR="007A6DE6">
              <w:rPr>
                <w:rFonts w:ascii="Times New Roman Bold" w:eastAsiaTheme="minorEastAsia" w:hAnsi="Times New Roman Bold"/>
                <w:b/>
                <w:spacing w:val="-4"/>
                <w:sz w:val="24"/>
                <w:szCs w:val="26"/>
                <w:lang w:val="pl-PL"/>
              </w:rPr>
              <w:t xml:space="preserve">tháng </w:t>
            </w:r>
            <w:r w:rsidR="006D43A3">
              <w:rPr>
                <w:rFonts w:ascii="Times New Roman Bold" w:eastAsiaTheme="minorEastAsia" w:hAnsi="Times New Roman Bold"/>
                <w:b/>
                <w:spacing w:val="-4"/>
                <w:sz w:val="24"/>
                <w:szCs w:val="26"/>
                <w:lang w:val="pl-PL"/>
              </w:rPr>
              <w:t>9</w:t>
            </w:r>
            <w:r w:rsidR="007A6DE6">
              <w:rPr>
                <w:rFonts w:ascii="Times New Roman Bold" w:eastAsiaTheme="minorEastAsia" w:hAnsi="Times New Roman Bold"/>
                <w:b/>
                <w:spacing w:val="-4"/>
                <w:sz w:val="24"/>
                <w:szCs w:val="26"/>
                <w:lang w:val="pl-PL"/>
              </w:rPr>
              <w:t>/2014-</w:t>
            </w:r>
            <w:r w:rsidR="006D43A3">
              <w:rPr>
                <w:rFonts w:ascii="Times New Roman Bold" w:eastAsiaTheme="minorEastAsia" w:hAnsi="Times New Roman Bold"/>
                <w:b/>
                <w:spacing w:val="-4"/>
                <w:sz w:val="24"/>
                <w:szCs w:val="26"/>
                <w:lang w:val="pl-PL"/>
              </w:rPr>
              <w:t>9</w:t>
            </w:r>
            <w:r w:rsidR="007A6DE6">
              <w:rPr>
                <w:rFonts w:ascii="Times New Roman Bold" w:eastAsiaTheme="minorEastAsia" w:hAnsi="Times New Roman Bold"/>
                <w:b/>
                <w:spacing w:val="-4"/>
                <w:sz w:val="24"/>
                <w:szCs w:val="26"/>
                <w:lang w:val="pl-PL"/>
              </w:rPr>
              <w:t xml:space="preserve">/2015, </w:t>
            </w:r>
            <w:r w:rsidR="00384661" w:rsidRPr="00384661">
              <w:rPr>
                <w:rFonts w:ascii="Times New Roman Bold" w:eastAsiaTheme="minorEastAsia" w:hAnsi="Times New Roman Bold"/>
                <w:b/>
                <w:spacing w:val="-4"/>
                <w:sz w:val="24"/>
                <w:szCs w:val="26"/>
                <w:lang w:val="pl-PL"/>
              </w:rPr>
              <w:t xml:space="preserve">% </w:t>
            </w:r>
            <w:r w:rsidR="007A6DE6">
              <w:rPr>
                <w:rFonts w:ascii="Times New Roman Bold" w:eastAsiaTheme="minorEastAsia" w:hAnsi="Times New Roman Bold"/>
                <w:b/>
                <w:spacing w:val="-4"/>
                <w:sz w:val="24"/>
                <w:szCs w:val="26"/>
                <w:lang w:val="pl-PL"/>
              </w:rPr>
              <w:t xml:space="preserve">tăng </w:t>
            </w:r>
            <w:r w:rsidR="00384661" w:rsidRPr="00384661">
              <w:rPr>
                <w:rFonts w:ascii="Times New Roman Bold" w:eastAsiaTheme="minorEastAsia" w:hAnsi="Times New Roman Bold"/>
                <w:b/>
                <w:spacing w:val="-4"/>
                <w:sz w:val="24"/>
                <w:szCs w:val="26"/>
                <w:lang w:val="pl-PL"/>
              </w:rPr>
              <w:t>so c</w:t>
            </w:r>
            <w:r w:rsidR="009B5E08">
              <w:rPr>
                <w:rFonts w:ascii="Times New Roman Bold" w:eastAsiaTheme="minorEastAsia" w:hAnsi="Times New Roman Bold"/>
                <w:b/>
                <w:spacing w:val="-4"/>
                <w:sz w:val="24"/>
                <w:szCs w:val="26"/>
                <w:lang w:val="pl-PL"/>
              </w:rPr>
              <w:t>k</w:t>
            </w:r>
            <w:r w:rsidR="007A6DE6">
              <w:rPr>
                <w:rFonts w:ascii="Times New Roman Bold" w:eastAsiaTheme="minorEastAsia" w:hAnsi="Times New Roman Bold"/>
                <w:b/>
                <w:spacing w:val="-4"/>
                <w:sz w:val="24"/>
                <w:szCs w:val="26"/>
                <w:lang w:val="pl-PL"/>
              </w:rPr>
              <w:t xml:space="preserve"> </w:t>
            </w:r>
          </w:p>
          <w:p w:rsidR="00384661" w:rsidRPr="00511547" w:rsidRDefault="006D43A3" w:rsidP="006268CF">
            <w:pPr>
              <w:spacing w:line="288" w:lineRule="auto"/>
              <w:ind w:firstLine="0"/>
              <w:jc w:val="center"/>
              <w:rPr>
                <w:rFonts w:eastAsiaTheme="minorEastAsia"/>
                <w:b/>
                <w:sz w:val="24"/>
                <w:szCs w:val="26"/>
                <w:lang w:val="pl-PL"/>
              </w:rPr>
            </w:pPr>
            <w:r w:rsidRPr="006D43A3">
              <w:rPr>
                <w:rFonts w:eastAsiaTheme="minorEastAsia"/>
                <w:b/>
                <w:noProof/>
                <w:sz w:val="24"/>
                <w:szCs w:val="26"/>
              </w:rPr>
              <w:drawing>
                <wp:inline distT="0" distB="0" distL="0" distR="0">
                  <wp:extent cx="2725271" cy="1643529"/>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4661" w:rsidRDefault="00384661" w:rsidP="006268CF">
            <w:pPr>
              <w:spacing w:line="288" w:lineRule="auto"/>
              <w:ind w:firstLine="0"/>
              <w:jc w:val="right"/>
              <w:rPr>
                <w:rFonts w:eastAsiaTheme="minorHAnsi"/>
                <w:spacing w:val="2"/>
                <w:sz w:val="26"/>
                <w:szCs w:val="26"/>
                <w:lang w:val="pl-PL"/>
              </w:rPr>
            </w:pPr>
            <w:r w:rsidRPr="00894FC4">
              <w:rPr>
                <w:rFonts w:eastAsiaTheme="minorEastAsia"/>
                <w:i/>
                <w:sz w:val="24"/>
                <w:szCs w:val="26"/>
                <w:lang w:val="pl-PL"/>
              </w:rPr>
              <w:t xml:space="preserve">Nguồn: </w:t>
            </w:r>
            <w:r w:rsidRPr="00384661">
              <w:rPr>
                <w:rFonts w:eastAsiaTheme="minorEastAsia"/>
                <w:i/>
                <w:sz w:val="24"/>
                <w:szCs w:val="26"/>
                <w:lang w:val="pl-PL"/>
              </w:rPr>
              <w:t>TCTK</w:t>
            </w:r>
          </w:p>
        </w:tc>
        <w:tc>
          <w:tcPr>
            <w:tcW w:w="4389" w:type="dxa"/>
          </w:tcPr>
          <w:p w:rsidR="00384661" w:rsidRDefault="00384661" w:rsidP="006268CF">
            <w:pPr>
              <w:spacing w:after="0" w:line="288" w:lineRule="auto"/>
              <w:ind w:firstLine="0"/>
              <w:jc w:val="center"/>
              <w:rPr>
                <w:b/>
                <w:sz w:val="24"/>
                <w:lang w:val="pl-PL"/>
              </w:rPr>
            </w:pPr>
            <w:r w:rsidRPr="00384661">
              <w:rPr>
                <w:b/>
                <w:sz w:val="24"/>
                <w:lang w:val="pl-PL"/>
              </w:rPr>
              <w:t>Hình</w:t>
            </w:r>
            <w:r>
              <w:rPr>
                <w:b/>
                <w:sz w:val="24"/>
                <w:lang w:val="pl-PL"/>
              </w:rPr>
              <w:t xml:space="preserve"> </w:t>
            </w:r>
            <w:r w:rsidR="004D2074">
              <w:rPr>
                <w:b/>
                <w:sz w:val="24"/>
                <w:lang w:val="pl-PL"/>
              </w:rPr>
              <w:t>2</w:t>
            </w:r>
            <w:r w:rsidR="007A6DE6">
              <w:rPr>
                <w:b/>
                <w:sz w:val="24"/>
                <w:lang w:val="pl-PL"/>
              </w:rPr>
              <w:t>: C</w:t>
            </w:r>
            <w:r w:rsidRPr="00384661">
              <w:rPr>
                <w:b/>
                <w:sz w:val="24"/>
                <w:lang w:val="pl-PL"/>
              </w:rPr>
              <w:t xml:space="preserve">hỉ số PMI </w:t>
            </w:r>
            <w:r w:rsidR="007A6DE6">
              <w:rPr>
                <w:b/>
                <w:sz w:val="24"/>
                <w:lang w:val="pl-PL"/>
              </w:rPr>
              <w:t xml:space="preserve">tháng </w:t>
            </w:r>
            <w:r w:rsidR="00754961">
              <w:rPr>
                <w:b/>
                <w:sz w:val="24"/>
                <w:lang w:val="pl-PL"/>
              </w:rPr>
              <w:t>8</w:t>
            </w:r>
            <w:r>
              <w:rPr>
                <w:b/>
                <w:sz w:val="24"/>
                <w:lang w:val="pl-PL"/>
              </w:rPr>
              <w:t>/2014 –</w:t>
            </w:r>
            <w:r w:rsidR="00754961">
              <w:rPr>
                <w:b/>
                <w:sz w:val="24"/>
                <w:lang w:val="pl-PL"/>
              </w:rPr>
              <w:t>8</w:t>
            </w:r>
            <w:r>
              <w:rPr>
                <w:b/>
                <w:sz w:val="24"/>
                <w:lang w:val="pl-PL"/>
              </w:rPr>
              <w:t>/2015</w:t>
            </w:r>
          </w:p>
          <w:p w:rsidR="00384661" w:rsidRPr="00384661" w:rsidRDefault="00754961" w:rsidP="006268CF">
            <w:pPr>
              <w:spacing w:after="0" w:line="288" w:lineRule="auto"/>
              <w:ind w:firstLine="6"/>
              <w:jc w:val="center"/>
              <w:rPr>
                <w:b/>
                <w:sz w:val="24"/>
                <w:lang w:val="pl-PL"/>
              </w:rPr>
            </w:pPr>
            <w:r w:rsidRPr="00754961">
              <w:rPr>
                <w:b/>
                <w:noProof/>
                <w:sz w:val="24"/>
              </w:rPr>
              <w:drawing>
                <wp:inline distT="0" distB="0" distL="0" distR="0">
                  <wp:extent cx="2855494" cy="1507958"/>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4661" w:rsidRPr="00384661" w:rsidRDefault="00384661" w:rsidP="00AB31F3">
            <w:pPr>
              <w:spacing w:before="120" w:after="0" w:line="288" w:lineRule="auto"/>
              <w:jc w:val="right"/>
              <w:rPr>
                <w:rFonts w:eastAsiaTheme="minorEastAsia"/>
                <w:i/>
                <w:sz w:val="24"/>
                <w:lang w:val="pl-PL"/>
              </w:rPr>
            </w:pPr>
            <w:r w:rsidRPr="00384661">
              <w:rPr>
                <w:rFonts w:eastAsiaTheme="minorEastAsia"/>
                <w:i/>
                <w:sz w:val="24"/>
                <w:lang w:val="pl-PL"/>
              </w:rPr>
              <w:t xml:space="preserve">Nguồn: </w:t>
            </w:r>
            <w:r w:rsidR="00AB31F3">
              <w:rPr>
                <w:rFonts w:eastAsiaTheme="minorEastAsia"/>
                <w:i/>
                <w:sz w:val="24"/>
                <w:lang w:val="pl-PL"/>
              </w:rPr>
              <w:t>HSBC</w:t>
            </w:r>
          </w:p>
        </w:tc>
      </w:tr>
      <w:tr w:rsidR="001649AF" w:rsidRPr="00894FC4" w:rsidTr="00465315">
        <w:tblPrEx>
          <w:tblLook w:val="0480"/>
        </w:tblPrEx>
        <w:trPr>
          <w:trHeight w:val="36"/>
        </w:trPr>
        <w:tc>
          <w:tcPr>
            <w:tcW w:w="4788" w:type="dxa"/>
          </w:tcPr>
          <w:p w:rsidR="00463AAD" w:rsidRPr="001C0371" w:rsidRDefault="00DA32A4" w:rsidP="00463AAD">
            <w:pPr>
              <w:spacing w:line="288" w:lineRule="auto"/>
              <w:rPr>
                <w:sz w:val="26"/>
                <w:szCs w:val="26"/>
                <w:lang w:val="pl-PL"/>
              </w:rPr>
            </w:pPr>
            <w:r w:rsidRPr="00DA32A4">
              <w:rPr>
                <w:i/>
                <w:sz w:val="26"/>
                <w:szCs w:val="26"/>
                <w:lang w:val="pl-PL"/>
              </w:rPr>
              <w:t xml:space="preserve">Xuất khẩu tăng trưởng khá, nhất là </w:t>
            </w:r>
            <w:r>
              <w:rPr>
                <w:i/>
                <w:sz w:val="26"/>
                <w:szCs w:val="26"/>
                <w:lang w:val="pl-PL"/>
              </w:rPr>
              <w:t>xuất khẩu ngoài dầu</w:t>
            </w:r>
            <w:r w:rsidR="00463AAD" w:rsidRPr="001C0371">
              <w:rPr>
                <w:sz w:val="26"/>
                <w:szCs w:val="26"/>
                <w:lang w:val="pl-PL"/>
              </w:rPr>
              <w:t>. Kim ngạch xuất khẩu 9 tháng</w:t>
            </w:r>
            <w:r w:rsidR="009B5E08">
              <w:rPr>
                <w:sz w:val="26"/>
                <w:szCs w:val="26"/>
                <w:lang w:val="pl-PL"/>
              </w:rPr>
              <w:t>/</w:t>
            </w:r>
            <w:r w:rsidR="00463AAD" w:rsidRPr="001C0371">
              <w:rPr>
                <w:sz w:val="26"/>
                <w:szCs w:val="26"/>
                <w:lang w:val="pl-PL"/>
              </w:rPr>
              <w:t xml:space="preserve">2015 tăng 9,6% so với cùng kỳ 2014, </w:t>
            </w:r>
            <w:r w:rsidR="006C53EA" w:rsidRPr="001C0371">
              <w:rPr>
                <w:sz w:val="26"/>
                <w:szCs w:val="26"/>
                <w:lang w:val="pl-PL"/>
              </w:rPr>
              <w:t xml:space="preserve">cao hơn nhiều mức </w:t>
            </w:r>
            <w:r w:rsidR="009B5E08">
              <w:rPr>
                <w:sz w:val="26"/>
                <w:szCs w:val="26"/>
                <w:lang w:val="pl-PL"/>
              </w:rPr>
              <w:t>tăng xuất khẩu ước tính cho năm 2015</w:t>
            </w:r>
            <w:r w:rsidR="009B5E08">
              <w:rPr>
                <w:rStyle w:val="FootnoteReference"/>
                <w:sz w:val="26"/>
                <w:szCs w:val="26"/>
                <w:lang w:val="pl-PL"/>
              </w:rPr>
              <w:footnoteReference w:id="9"/>
            </w:r>
            <w:r w:rsidR="009B5E08">
              <w:rPr>
                <w:sz w:val="26"/>
                <w:szCs w:val="26"/>
                <w:lang w:val="pl-PL"/>
              </w:rPr>
              <w:t xml:space="preserve"> của thế giới (5,1%) cũng như của </w:t>
            </w:r>
            <w:r w:rsidR="009B5E08" w:rsidRPr="001C0371">
              <w:rPr>
                <w:sz w:val="26"/>
                <w:szCs w:val="26"/>
                <w:lang w:val="pl-PL"/>
              </w:rPr>
              <w:t>ASEAN-5</w:t>
            </w:r>
            <w:r w:rsidR="009B5E08" w:rsidRPr="001C0371">
              <w:rPr>
                <w:rStyle w:val="FootnoteReference"/>
                <w:sz w:val="26"/>
                <w:szCs w:val="26"/>
                <w:lang w:val="pl-PL"/>
              </w:rPr>
              <w:footnoteReference w:id="10"/>
            </w:r>
            <w:r w:rsidR="009B5E08" w:rsidRPr="001C0371">
              <w:rPr>
                <w:sz w:val="26"/>
                <w:szCs w:val="26"/>
                <w:lang w:val="pl-PL"/>
              </w:rPr>
              <w:t xml:space="preserve"> </w:t>
            </w:r>
            <w:r w:rsidR="009B5E08">
              <w:rPr>
                <w:sz w:val="26"/>
                <w:szCs w:val="26"/>
                <w:lang w:val="pl-PL"/>
              </w:rPr>
              <w:t>(</w:t>
            </w:r>
            <w:r w:rsidR="009B5E08" w:rsidRPr="001C0371">
              <w:rPr>
                <w:sz w:val="26"/>
                <w:szCs w:val="26"/>
                <w:lang w:val="pl-PL"/>
              </w:rPr>
              <w:t>8</w:t>
            </w:r>
            <w:r w:rsidR="009B5E08">
              <w:rPr>
                <w:sz w:val="26"/>
                <w:szCs w:val="26"/>
                <w:lang w:val="pl-PL"/>
              </w:rPr>
              <w:t>,0</w:t>
            </w:r>
            <w:r w:rsidR="009B5E08" w:rsidRPr="001C0371">
              <w:rPr>
                <w:sz w:val="26"/>
                <w:szCs w:val="26"/>
                <w:lang w:val="pl-PL"/>
              </w:rPr>
              <w:t>%</w:t>
            </w:r>
            <w:r w:rsidR="009B5E08">
              <w:rPr>
                <w:sz w:val="26"/>
                <w:szCs w:val="26"/>
                <w:lang w:val="pl-PL"/>
              </w:rPr>
              <w:t>)</w:t>
            </w:r>
            <w:r w:rsidR="009B5E08" w:rsidRPr="001C0371">
              <w:rPr>
                <w:sz w:val="26"/>
                <w:szCs w:val="26"/>
                <w:lang w:val="pl-PL"/>
              </w:rPr>
              <w:t xml:space="preserve"> và Trung Quốc </w:t>
            </w:r>
            <w:r w:rsidR="009B5E08">
              <w:rPr>
                <w:sz w:val="26"/>
                <w:szCs w:val="26"/>
                <w:lang w:val="pl-PL"/>
              </w:rPr>
              <w:t>(</w:t>
            </w:r>
            <w:r w:rsidR="009B5E08" w:rsidRPr="001C0371">
              <w:rPr>
                <w:sz w:val="26"/>
                <w:szCs w:val="26"/>
                <w:lang w:val="pl-PL"/>
              </w:rPr>
              <w:t>6,8%</w:t>
            </w:r>
            <w:r w:rsidR="009B5E08">
              <w:rPr>
                <w:sz w:val="26"/>
                <w:szCs w:val="26"/>
                <w:lang w:val="pl-PL"/>
              </w:rPr>
              <w:t>)</w:t>
            </w:r>
            <w:r w:rsidR="009B5E08" w:rsidRPr="001C0371">
              <w:rPr>
                <w:sz w:val="26"/>
                <w:szCs w:val="26"/>
                <w:lang w:val="pl-PL"/>
              </w:rPr>
              <w:t xml:space="preserve">. </w:t>
            </w:r>
            <w:r>
              <w:rPr>
                <w:sz w:val="26"/>
                <w:szCs w:val="26"/>
                <w:lang w:val="pl-PL"/>
              </w:rPr>
              <w:t xml:space="preserve">Hơn nữa, nếu không tính xuất khẩu dầu thì xuất khẩu 9 tháng tăng đến 13,3% so với cùng kì 2014, xấp xỉ mức tăng xuất khẩu ngoài dầu của cùng kì 2014 </w:t>
            </w:r>
            <w:r>
              <w:rPr>
                <w:sz w:val="26"/>
                <w:szCs w:val="26"/>
                <w:lang w:val="pl-PL"/>
              </w:rPr>
              <w:lastRenderedPageBreak/>
              <w:t xml:space="preserve">(14,2%). Tuy nhiên, </w:t>
            </w:r>
            <w:r w:rsidRPr="00DA32A4">
              <w:rPr>
                <w:b/>
                <w:i/>
                <w:sz w:val="26"/>
                <w:szCs w:val="26"/>
                <w:lang w:val="pl-PL"/>
              </w:rPr>
              <w:t>xuất khẩu tăng trưởng khá là nhờ khu vực nước ngoài khi xuất khẩu của khu vực trong nước 9 tháng/2015 giảm 2,7%</w:t>
            </w:r>
            <w:r>
              <w:rPr>
                <w:sz w:val="26"/>
                <w:szCs w:val="26"/>
                <w:lang w:val="pl-PL"/>
              </w:rPr>
              <w:t xml:space="preserve"> so với cùng kì 2014, cùng kì 2014 tăng 14,2%. </w:t>
            </w:r>
            <w:r w:rsidR="00463AAD" w:rsidRPr="001C0371">
              <w:rPr>
                <w:sz w:val="26"/>
                <w:szCs w:val="26"/>
                <w:lang w:val="pl-PL"/>
              </w:rPr>
              <w:t xml:space="preserve"> </w:t>
            </w:r>
          </w:p>
          <w:p w:rsidR="00663181" w:rsidRDefault="00463AAD" w:rsidP="00663181">
            <w:pPr>
              <w:tabs>
                <w:tab w:val="left" w:pos="1134"/>
              </w:tabs>
              <w:spacing w:after="80" w:line="288" w:lineRule="auto"/>
              <w:rPr>
                <w:color w:val="000000" w:themeColor="text1"/>
                <w:sz w:val="26"/>
                <w:szCs w:val="26"/>
                <w:lang w:val="pl-PL"/>
              </w:rPr>
            </w:pPr>
            <w:r w:rsidRPr="00463AAD">
              <w:rPr>
                <w:i/>
                <w:sz w:val="26"/>
                <w:szCs w:val="26"/>
                <w:lang w:val="pl-PL"/>
              </w:rPr>
              <w:t>Tình hình doanh nghiệp và đầu tư tư nhân tiếp tục cải thiện.</w:t>
            </w:r>
            <w:r w:rsidRPr="00463AAD">
              <w:rPr>
                <w:sz w:val="26"/>
                <w:szCs w:val="26"/>
                <w:lang w:val="pl-PL"/>
              </w:rPr>
              <w:t xml:space="preserve"> Số doanh nghiệp thành lập mới trong 9 tháng/2015 tăng 28,5% về lượng và 31,4% về vốn (so với cùng kỳ 2014). Trong khi đó, số doanh nghiệp giải thể, chấm dứt hoạt động giảm 2,5% so với cùng kỳ năm 2014. Đầu tư tư nhân/GDP</w:t>
            </w:r>
            <w:r w:rsidRPr="00463AAD">
              <w:rPr>
                <w:rFonts w:eastAsiaTheme="minorEastAsia"/>
                <w:i/>
                <w:spacing w:val="4"/>
                <w:sz w:val="26"/>
                <w:szCs w:val="26"/>
                <w:lang w:val="pl-PL"/>
              </w:rPr>
              <w:t xml:space="preserve"> </w:t>
            </w:r>
            <w:r w:rsidRPr="00463AAD">
              <w:rPr>
                <w:rFonts w:eastAsiaTheme="minorEastAsia"/>
                <w:spacing w:val="4"/>
                <w:sz w:val="26"/>
                <w:szCs w:val="26"/>
                <w:lang w:val="pl-PL"/>
              </w:rPr>
              <w:t xml:space="preserve">9 tháng/2015 ở mức 12,1%, </w:t>
            </w:r>
            <w:r w:rsidR="00465315">
              <w:rPr>
                <w:rFonts w:eastAsiaTheme="minorEastAsia"/>
                <w:spacing w:val="4"/>
                <w:sz w:val="26"/>
                <w:szCs w:val="26"/>
                <w:lang w:val="pl-PL"/>
              </w:rPr>
              <w:t xml:space="preserve">cao hơn </w:t>
            </w:r>
            <w:r w:rsidRPr="00463AAD">
              <w:rPr>
                <w:rFonts w:eastAsiaTheme="minorEastAsia"/>
                <w:spacing w:val="4"/>
                <w:sz w:val="26"/>
                <w:szCs w:val="26"/>
                <w:lang w:val="pl-PL"/>
              </w:rPr>
              <w:t>mức 11,8% cùng kì 2014.</w:t>
            </w:r>
            <w:r w:rsidRPr="00463AAD">
              <w:rPr>
                <w:rFonts w:eastAsiaTheme="minorEastAsia"/>
                <w:i/>
                <w:spacing w:val="4"/>
                <w:sz w:val="26"/>
                <w:szCs w:val="26"/>
                <w:lang w:val="pl-PL"/>
              </w:rPr>
              <w:t xml:space="preserve"> </w:t>
            </w:r>
            <w:r w:rsidRPr="00463AAD">
              <w:rPr>
                <w:rFonts w:eastAsiaTheme="minorEastAsia"/>
                <w:spacing w:val="4"/>
                <w:sz w:val="26"/>
                <w:szCs w:val="26"/>
                <w:lang w:val="pl-PL"/>
              </w:rPr>
              <w:t xml:space="preserve">Đầu tư tư nhân cải thiện trước hết nhờ tín dụng tăng trưởng tốt: </w:t>
            </w:r>
            <w:r w:rsidR="00663181">
              <w:rPr>
                <w:sz w:val="26"/>
                <w:szCs w:val="26"/>
                <w:lang w:val="pl-PL"/>
              </w:rPr>
              <w:t>t</w:t>
            </w:r>
            <w:r w:rsidR="00663181" w:rsidRPr="005C5794">
              <w:rPr>
                <w:sz w:val="26"/>
                <w:szCs w:val="26"/>
                <w:lang w:val="pl-PL"/>
              </w:rPr>
              <w:t>ính tới 21/9, tổng tín đụng đối với nền kinh tế tăng 10,5% so với cuối năm 2014</w:t>
            </w:r>
            <w:r w:rsidR="00663181">
              <w:rPr>
                <w:sz w:val="26"/>
                <w:szCs w:val="26"/>
                <w:lang w:val="pl-PL"/>
              </w:rPr>
              <w:t xml:space="preserve"> (cùng kì 2014 chỉ tăng </w:t>
            </w:r>
            <w:r w:rsidR="00663181" w:rsidRPr="005C5794">
              <w:rPr>
                <w:sz w:val="26"/>
                <w:szCs w:val="26"/>
                <w:lang w:val="pl-PL"/>
              </w:rPr>
              <w:t xml:space="preserve">7,26% </w:t>
            </w:r>
            <w:r w:rsidR="00663181">
              <w:rPr>
                <w:sz w:val="26"/>
                <w:szCs w:val="26"/>
                <w:lang w:val="pl-PL"/>
              </w:rPr>
              <w:t>).</w:t>
            </w:r>
          </w:p>
          <w:p w:rsidR="009044DD" w:rsidRDefault="009044DD" w:rsidP="00355ACD">
            <w:pPr>
              <w:spacing w:line="288" w:lineRule="auto"/>
              <w:rPr>
                <w:rFonts w:eastAsiaTheme="minorEastAsia"/>
                <w:sz w:val="26"/>
                <w:szCs w:val="26"/>
                <w:lang w:val="pl-PL"/>
              </w:rPr>
            </w:pPr>
            <w:r>
              <w:rPr>
                <w:rFonts w:eastAsiaTheme="minorEastAsia"/>
                <w:i/>
                <w:sz w:val="26"/>
                <w:szCs w:val="26"/>
                <w:lang w:val="pl-PL"/>
              </w:rPr>
              <w:t xml:space="preserve">Hoạt động </w:t>
            </w:r>
            <w:r w:rsidR="0061150B">
              <w:rPr>
                <w:rFonts w:eastAsiaTheme="minorEastAsia"/>
                <w:i/>
                <w:sz w:val="26"/>
                <w:szCs w:val="26"/>
                <w:lang w:val="pl-PL"/>
              </w:rPr>
              <w:t xml:space="preserve">sản </w:t>
            </w:r>
            <w:r>
              <w:rPr>
                <w:rFonts w:eastAsiaTheme="minorEastAsia"/>
                <w:i/>
                <w:sz w:val="26"/>
                <w:szCs w:val="26"/>
                <w:lang w:val="pl-PL"/>
              </w:rPr>
              <w:t>xuất kinh doanh tích cực giúp duy trì thu nội địa, bù đắp một phần tác động của giá dầu</w:t>
            </w:r>
            <w:r w:rsidR="00355ACD">
              <w:rPr>
                <w:rFonts w:eastAsiaTheme="minorEastAsia"/>
                <w:i/>
                <w:sz w:val="26"/>
                <w:szCs w:val="26"/>
                <w:lang w:val="pl-PL"/>
              </w:rPr>
              <w:t xml:space="preserve"> giảm</w:t>
            </w:r>
            <w:r>
              <w:rPr>
                <w:rFonts w:eastAsiaTheme="minorEastAsia"/>
                <w:i/>
                <w:sz w:val="26"/>
                <w:szCs w:val="26"/>
                <w:lang w:val="pl-PL"/>
              </w:rPr>
              <w:t xml:space="preserve">. </w:t>
            </w:r>
            <w:r>
              <w:rPr>
                <w:rFonts w:eastAsiaTheme="minorEastAsia"/>
                <w:sz w:val="26"/>
                <w:szCs w:val="26"/>
                <w:lang w:val="pl-PL"/>
              </w:rPr>
              <w:t xml:space="preserve">Tính đến 15/09, thu nội địa tăng 17,5% so với cùng kỳ 2014, đạt 74,3% so với dự toán. Trong khi đó, thu từ dầu </w:t>
            </w:r>
            <w:r w:rsidRPr="00EF10F7">
              <w:rPr>
                <w:rFonts w:eastAsiaTheme="minorEastAsia"/>
                <w:sz w:val="26"/>
                <w:szCs w:val="26"/>
                <w:lang w:val="pl-PL"/>
              </w:rPr>
              <w:t>ch</w:t>
            </w:r>
            <w:r>
              <w:rPr>
                <w:rFonts w:eastAsiaTheme="minorEastAsia"/>
                <w:sz w:val="26"/>
                <w:szCs w:val="26"/>
                <w:lang w:val="pl-PL"/>
              </w:rPr>
              <w:t xml:space="preserve">ỉ đạt 53,3% dự toán và </w:t>
            </w:r>
            <w:r w:rsidRPr="005C5794">
              <w:rPr>
                <w:rFonts w:eastAsiaTheme="minorEastAsia"/>
                <w:i/>
                <w:sz w:val="26"/>
                <w:szCs w:val="26"/>
                <w:lang w:val="pl-PL"/>
              </w:rPr>
              <w:t>giảm</w:t>
            </w:r>
            <w:r>
              <w:rPr>
                <w:rFonts w:eastAsiaTheme="minorEastAsia"/>
                <w:sz w:val="26"/>
                <w:szCs w:val="26"/>
                <w:lang w:val="pl-PL"/>
              </w:rPr>
              <w:t xml:space="preserve"> 33,2% so với cùng kì 2014. Thu XNK cũng </w:t>
            </w:r>
            <w:r w:rsidRPr="005C5794">
              <w:rPr>
                <w:rFonts w:eastAsiaTheme="minorEastAsia"/>
                <w:i/>
                <w:sz w:val="26"/>
                <w:szCs w:val="26"/>
                <w:lang w:val="pl-PL"/>
              </w:rPr>
              <w:t>giảm</w:t>
            </w:r>
            <w:r>
              <w:rPr>
                <w:rFonts w:eastAsiaTheme="minorEastAsia"/>
                <w:sz w:val="26"/>
                <w:szCs w:val="26"/>
                <w:lang w:val="pl-PL"/>
              </w:rPr>
              <w:t xml:space="preserve"> 3,5% so với cùng kỳ 2014 (cùng kỳ 2014 tăng 20,8%) do giá của một số mặt hàng nhập khẩu giảm, kim ngạch nhập khẩu chủ yếu tập trung vào nhóm hàng có thuế suất thấp.</w:t>
            </w:r>
          </w:p>
          <w:p w:rsidR="0073590E" w:rsidRPr="0073590E" w:rsidRDefault="00465315">
            <w:pPr>
              <w:spacing w:line="288" w:lineRule="auto"/>
              <w:rPr>
                <w:spacing w:val="-2"/>
                <w:sz w:val="26"/>
                <w:szCs w:val="26"/>
                <w:lang w:val="sv-SE"/>
              </w:rPr>
            </w:pPr>
            <w:r w:rsidRPr="002A5418">
              <w:rPr>
                <w:rFonts w:eastAsiaTheme="minorEastAsia"/>
                <w:i/>
                <w:sz w:val="26"/>
                <w:szCs w:val="26"/>
                <w:lang w:val="de-DE"/>
              </w:rPr>
              <w:t>Tăng trưởng phục hồi</w:t>
            </w:r>
            <w:r>
              <w:rPr>
                <w:rFonts w:eastAsiaTheme="minorEastAsia"/>
                <w:i/>
                <w:sz w:val="26"/>
                <w:szCs w:val="26"/>
                <w:lang w:val="de-DE"/>
              </w:rPr>
              <w:t xml:space="preserve"> tốt</w:t>
            </w:r>
            <w:r w:rsidRPr="002A5418">
              <w:rPr>
                <w:rFonts w:eastAsiaTheme="minorEastAsia"/>
                <w:i/>
                <w:sz w:val="26"/>
                <w:szCs w:val="26"/>
                <w:lang w:val="de-DE"/>
              </w:rPr>
              <w:t xml:space="preserve"> </w:t>
            </w:r>
            <w:r>
              <w:rPr>
                <w:rFonts w:eastAsiaTheme="minorEastAsia"/>
                <w:i/>
                <w:sz w:val="26"/>
                <w:szCs w:val="26"/>
                <w:lang w:val="de-DE"/>
              </w:rPr>
              <w:t xml:space="preserve">cũng </w:t>
            </w:r>
            <w:r w:rsidRPr="002A5418">
              <w:rPr>
                <w:rFonts w:eastAsiaTheme="minorEastAsia"/>
                <w:i/>
                <w:sz w:val="26"/>
                <w:szCs w:val="26"/>
                <w:lang w:val="de-DE"/>
              </w:rPr>
              <w:t xml:space="preserve">khuyến khích tiêu </w:t>
            </w:r>
            <w:r>
              <w:rPr>
                <w:rFonts w:eastAsiaTheme="minorEastAsia"/>
                <w:i/>
                <w:sz w:val="26"/>
                <w:szCs w:val="26"/>
                <w:lang w:val="de-DE"/>
              </w:rPr>
              <w:t>dùng</w:t>
            </w:r>
            <w:r w:rsidRPr="00991F7F">
              <w:rPr>
                <w:rFonts w:eastAsiaTheme="minorEastAsia"/>
                <w:i/>
                <w:sz w:val="26"/>
                <w:szCs w:val="26"/>
                <w:lang w:val="pl-PL"/>
              </w:rPr>
              <w:t>.</w:t>
            </w:r>
            <w:r w:rsidRPr="00991F7F">
              <w:rPr>
                <w:rFonts w:eastAsiaTheme="minorEastAsia"/>
                <w:sz w:val="26"/>
                <w:szCs w:val="26"/>
                <w:lang w:val="pl-PL"/>
              </w:rPr>
              <w:t xml:space="preserve"> Tổng mức bán lẻ hàng hóa và dịch vụ</w:t>
            </w:r>
            <w:r>
              <w:rPr>
                <w:rFonts w:eastAsiaTheme="minorEastAsia"/>
                <w:sz w:val="26"/>
                <w:szCs w:val="26"/>
                <w:lang w:val="pl-PL"/>
              </w:rPr>
              <w:t xml:space="preserve"> tiêu dùng 9</w:t>
            </w:r>
            <w:r w:rsidRPr="00991F7F">
              <w:rPr>
                <w:rFonts w:eastAsiaTheme="minorEastAsia"/>
                <w:sz w:val="26"/>
                <w:szCs w:val="26"/>
                <w:lang w:val="pl-PL"/>
              </w:rPr>
              <w:t xml:space="preserve"> tháng</w:t>
            </w:r>
            <w:r>
              <w:rPr>
                <w:rFonts w:eastAsiaTheme="minorEastAsia"/>
                <w:sz w:val="26"/>
                <w:szCs w:val="26"/>
                <w:lang w:val="pl-PL"/>
              </w:rPr>
              <w:t>/</w:t>
            </w:r>
            <w:r w:rsidRPr="00991F7F">
              <w:rPr>
                <w:rFonts w:eastAsiaTheme="minorEastAsia"/>
                <w:sz w:val="26"/>
                <w:szCs w:val="26"/>
                <w:lang w:val="pl-PL"/>
              </w:rPr>
              <w:t>2015</w:t>
            </w:r>
            <w:r>
              <w:rPr>
                <w:rFonts w:eastAsiaTheme="minorEastAsia"/>
                <w:sz w:val="26"/>
                <w:szCs w:val="26"/>
                <w:lang w:val="pl-PL"/>
              </w:rPr>
              <w:t>, loại trừ yếu tố giá,</w:t>
            </w:r>
            <w:r w:rsidRPr="00991F7F">
              <w:rPr>
                <w:rFonts w:eastAsiaTheme="minorEastAsia"/>
                <w:sz w:val="26"/>
                <w:szCs w:val="26"/>
                <w:lang w:val="pl-PL"/>
              </w:rPr>
              <w:t xml:space="preserve"> ước tăng </w:t>
            </w:r>
            <w:r>
              <w:rPr>
                <w:rFonts w:eastAsiaTheme="minorEastAsia"/>
                <w:sz w:val="26"/>
                <w:szCs w:val="26"/>
                <w:lang w:val="pl-PL"/>
              </w:rPr>
              <w:t>9,1</w:t>
            </w:r>
            <w:r w:rsidRPr="00991F7F">
              <w:rPr>
                <w:rFonts w:eastAsiaTheme="minorEastAsia"/>
                <w:sz w:val="26"/>
                <w:szCs w:val="26"/>
                <w:lang w:val="pl-PL"/>
              </w:rPr>
              <w:t>% (cùng kỳ năm trướ</w:t>
            </w:r>
            <w:r>
              <w:rPr>
                <w:rFonts w:eastAsiaTheme="minorEastAsia"/>
                <w:sz w:val="26"/>
                <w:szCs w:val="26"/>
                <w:lang w:val="pl-PL"/>
              </w:rPr>
              <w:t>c tăng 6,4</w:t>
            </w:r>
            <w:r w:rsidRPr="00991F7F">
              <w:rPr>
                <w:rFonts w:eastAsiaTheme="minorEastAsia"/>
                <w:sz w:val="26"/>
                <w:szCs w:val="26"/>
                <w:lang w:val="pl-PL"/>
              </w:rPr>
              <w:t xml:space="preserve">%), mức cao nhất so với cùng kỳ trong 5 năm gần đây. </w:t>
            </w:r>
          </w:p>
        </w:tc>
        <w:tc>
          <w:tcPr>
            <w:tcW w:w="4745" w:type="dxa"/>
            <w:gridSpan w:val="2"/>
          </w:tcPr>
          <w:p w:rsidR="00055235" w:rsidRDefault="00894FC4" w:rsidP="006268CF">
            <w:pPr>
              <w:spacing w:after="0" w:line="288" w:lineRule="auto"/>
              <w:ind w:left="80" w:firstLine="0"/>
              <w:jc w:val="center"/>
              <w:rPr>
                <w:rFonts w:eastAsiaTheme="minorEastAsia"/>
                <w:b/>
                <w:sz w:val="24"/>
                <w:szCs w:val="26"/>
                <w:lang w:val="pl-PL"/>
              </w:rPr>
            </w:pPr>
            <w:r w:rsidRPr="00894FC4">
              <w:rPr>
                <w:rFonts w:eastAsiaTheme="minorEastAsia"/>
                <w:b/>
                <w:sz w:val="24"/>
                <w:szCs w:val="26"/>
                <w:lang w:val="pl-PL"/>
              </w:rPr>
              <w:lastRenderedPageBreak/>
              <w:t>Hình</w:t>
            </w:r>
            <w:r>
              <w:rPr>
                <w:rFonts w:eastAsiaTheme="minorEastAsia"/>
                <w:b/>
                <w:sz w:val="24"/>
                <w:szCs w:val="26"/>
                <w:lang w:val="pl-PL"/>
              </w:rPr>
              <w:t xml:space="preserve"> </w:t>
            </w:r>
            <w:r w:rsidR="004D2074">
              <w:rPr>
                <w:rFonts w:eastAsiaTheme="minorEastAsia"/>
                <w:b/>
                <w:sz w:val="24"/>
                <w:szCs w:val="26"/>
                <w:lang w:val="pl-PL"/>
              </w:rPr>
              <w:t>3</w:t>
            </w:r>
            <w:r w:rsidRPr="00894FC4">
              <w:rPr>
                <w:rFonts w:eastAsiaTheme="minorEastAsia"/>
                <w:b/>
                <w:sz w:val="24"/>
                <w:szCs w:val="26"/>
                <w:lang w:val="pl-PL"/>
              </w:rPr>
              <w:t xml:space="preserve">: </w:t>
            </w:r>
            <w:r w:rsidR="00AB31F3">
              <w:rPr>
                <w:rFonts w:eastAsiaTheme="minorEastAsia"/>
                <w:b/>
                <w:sz w:val="24"/>
                <w:szCs w:val="26"/>
                <w:lang w:val="pl-PL"/>
              </w:rPr>
              <w:t>X</w:t>
            </w:r>
            <w:r w:rsidRPr="00894FC4">
              <w:rPr>
                <w:rFonts w:eastAsiaTheme="minorEastAsia"/>
                <w:b/>
                <w:sz w:val="24"/>
                <w:szCs w:val="26"/>
                <w:lang w:val="pl-PL"/>
              </w:rPr>
              <w:t>uất nhập khẩu</w:t>
            </w:r>
            <w:r w:rsidR="002D4642">
              <w:rPr>
                <w:rFonts w:eastAsiaTheme="minorEastAsia"/>
                <w:b/>
                <w:sz w:val="24"/>
                <w:szCs w:val="26"/>
                <w:lang w:val="pl-PL"/>
              </w:rPr>
              <w:t xml:space="preserve"> lũy kế</w:t>
            </w:r>
            <w:r w:rsidRPr="00894FC4">
              <w:rPr>
                <w:rFonts w:eastAsiaTheme="minorEastAsia"/>
                <w:b/>
                <w:sz w:val="24"/>
                <w:szCs w:val="26"/>
                <w:lang w:val="pl-PL"/>
              </w:rPr>
              <w:t xml:space="preserve"> </w:t>
            </w:r>
          </w:p>
          <w:p w:rsidR="00997047" w:rsidRDefault="005837C4" w:rsidP="006268CF">
            <w:pPr>
              <w:spacing w:after="0" w:line="288" w:lineRule="auto"/>
              <w:ind w:left="80" w:firstLine="0"/>
              <w:jc w:val="center"/>
              <w:rPr>
                <w:rFonts w:eastAsiaTheme="minorEastAsia"/>
                <w:b/>
                <w:sz w:val="24"/>
                <w:szCs w:val="26"/>
                <w:lang w:val="pl-PL"/>
              </w:rPr>
            </w:pPr>
            <w:r>
              <w:rPr>
                <w:rFonts w:eastAsiaTheme="minorEastAsia"/>
                <w:b/>
                <w:sz w:val="24"/>
                <w:szCs w:val="26"/>
                <w:lang w:val="pl-PL"/>
              </w:rPr>
              <w:t>9</w:t>
            </w:r>
            <w:r w:rsidR="00894FC4" w:rsidRPr="00894FC4">
              <w:rPr>
                <w:rFonts w:eastAsiaTheme="minorEastAsia"/>
                <w:b/>
                <w:sz w:val="24"/>
                <w:szCs w:val="26"/>
                <w:lang w:val="pl-PL"/>
              </w:rPr>
              <w:t xml:space="preserve"> tháng</w:t>
            </w:r>
            <w:r w:rsidR="002D4642">
              <w:rPr>
                <w:rFonts w:eastAsiaTheme="minorEastAsia"/>
                <w:b/>
                <w:sz w:val="24"/>
                <w:szCs w:val="26"/>
                <w:lang w:val="pl-PL"/>
              </w:rPr>
              <w:t>/</w:t>
            </w:r>
            <w:r w:rsidR="00894FC4" w:rsidRPr="00894FC4">
              <w:rPr>
                <w:rFonts w:eastAsiaTheme="minorEastAsia"/>
                <w:b/>
                <w:sz w:val="24"/>
                <w:szCs w:val="26"/>
                <w:lang w:val="pl-PL"/>
              </w:rPr>
              <w:t>2015</w:t>
            </w:r>
            <w:r w:rsidR="00AB31F3">
              <w:rPr>
                <w:rFonts w:eastAsiaTheme="minorEastAsia"/>
                <w:b/>
                <w:sz w:val="24"/>
                <w:szCs w:val="26"/>
                <w:lang w:val="pl-PL"/>
              </w:rPr>
              <w:t>, tỷ USD</w:t>
            </w:r>
          </w:p>
          <w:p w:rsidR="00894FC4" w:rsidRPr="001C0371" w:rsidRDefault="005837C4" w:rsidP="006268CF">
            <w:pPr>
              <w:spacing w:line="288" w:lineRule="auto"/>
              <w:ind w:firstLine="0"/>
              <w:rPr>
                <w:rFonts w:eastAsiaTheme="minorEastAsia"/>
                <w:sz w:val="24"/>
                <w:szCs w:val="26"/>
                <w:lang w:val="pl-PL"/>
              </w:rPr>
            </w:pPr>
            <w:r w:rsidRPr="001C0371">
              <w:rPr>
                <w:rFonts w:eastAsiaTheme="minorEastAsia"/>
                <w:noProof/>
                <w:sz w:val="24"/>
                <w:szCs w:val="26"/>
              </w:rPr>
              <w:drawing>
                <wp:inline distT="0" distB="0" distL="0" distR="0">
                  <wp:extent cx="2868706" cy="1535953"/>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4FC4" w:rsidRDefault="00894FC4" w:rsidP="006268CF">
            <w:pPr>
              <w:spacing w:line="288" w:lineRule="auto"/>
              <w:ind w:firstLine="0"/>
              <w:jc w:val="right"/>
              <w:rPr>
                <w:rFonts w:eastAsiaTheme="minorEastAsia"/>
                <w:i/>
                <w:sz w:val="24"/>
                <w:szCs w:val="26"/>
                <w:lang w:val="pl-PL"/>
              </w:rPr>
            </w:pPr>
            <w:r>
              <w:rPr>
                <w:rFonts w:eastAsiaTheme="minorEastAsia"/>
                <w:sz w:val="24"/>
                <w:szCs w:val="26"/>
                <w:lang w:val="pl-PL"/>
              </w:rPr>
              <w:tab/>
            </w:r>
            <w:r w:rsidRPr="00894FC4">
              <w:rPr>
                <w:rFonts w:eastAsiaTheme="minorEastAsia"/>
                <w:i/>
                <w:sz w:val="24"/>
                <w:szCs w:val="26"/>
                <w:lang w:val="pl-PL"/>
              </w:rPr>
              <w:t xml:space="preserve">Nguồn: </w:t>
            </w:r>
            <w:r w:rsidR="00384661" w:rsidRPr="00384661">
              <w:rPr>
                <w:rFonts w:eastAsiaTheme="minorEastAsia"/>
                <w:i/>
                <w:sz w:val="24"/>
                <w:szCs w:val="26"/>
                <w:lang w:val="pl-PL"/>
              </w:rPr>
              <w:t>TCTK</w:t>
            </w:r>
          </w:p>
          <w:p w:rsidR="009044DD" w:rsidRDefault="009044DD" w:rsidP="009044DD">
            <w:pPr>
              <w:spacing w:line="288" w:lineRule="auto"/>
              <w:ind w:firstLine="0"/>
              <w:jc w:val="center"/>
              <w:rPr>
                <w:b/>
                <w:sz w:val="24"/>
                <w:lang w:val="pl-PL"/>
              </w:rPr>
            </w:pPr>
          </w:p>
          <w:p w:rsidR="00DA32A4" w:rsidRDefault="00DA32A4" w:rsidP="009044DD">
            <w:pPr>
              <w:spacing w:line="288" w:lineRule="auto"/>
              <w:ind w:firstLine="0"/>
              <w:jc w:val="center"/>
              <w:rPr>
                <w:b/>
                <w:sz w:val="24"/>
                <w:lang w:val="pl-PL"/>
              </w:rPr>
            </w:pPr>
          </w:p>
          <w:p w:rsidR="00DA32A4" w:rsidRDefault="00DA32A4" w:rsidP="009044DD">
            <w:pPr>
              <w:spacing w:line="288" w:lineRule="auto"/>
              <w:ind w:firstLine="0"/>
              <w:jc w:val="center"/>
              <w:rPr>
                <w:b/>
                <w:sz w:val="24"/>
                <w:lang w:val="pl-PL"/>
              </w:rPr>
            </w:pPr>
          </w:p>
          <w:p w:rsidR="00DA32A4" w:rsidRDefault="00DA32A4" w:rsidP="009044DD">
            <w:pPr>
              <w:spacing w:line="288" w:lineRule="auto"/>
              <w:ind w:firstLine="0"/>
              <w:jc w:val="center"/>
              <w:rPr>
                <w:b/>
                <w:sz w:val="24"/>
                <w:lang w:val="pl-PL"/>
              </w:rPr>
            </w:pPr>
          </w:p>
          <w:p w:rsidR="00DA32A4" w:rsidRDefault="00DA32A4" w:rsidP="009044DD">
            <w:pPr>
              <w:spacing w:line="288" w:lineRule="auto"/>
              <w:ind w:firstLine="0"/>
              <w:jc w:val="center"/>
              <w:rPr>
                <w:b/>
                <w:sz w:val="24"/>
                <w:lang w:val="pl-PL"/>
              </w:rPr>
            </w:pPr>
          </w:p>
          <w:p w:rsidR="009044DD" w:rsidRPr="004B4900" w:rsidRDefault="009044DD" w:rsidP="009044DD">
            <w:pPr>
              <w:spacing w:line="288" w:lineRule="auto"/>
              <w:ind w:firstLine="0"/>
              <w:jc w:val="center"/>
              <w:rPr>
                <w:b/>
                <w:sz w:val="24"/>
                <w:lang w:val="pl-PL"/>
              </w:rPr>
            </w:pPr>
            <w:r w:rsidRPr="004B4900">
              <w:rPr>
                <w:b/>
                <w:sz w:val="24"/>
                <w:lang w:val="pl-PL"/>
              </w:rPr>
              <w:t xml:space="preserve">Hình </w:t>
            </w:r>
            <w:r>
              <w:rPr>
                <w:b/>
                <w:sz w:val="24"/>
                <w:lang w:val="pl-PL"/>
              </w:rPr>
              <w:t>4</w:t>
            </w:r>
            <w:r w:rsidRPr="004B4900">
              <w:rPr>
                <w:b/>
                <w:sz w:val="24"/>
                <w:lang w:val="pl-PL"/>
              </w:rPr>
              <w:t xml:space="preserve">: </w:t>
            </w:r>
            <w:r w:rsidR="00465315">
              <w:rPr>
                <w:b/>
                <w:sz w:val="24"/>
                <w:lang w:val="pl-PL"/>
              </w:rPr>
              <w:t>D</w:t>
            </w:r>
            <w:r w:rsidRPr="004B4900">
              <w:rPr>
                <w:b/>
                <w:sz w:val="24"/>
                <w:lang w:val="pl-PL"/>
              </w:rPr>
              <w:t>oanh nghiệp thành lập mới, phá sản</w:t>
            </w:r>
            <w:r w:rsidR="00465315">
              <w:rPr>
                <w:b/>
                <w:sz w:val="24"/>
                <w:lang w:val="pl-PL"/>
              </w:rPr>
              <w:t xml:space="preserve"> và</w:t>
            </w:r>
            <w:r w:rsidR="00465315" w:rsidRPr="004B4900">
              <w:rPr>
                <w:b/>
                <w:sz w:val="24"/>
                <w:lang w:val="pl-PL"/>
              </w:rPr>
              <w:t xml:space="preserve"> </w:t>
            </w:r>
            <w:r w:rsidRPr="004B4900">
              <w:rPr>
                <w:b/>
                <w:sz w:val="24"/>
                <w:lang w:val="pl-PL"/>
              </w:rPr>
              <w:t>giải thể</w:t>
            </w:r>
            <w:r w:rsidR="00465315">
              <w:rPr>
                <w:b/>
                <w:sz w:val="24"/>
                <w:lang w:val="pl-PL"/>
              </w:rPr>
              <w:t>, nghìn DN</w:t>
            </w:r>
          </w:p>
          <w:p w:rsidR="009044DD" w:rsidRDefault="00463AAD" w:rsidP="009044DD">
            <w:pPr>
              <w:pStyle w:val="ListParagraph"/>
              <w:tabs>
                <w:tab w:val="left" w:pos="960"/>
              </w:tabs>
              <w:spacing w:line="288" w:lineRule="auto"/>
              <w:ind w:left="0" w:firstLine="0"/>
              <w:contextualSpacing w:val="0"/>
              <w:rPr>
                <w:i/>
                <w:sz w:val="26"/>
                <w:szCs w:val="26"/>
                <w:lang w:val="pl-PL"/>
              </w:rPr>
            </w:pPr>
            <w:r w:rsidRPr="00463AAD">
              <w:rPr>
                <w:i/>
                <w:noProof/>
                <w:sz w:val="26"/>
                <w:szCs w:val="26"/>
              </w:rPr>
              <w:drawing>
                <wp:inline distT="0" distB="0" distL="0" distR="0">
                  <wp:extent cx="2875935" cy="1555954"/>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44DD" w:rsidRDefault="009044DD" w:rsidP="009044DD">
            <w:pPr>
              <w:tabs>
                <w:tab w:val="left" w:pos="3060"/>
              </w:tabs>
              <w:spacing w:line="288" w:lineRule="auto"/>
              <w:jc w:val="right"/>
              <w:rPr>
                <w:i/>
                <w:sz w:val="26"/>
                <w:szCs w:val="26"/>
                <w:lang w:val="pl-PL"/>
              </w:rPr>
            </w:pPr>
            <w:r w:rsidRPr="00530E0F">
              <w:rPr>
                <w:i/>
                <w:sz w:val="26"/>
                <w:szCs w:val="26"/>
                <w:lang w:val="pl-PL"/>
              </w:rPr>
              <w:t>Nguồn: TCTK</w:t>
            </w:r>
          </w:p>
          <w:p w:rsidR="009044DD" w:rsidRPr="00853D1D" w:rsidRDefault="009044DD" w:rsidP="009044DD">
            <w:pPr>
              <w:spacing w:line="288" w:lineRule="auto"/>
              <w:ind w:firstLine="0"/>
              <w:jc w:val="center"/>
              <w:rPr>
                <w:b/>
                <w:sz w:val="24"/>
                <w:szCs w:val="26"/>
                <w:lang w:val="pl-PL"/>
              </w:rPr>
            </w:pPr>
            <w:r w:rsidRPr="00853D1D">
              <w:rPr>
                <w:b/>
                <w:sz w:val="24"/>
                <w:szCs w:val="26"/>
                <w:lang w:val="vi-VN"/>
              </w:rPr>
              <w:t xml:space="preserve">Hình </w:t>
            </w:r>
            <w:r>
              <w:rPr>
                <w:b/>
                <w:sz w:val="24"/>
                <w:szCs w:val="26"/>
                <w:lang w:val="pl-PL"/>
              </w:rPr>
              <w:t>5</w:t>
            </w:r>
            <w:r w:rsidRPr="00853D1D">
              <w:rPr>
                <w:b/>
                <w:sz w:val="24"/>
                <w:szCs w:val="26"/>
                <w:lang w:val="vi-VN"/>
              </w:rPr>
              <w:t>: NSNN lũy kế đến 15/09/2015, %</w:t>
            </w:r>
          </w:p>
          <w:p w:rsidR="009044DD" w:rsidRPr="00853D1D" w:rsidRDefault="009044DD" w:rsidP="009044DD">
            <w:pPr>
              <w:tabs>
                <w:tab w:val="left" w:pos="1190"/>
              </w:tabs>
              <w:spacing w:line="288" w:lineRule="auto"/>
              <w:ind w:firstLine="35"/>
              <w:jc w:val="right"/>
              <w:rPr>
                <w:i/>
                <w:sz w:val="24"/>
                <w:szCs w:val="26"/>
              </w:rPr>
            </w:pPr>
            <w:r w:rsidRPr="00853D1D">
              <w:rPr>
                <w:i/>
                <w:noProof/>
                <w:sz w:val="24"/>
                <w:szCs w:val="26"/>
              </w:rPr>
              <w:drawing>
                <wp:inline distT="0" distB="0" distL="0" distR="0">
                  <wp:extent cx="2743200" cy="201407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44DD" w:rsidRDefault="009044DD" w:rsidP="00FC7A6A">
            <w:pPr>
              <w:spacing w:line="288" w:lineRule="auto"/>
              <w:ind w:firstLine="0"/>
              <w:jc w:val="right"/>
              <w:rPr>
                <w:i/>
                <w:sz w:val="24"/>
                <w:szCs w:val="26"/>
              </w:rPr>
            </w:pPr>
            <w:r w:rsidRPr="00853D1D">
              <w:rPr>
                <w:i/>
                <w:sz w:val="24"/>
                <w:szCs w:val="26"/>
                <w:lang w:val="vi-VN"/>
              </w:rPr>
              <w:t xml:space="preserve">Nguồn: </w:t>
            </w:r>
            <w:r>
              <w:rPr>
                <w:i/>
                <w:sz w:val="24"/>
                <w:szCs w:val="26"/>
              </w:rPr>
              <w:t>Bộ Tài chính</w:t>
            </w:r>
          </w:p>
          <w:p w:rsidR="00465315" w:rsidRPr="001649AF" w:rsidRDefault="00465315" w:rsidP="00465315">
            <w:pPr>
              <w:spacing w:line="288" w:lineRule="auto"/>
              <w:ind w:firstLine="0"/>
              <w:jc w:val="center"/>
              <w:rPr>
                <w:rFonts w:eastAsiaTheme="minorEastAsia"/>
                <w:b/>
                <w:sz w:val="24"/>
                <w:szCs w:val="26"/>
                <w:lang w:val="pl-PL"/>
              </w:rPr>
            </w:pPr>
            <w:r w:rsidRPr="001649AF">
              <w:rPr>
                <w:rFonts w:eastAsiaTheme="minorEastAsia"/>
                <w:b/>
                <w:sz w:val="24"/>
                <w:szCs w:val="26"/>
                <w:lang w:val="pl-PL"/>
              </w:rPr>
              <w:t xml:space="preserve">Hình </w:t>
            </w:r>
            <w:r>
              <w:rPr>
                <w:rFonts w:eastAsiaTheme="minorEastAsia"/>
                <w:b/>
                <w:sz w:val="24"/>
                <w:szCs w:val="26"/>
                <w:lang w:val="pl-PL"/>
              </w:rPr>
              <w:t>6</w:t>
            </w:r>
            <w:r w:rsidRPr="001649AF">
              <w:rPr>
                <w:rFonts w:eastAsiaTheme="minorEastAsia"/>
                <w:b/>
                <w:sz w:val="24"/>
                <w:szCs w:val="26"/>
                <w:lang w:val="pl-PL"/>
              </w:rPr>
              <w:t xml:space="preserve">: Bán lẻ hh và doanh thu dvtd </w:t>
            </w:r>
            <w:r>
              <w:rPr>
                <w:rFonts w:eastAsiaTheme="minorEastAsia"/>
                <w:b/>
                <w:sz w:val="24"/>
                <w:szCs w:val="26"/>
                <w:lang w:val="pl-PL"/>
              </w:rPr>
              <w:t>9</w:t>
            </w:r>
            <w:r w:rsidRPr="001649AF">
              <w:rPr>
                <w:rFonts w:eastAsiaTheme="minorEastAsia"/>
                <w:b/>
                <w:sz w:val="24"/>
                <w:szCs w:val="26"/>
                <w:lang w:val="pl-PL"/>
              </w:rPr>
              <w:t xml:space="preserve"> tháng năm 2011-2015, % tăng so </w:t>
            </w:r>
            <w:r>
              <w:rPr>
                <w:rFonts w:eastAsiaTheme="minorEastAsia"/>
                <w:b/>
                <w:sz w:val="24"/>
                <w:szCs w:val="26"/>
                <w:lang w:val="pl-PL"/>
              </w:rPr>
              <w:t xml:space="preserve">ck đã </w:t>
            </w:r>
            <w:r w:rsidRPr="001649AF">
              <w:rPr>
                <w:rFonts w:eastAsiaTheme="minorEastAsia"/>
                <w:b/>
                <w:sz w:val="24"/>
                <w:szCs w:val="26"/>
                <w:lang w:val="pl-PL"/>
              </w:rPr>
              <w:t>loại trừ yếu tố giá</w:t>
            </w:r>
          </w:p>
          <w:p w:rsidR="00465315" w:rsidRPr="006D43A3" w:rsidRDefault="002A7F2E" w:rsidP="00465315">
            <w:pPr>
              <w:spacing w:before="120" w:line="288" w:lineRule="auto"/>
              <w:ind w:firstLine="0"/>
              <w:jc w:val="center"/>
              <w:rPr>
                <w:rFonts w:eastAsiaTheme="minorEastAsia"/>
                <w:b/>
                <w:sz w:val="24"/>
                <w:szCs w:val="26"/>
                <w:lang w:val="pl-PL"/>
              </w:rPr>
            </w:pPr>
            <w:r>
              <w:rPr>
                <w:rFonts w:eastAsiaTheme="minorEastAsia"/>
                <w:b/>
                <w:noProof/>
                <w:sz w:val="24"/>
                <w:szCs w:val="26"/>
              </w:rPr>
              <w:drawing>
                <wp:inline distT="0" distB="0" distL="0" distR="0">
                  <wp:extent cx="2743200" cy="1386541"/>
                  <wp:effectExtent l="0" t="0" r="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5315" w:rsidRPr="00FC7A6A" w:rsidRDefault="00465315" w:rsidP="00465315">
            <w:pPr>
              <w:spacing w:line="288" w:lineRule="auto"/>
              <w:ind w:firstLine="0"/>
              <w:jc w:val="right"/>
              <w:rPr>
                <w:i/>
                <w:sz w:val="24"/>
                <w:szCs w:val="26"/>
              </w:rPr>
            </w:pPr>
            <w:r w:rsidRPr="001649AF">
              <w:rPr>
                <w:rFonts w:eastAsiaTheme="minorEastAsia"/>
                <w:i/>
                <w:sz w:val="24"/>
                <w:szCs w:val="26"/>
                <w:lang w:val="pl-PL"/>
              </w:rPr>
              <w:t>Nguồn</w:t>
            </w:r>
            <w:r w:rsidRPr="00384661">
              <w:rPr>
                <w:rFonts w:eastAsiaTheme="minorEastAsia"/>
                <w:i/>
                <w:sz w:val="24"/>
                <w:szCs w:val="26"/>
                <w:lang w:val="pl-PL"/>
              </w:rPr>
              <w:t>: TCTK</w:t>
            </w:r>
          </w:p>
        </w:tc>
      </w:tr>
    </w:tbl>
    <w:p w:rsidR="001649AF" w:rsidRPr="003C1625" w:rsidRDefault="001649AF" w:rsidP="00FC7A6A">
      <w:pPr>
        <w:spacing w:before="120" w:line="288" w:lineRule="auto"/>
        <w:ind w:firstLine="0"/>
        <w:rPr>
          <w:rFonts w:eastAsiaTheme="minorEastAsia"/>
          <w:b/>
          <w:sz w:val="26"/>
          <w:szCs w:val="26"/>
          <w:lang w:val="pl-PL"/>
        </w:rPr>
      </w:pPr>
      <w:r w:rsidRPr="003C1625">
        <w:rPr>
          <w:rFonts w:eastAsiaTheme="minorEastAsia"/>
          <w:b/>
          <w:sz w:val="26"/>
          <w:szCs w:val="26"/>
          <w:lang w:val="pl-PL"/>
        </w:rPr>
        <w:lastRenderedPageBreak/>
        <w:t xml:space="preserve">3. </w:t>
      </w:r>
      <w:r w:rsidR="00663181">
        <w:rPr>
          <w:rFonts w:eastAsiaTheme="minorEastAsia"/>
          <w:b/>
          <w:sz w:val="26"/>
          <w:szCs w:val="26"/>
          <w:lang w:val="pl-PL"/>
        </w:rPr>
        <w:t>K</w:t>
      </w:r>
      <w:r w:rsidRPr="003C1625">
        <w:rPr>
          <w:rFonts w:eastAsiaTheme="minorEastAsia"/>
          <w:b/>
          <w:sz w:val="26"/>
          <w:szCs w:val="26"/>
          <w:lang w:val="pl-PL"/>
        </w:rPr>
        <w:t xml:space="preserve">inh tế vĩ mô </w:t>
      </w:r>
      <w:r w:rsidR="00663181">
        <w:rPr>
          <w:rFonts w:eastAsiaTheme="minorEastAsia"/>
          <w:b/>
          <w:sz w:val="26"/>
          <w:szCs w:val="26"/>
          <w:lang w:val="pl-PL"/>
        </w:rPr>
        <w:t>tiếp tục ổn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8"/>
        <w:gridCol w:w="4686"/>
        <w:gridCol w:w="92"/>
      </w:tblGrid>
      <w:tr w:rsidR="003C1625" w:rsidRPr="00916CFB" w:rsidTr="00851F42">
        <w:trPr>
          <w:gridAfter w:val="1"/>
          <w:wAfter w:w="92" w:type="dxa"/>
          <w:trHeight w:val="247"/>
        </w:trPr>
        <w:tc>
          <w:tcPr>
            <w:tcW w:w="4793" w:type="dxa"/>
            <w:gridSpan w:val="2"/>
          </w:tcPr>
          <w:p w:rsidR="0073590E" w:rsidRDefault="003C1625">
            <w:pPr>
              <w:spacing w:before="120" w:line="288" w:lineRule="auto"/>
              <w:ind w:firstLine="567"/>
              <w:rPr>
                <w:rFonts w:eastAsiaTheme="minorEastAsia"/>
                <w:color w:val="000000" w:themeColor="text1"/>
                <w:sz w:val="26"/>
                <w:szCs w:val="26"/>
                <w:lang w:val="pl-PL"/>
              </w:rPr>
            </w:pPr>
            <w:r w:rsidRPr="002A3B02">
              <w:rPr>
                <w:i/>
                <w:color w:val="000000" w:themeColor="text1"/>
                <w:spacing w:val="-2"/>
                <w:sz w:val="26"/>
                <w:szCs w:val="26"/>
                <w:lang w:val="pl-PL"/>
              </w:rPr>
              <w:t xml:space="preserve">Lạm phát thấp và ổn định. </w:t>
            </w:r>
            <w:r w:rsidR="00AC553B">
              <w:rPr>
                <w:color w:val="000000" w:themeColor="text1"/>
                <w:spacing w:val="-4"/>
                <w:sz w:val="26"/>
                <w:szCs w:val="26"/>
                <w:lang w:val="pl-PL"/>
              </w:rPr>
              <w:t>Mặc dù trong tháng 9 l</w:t>
            </w:r>
            <w:r w:rsidR="002D4642">
              <w:rPr>
                <w:color w:val="000000" w:themeColor="text1"/>
                <w:spacing w:val="-4"/>
                <w:sz w:val="26"/>
                <w:szCs w:val="26"/>
                <w:lang w:val="pl-PL"/>
              </w:rPr>
              <w:t xml:space="preserve">ạm phát </w:t>
            </w:r>
            <w:r w:rsidR="00AC553B">
              <w:rPr>
                <w:color w:val="000000" w:themeColor="text1"/>
                <w:spacing w:val="-4"/>
                <w:sz w:val="26"/>
                <w:szCs w:val="26"/>
                <w:lang w:val="pl-PL"/>
              </w:rPr>
              <w:t xml:space="preserve">(so cùng kì năm trước) giảm xuống 0% nhưng lạm phát cơ bản vẫn ở mức 2,4%, là mức ổn định của lạm phát cơ bản trong suốt 7 tháng gần đây. </w:t>
            </w:r>
            <w:r w:rsidR="0097475A">
              <w:rPr>
                <w:color w:val="000000" w:themeColor="text1"/>
                <w:spacing w:val="-4"/>
                <w:sz w:val="26"/>
                <w:szCs w:val="26"/>
                <w:lang w:val="pl-PL"/>
              </w:rPr>
              <w:t>Căn cứ</w:t>
            </w:r>
            <w:r w:rsidR="007225DC" w:rsidRPr="002A3B02">
              <w:rPr>
                <w:color w:val="000000" w:themeColor="text1"/>
                <w:spacing w:val="-4"/>
                <w:sz w:val="26"/>
                <w:szCs w:val="26"/>
                <w:lang w:val="pl-PL"/>
              </w:rPr>
              <w:t xml:space="preserve"> </w:t>
            </w:r>
            <w:r w:rsidR="00465315">
              <w:rPr>
                <w:color w:val="000000" w:themeColor="text1"/>
                <w:spacing w:val="-4"/>
                <w:sz w:val="26"/>
                <w:szCs w:val="26"/>
                <w:lang w:val="pl-PL"/>
              </w:rPr>
              <w:t>diễn biến của</w:t>
            </w:r>
            <w:r w:rsidR="0097475A">
              <w:rPr>
                <w:color w:val="000000" w:themeColor="text1"/>
                <w:spacing w:val="-4"/>
                <w:sz w:val="26"/>
                <w:szCs w:val="26"/>
                <w:lang w:val="pl-PL"/>
              </w:rPr>
              <w:t xml:space="preserve"> </w:t>
            </w:r>
            <w:r w:rsidR="00AC553B">
              <w:rPr>
                <w:color w:val="000000" w:themeColor="text1"/>
                <w:spacing w:val="-4"/>
                <w:sz w:val="26"/>
                <w:szCs w:val="26"/>
                <w:lang w:val="pl-PL"/>
              </w:rPr>
              <w:t>giá dầu</w:t>
            </w:r>
            <w:r w:rsidR="007225DC" w:rsidRPr="002A3B02">
              <w:rPr>
                <w:color w:val="000000" w:themeColor="text1"/>
                <w:spacing w:val="-4"/>
                <w:sz w:val="26"/>
                <w:szCs w:val="26"/>
                <w:lang w:val="pl-PL"/>
              </w:rPr>
              <w:t xml:space="preserve">, </w:t>
            </w:r>
            <w:r w:rsidR="005C5794" w:rsidRPr="005C5794">
              <w:rPr>
                <w:b/>
                <w:i/>
                <w:color w:val="000000" w:themeColor="text1"/>
                <w:spacing w:val="-4"/>
                <w:sz w:val="26"/>
                <w:szCs w:val="26"/>
                <w:lang w:val="pl-PL"/>
              </w:rPr>
              <w:t>UBGSTCQG giảm dự báo lạm phát năm 2015 xuống dưới 2%</w:t>
            </w:r>
            <w:r w:rsidR="007225DC" w:rsidRPr="002A3B02">
              <w:rPr>
                <w:color w:val="000000" w:themeColor="text1"/>
                <w:spacing w:val="-4"/>
                <w:sz w:val="26"/>
                <w:szCs w:val="26"/>
                <w:lang w:val="pl-PL"/>
              </w:rPr>
              <w:t>.</w:t>
            </w:r>
          </w:p>
        </w:tc>
        <w:tc>
          <w:tcPr>
            <w:tcW w:w="4686" w:type="dxa"/>
          </w:tcPr>
          <w:p w:rsidR="003C1625" w:rsidRPr="003C1625" w:rsidRDefault="003C1625" w:rsidP="00851F42">
            <w:pPr>
              <w:spacing w:after="0"/>
              <w:ind w:firstLine="0"/>
              <w:jc w:val="center"/>
              <w:rPr>
                <w:rFonts w:eastAsiaTheme="minorEastAsia"/>
                <w:b/>
                <w:sz w:val="24"/>
                <w:szCs w:val="26"/>
                <w:lang w:val="pl-PL"/>
              </w:rPr>
            </w:pPr>
            <w:r w:rsidRPr="00D85901">
              <w:rPr>
                <w:rFonts w:eastAsiaTheme="minorEastAsia"/>
                <w:b/>
                <w:sz w:val="24"/>
                <w:szCs w:val="26"/>
                <w:lang w:val="pl-PL"/>
              </w:rPr>
              <w:t xml:space="preserve">Hình </w:t>
            </w:r>
            <w:r w:rsidR="00465315">
              <w:rPr>
                <w:rFonts w:eastAsiaTheme="minorEastAsia"/>
                <w:b/>
                <w:sz w:val="24"/>
                <w:szCs w:val="26"/>
                <w:lang w:val="pl-PL"/>
              </w:rPr>
              <w:t>7</w:t>
            </w:r>
            <w:r w:rsidRPr="00D85901">
              <w:rPr>
                <w:rFonts w:eastAsiaTheme="minorEastAsia"/>
                <w:b/>
                <w:sz w:val="24"/>
                <w:szCs w:val="26"/>
                <w:lang w:val="pl-PL"/>
              </w:rPr>
              <w:t xml:space="preserve">: </w:t>
            </w:r>
            <w:r w:rsidRPr="00D85901">
              <w:rPr>
                <w:rFonts w:eastAsiaTheme="minorEastAsia"/>
                <w:b/>
                <w:sz w:val="24"/>
                <w:szCs w:val="26"/>
                <w:lang w:val="vi-VN"/>
              </w:rPr>
              <w:t>Lạm phát và lạm cơ bản</w:t>
            </w:r>
            <w:r w:rsidR="006878B0">
              <w:rPr>
                <w:rFonts w:eastAsiaTheme="minorEastAsia"/>
                <w:b/>
                <w:sz w:val="24"/>
                <w:szCs w:val="26"/>
                <w:lang w:val="pl-PL"/>
              </w:rPr>
              <w:t xml:space="preserve"> </w:t>
            </w:r>
            <w:r w:rsidR="00B50E69">
              <w:rPr>
                <w:rFonts w:eastAsiaTheme="minorEastAsia"/>
                <w:b/>
                <w:sz w:val="24"/>
                <w:szCs w:val="26"/>
                <w:lang w:val="pl-PL"/>
              </w:rPr>
              <w:t>9</w:t>
            </w:r>
            <w:r w:rsidRPr="00D85901">
              <w:rPr>
                <w:rFonts w:eastAsiaTheme="minorEastAsia"/>
                <w:b/>
                <w:sz w:val="24"/>
                <w:szCs w:val="26"/>
                <w:lang w:val="pl-PL"/>
              </w:rPr>
              <w:t>/2014-</w:t>
            </w:r>
            <w:r w:rsidR="00B50E69">
              <w:rPr>
                <w:rFonts w:eastAsiaTheme="minorEastAsia"/>
                <w:b/>
                <w:sz w:val="24"/>
                <w:szCs w:val="26"/>
                <w:lang w:val="pl-PL"/>
              </w:rPr>
              <w:t>9</w:t>
            </w:r>
            <w:r w:rsidRPr="00D85901">
              <w:rPr>
                <w:rFonts w:eastAsiaTheme="minorEastAsia"/>
                <w:b/>
                <w:sz w:val="24"/>
                <w:szCs w:val="26"/>
                <w:lang w:val="pl-PL"/>
              </w:rPr>
              <w:t xml:space="preserve">/2015,  </w:t>
            </w:r>
            <w:r w:rsidRPr="00D85901">
              <w:rPr>
                <w:rFonts w:eastAsiaTheme="minorEastAsia"/>
                <w:b/>
                <w:sz w:val="24"/>
                <w:szCs w:val="26"/>
                <w:lang w:val="vi-VN"/>
              </w:rPr>
              <w:t>%</w:t>
            </w:r>
            <w:r w:rsidRPr="00D85901">
              <w:rPr>
                <w:rFonts w:eastAsiaTheme="minorEastAsia"/>
                <w:b/>
                <w:sz w:val="24"/>
                <w:szCs w:val="26"/>
                <w:lang w:val="pl-PL"/>
              </w:rPr>
              <w:t xml:space="preserve"> </w:t>
            </w:r>
            <w:r w:rsidRPr="00D85901">
              <w:rPr>
                <w:rFonts w:eastAsiaTheme="minorEastAsia"/>
                <w:b/>
                <w:sz w:val="24"/>
                <w:szCs w:val="26"/>
                <w:lang w:val="vi-VN"/>
              </w:rPr>
              <w:t>tăng CPI so cùng kỳ</w:t>
            </w:r>
          </w:p>
          <w:p w:rsidR="003C1625" w:rsidRPr="003C1625" w:rsidRDefault="00297C61" w:rsidP="00851F42">
            <w:pPr>
              <w:spacing w:after="0"/>
              <w:ind w:firstLine="0"/>
              <w:jc w:val="center"/>
              <w:rPr>
                <w:rFonts w:eastAsiaTheme="minorEastAsia"/>
                <w:i/>
                <w:sz w:val="26"/>
                <w:szCs w:val="26"/>
                <w:lang w:val="pl-PL"/>
              </w:rPr>
            </w:pPr>
            <w:r w:rsidRPr="00297C61">
              <w:rPr>
                <w:rFonts w:eastAsiaTheme="minorEastAsia"/>
                <w:i/>
                <w:noProof/>
                <w:sz w:val="26"/>
                <w:szCs w:val="26"/>
              </w:rPr>
              <w:drawing>
                <wp:inline distT="0" distB="0" distL="0" distR="0">
                  <wp:extent cx="2886635" cy="160169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590E" w:rsidRDefault="003C1625" w:rsidP="0073590E">
            <w:pPr>
              <w:spacing w:after="0"/>
              <w:ind w:firstLine="0"/>
              <w:jc w:val="right"/>
              <w:rPr>
                <w:rFonts w:eastAsiaTheme="minorEastAsia"/>
                <w:b/>
                <w:bCs/>
                <w:kern w:val="32"/>
                <w:sz w:val="24"/>
                <w:szCs w:val="26"/>
                <w:lang w:val="pl-PL"/>
              </w:rPr>
            </w:pPr>
            <w:r w:rsidRPr="003C1625">
              <w:rPr>
                <w:rFonts w:eastAsiaTheme="minorEastAsia"/>
                <w:i/>
                <w:sz w:val="24"/>
                <w:szCs w:val="26"/>
                <w:lang w:val="pl-PL"/>
              </w:rPr>
              <w:t>Nguồn:</w:t>
            </w:r>
            <w:r w:rsidRPr="003C1625">
              <w:rPr>
                <w:rFonts w:eastAsiaTheme="minorEastAsia"/>
                <w:b/>
                <w:i/>
                <w:sz w:val="24"/>
                <w:szCs w:val="26"/>
                <w:lang w:val="pl-PL"/>
              </w:rPr>
              <w:t xml:space="preserve"> </w:t>
            </w:r>
            <w:r w:rsidR="004D73AA" w:rsidRPr="00384661">
              <w:rPr>
                <w:rFonts w:eastAsiaTheme="minorEastAsia"/>
                <w:i/>
                <w:sz w:val="24"/>
                <w:szCs w:val="26"/>
                <w:lang w:val="pl-PL"/>
              </w:rPr>
              <w:t>UBGSTCQG</w:t>
            </w:r>
            <w:r w:rsidR="00465315">
              <w:rPr>
                <w:rFonts w:eastAsiaTheme="minorEastAsia"/>
                <w:i/>
                <w:sz w:val="24"/>
                <w:szCs w:val="26"/>
                <w:lang w:val="pl-PL"/>
              </w:rPr>
              <w:t>.</w:t>
            </w:r>
            <w:r w:rsidR="004D73AA" w:rsidRPr="00384661">
              <w:rPr>
                <w:rFonts w:eastAsiaTheme="minorEastAsia"/>
                <w:i/>
                <w:sz w:val="24"/>
                <w:szCs w:val="26"/>
                <w:lang w:val="pl-PL"/>
              </w:rPr>
              <w:t xml:space="preserve"> </w:t>
            </w:r>
          </w:p>
        </w:tc>
      </w:tr>
      <w:tr w:rsidR="00A603CD" w:rsidTr="005C54BB">
        <w:tc>
          <w:tcPr>
            <w:tcW w:w="4785" w:type="dxa"/>
          </w:tcPr>
          <w:p w:rsidR="0073590E" w:rsidRDefault="00A603CD" w:rsidP="0073590E">
            <w:pPr>
              <w:spacing w:before="120" w:line="288" w:lineRule="auto"/>
              <w:ind w:firstLine="709"/>
              <w:rPr>
                <w:b/>
                <w:bCs/>
                <w:kern w:val="32"/>
                <w:sz w:val="26"/>
                <w:szCs w:val="26"/>
                <w:lang w:val="pl-PL"/>
              </w:rPr>
            </w:pPr>
            <w:r w:rsidRPr="000A0BE5">
              <w:rPr>
                <w:i/>
                <w:sz w:val="26"/>
                <w:szCs w:val="26"/>
                <w:lang w:val="pl-PL"/>
              </w:rPr>
              <w:t>Chỉ số CDS</w:t>
            </w:r>
            <w:r w:rsidRPr="000A0BE5">
              <w:rPr>
                <w:rStyle w:val="FootnoteReference"/>
                <w:i/>
                <w:sz w:val="26"/>
                <w:szCs w:val="26"/>
              </w:rPr>
              <w:footnoteReference w:id="11"/>
            </w:r>
            <w:r w:rsidRPr="000A0BE5">
              <w:rPr>
                <w:i/>
                <w:sz w:val="26"/>
                <w:szCs w:val="26"/>
                <w:lang w:val="pl-PL"/>
              </w:rPr>
              <w:t xml:space="preserve"> tăng trong</w:t>
            </w:r>
            <w:r w:rsidR="00924FA0">
              <w:rPr>
                <w:i/>
                <w:sz w:val="26"/>
                <w:szCs w:val="26"/>
                <w:lang w:val="pl-PL"/>
              </w:rPr>
              <w:t xml:space="preserve"> hai tháng cuối quý 3/2015</w:t>
            </w:r>
            <w:r w:rsidRPr="000A0BE5">
              <w:rPr>
                <w:sz w:val="26"/>
                <w:szCs w:val="26"/>
                <w:lang w:val="pl-PL"/>
              </w:rPr>
              <w:t xml:space="preserve">. CDS 5 năm tính đến giữa tháng 9 ở mức 260 điểm, cao hơn </w:t>
            </w:r>
            <w:r w:rsidR="007F2A2F">
              <w:rPr>
                <w:sz w:val="26"/>
                <w:szCs w:val="26"/>
                <w:lang w:val="pl-PL"/>
              </w:rPr>
              <w:t xml:space="preserve">mức 200 điểm của đầu </w:t>
            </w:r>
            <w:r w:rsidRPr="000A0BE5">
              <w:rPr>
                <w:sz w:val="26"/>
                <w:szCs w:val="26"/>
                <w:lang w:val="pl-PL"/>
              </w:rPr>
              <w:t>năm và là mức cao nhất kể từ tháng 01/2014. Điều này phần nào phản ánh tâm lý lo ngại của nhà đầu tư nước ngoài đối với tình hình nợ công của Việt Nam. Thêm vào đó, trong tháng 8/2015, khối ngoại đã bán ròng 4</w:t>
            </w:r>
            <w:r w:rsidR="00663181">
              <w:rPr>
                <w:sz w:val="26"/>
                <w:szCs w:val="26"/>
                <w:lang w:val="pl-PL"/>
              </w:rPr>
              <w:t>,</w:t>
            </w:r>
            <w:r w:rsidR="00663181" w:rsidRPr="000A0BE5">
              <w:rPr>
                <w:sz w:val="26"/>
                <w:szCs w:val="26"/>
                <w:lang w:val="pl-PL"/>
              </w:rPr>
              <w:t>6</w:t>
            </w:r>
            <w:r w:rsidR="00663181">
              <w:rPr>
                <w:sz w:val="26"/>
                <w:szCs w:val="26"/>
                <w:lang w:val="pl-PL"/>
              </w:rPr>
              <w:t xml:space="preserve"> nghìn</w:t>
            </w:r>
            <w:r w:rsidR="00663181" w:rsidRPr="000A0BE5">
              <w:rPr>
                <w:sz w:val="26"/>
                <w:szCs w:val="26"/>
                <w:lang w:val="pl-PL"/>
              </w:rPr>
              <w:t xml:space="preserve"> </w:t>
            </w:r>
            <w:r w:rsidRPr="000A0BE5">
              <w:rPr>
                <w:sz w:val="26"/>
                <w:szCs w:val="26"/>
                <w:lang w:val="pl-PL"/>
              </w:rPr>
              <w:t xml:space="preserve">tỷ đồng trái phiếu. </w:t>
            </w:r>
          </w:p>
        </w:tc>
        <w:tc>
          <w:tcPr>
            <w:tcW w:w="4786" w:type="dxa"/>
            <w:gridSpan w:val="3"/>
          </w:tcPr>
          <w:p w:rsidR="00A603CD" w:rsidRPr="00853D1D" w:rsidRDefault="00A603CD" w:rsidP="006268CF">
            <w:pPr>
              <w:spacing w:before="120" w:line="288" w:lineRule="auto"/>
              <w:ind w:firstLine="0"/>
              <w:jc w:val="center"/>
              <w:rPr>
                <w:b/>
                <w:sz w:val="24"/>
                <w:szCs w:val="26"/>
                <w:lang w:val="pl-PL"/>
              </w:rPr>
            </w:pPr>
            <w:r w:rsidRPr="00853D1D">
              <w:rPr>
                <w:b/>
                <w:sz w:val="24"/>
                <w:szCs w:val="26"/>
                <w:lang w:val="pl-PL"/>
              </w:rPr>
              <w:t xml:space="preserve">Hình </w:t>
            </w:r>
            <w:r w:rsidR="00663181">
              <w:rPr>
                <w:b/>
                <w:sz w:val="24"/>
                <w:szCs w:val="26"/>
                <w:lang w:val="pl-PL"/>
              </w:rPr>
              <w:t>8</w:t>
            </w:r>
            <w:r w:rsidRPr="00853D1D">
              <w:rPr>
                <w:b/>
                <w:sz w:val="24"/>
                <w:szCs w:val="26"/>
                <w:lang w:val="pl-PL"/>
              </w:rPr>
              <w:t>: CDS</w:t>
            </w:r>
            <w:r w:rsidR="005C54BB">
              <w:rPr>
                <w:b/>
                <w:sz w:val="24"/>
                <w:szCs w:val="26"/>
                <w:lang w:val="pl-PL"/>
              </w:rPr>
              <w:t xml:space="preserve"> TPCP kỳ hạn 5 năm</w:t>
            </w:r>
            <w:r w:rsidR="00924FA0">
              <w:rPr>
                <w:b/>
                <w:sz w:val="24"/>
                <w:szCs w:val="26"/>
                <w:lang w:val="pl-PL"/>
              </w:rPr>
              <w:t>, điểm</w:t>
            </w:r>
          </w:p>
          <w:p w:rsidR="00A603CD" w:rsidRPr="00853D1D" w:rsidRDefault="00A603CD" w:rsidP="006268CF">
            <w:pPr>
              <w:spacing w:before="120" w:line="288" w:lineRule="auto"/>
              <w:ind w:firstLine="0"/>
              <w:jc w:val="right"/>
              <w:rPr>
                <w:i/>
                <w:sz w:val="24"/>
                <w:szCs w:val="26"/>
                <w:lang w:val="pl-PL"/>
              </w:rPr>
            </w:pPr>
            <w:r w:rsidRPr="00853D1D">
              <w:rPr>
                <w:b/>
                <w:noProof/>
                <w:sz w:val="24"/>
                <w:szCs w:val="26"/>
              </w:rPr>
              <w:drawing>
                <wp:inline distT="0" distB="0" distL="0" distR="0">
                  <wp:extent cx="2895600" cy="1620252"/>
                  <wp:effectExtent l="0" t="0" r="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03CD" w:rsidRPr="00853D1D" w:rsidRDefault="00A603CD" w:rsidP="006268CF">
            <w:pPr>
              <w:spacing w:before="120" w:line="288" w:lineRule="auto"/>
              <w:ind w:firstLine="0"/>
              <w:jc w:val="right"/>
              <w:rPr>
                <w:i/>
                <w:sz w:val="24"/>
                <w:szCs w:val="26"/>
                <w:lang w:val="pl-PL"/>
              </w:rPr>
            </w:pPr>
            <w:r w:rsidRPr="00853D1D">
              <w:rPr>
                <w:i/>
                <w:sz w:val="24"/>
                <w:szCs w:val="26"/>
                <w:lang w:val="pl-PL"/>
              </w:rPr>
              <w:t>Nguồn: HSC</w:t>
            </w:r>
          </w:p>
        </w:tc>
      </w:tr>
    </w:tbl>
    <w:p w:rsidR="00592554" w:rsidRDefault="00592554" w:rsidP="006268CF">
      <w:pPr>
        <w:spacing w:line="288" w:lineRule="auto"/>
        <w:ind w:firstLine="0"/>
        <w:rPr>
          <w:rFonts w:eastAsiaTheme="minorEastAsia"/>
          <w:b/>
          <w:sz w:val="26"/>
          <w:szCs w:val="26"/>
          <w:lang w:val="pl-PL"/>
        </w:rPr>
      </w:pPr>
      <w:r>
        <w:rPr>
          <w:rFonts w:eastAsiaTheme="minorEastAsia"/>
          <w:b/>
          <w:sz w:val="26"/>
          <w:szCs w:val="26"/>
          <w:lang w:val="pl-PL"/>
        </w:rPr>
        <w:t>3</w:t>
      </w:r>
      <w:r w:rsidRPr="00391162">
        <w:rPr>
          <w:rFonts w:eastAsiaTheme="minorEastAsia"/>
          <w:b/>
          <w:sz w:val="26"/>
          <w:szCs w:val="26"/>
          <w:lang w:val="pl-PL"/>
        </w:rPr>
        <w:t xml:space="preserve">. </w:t>
      </w:r>
      <w:r w:rsidR="00663181">
        <w:rPr>
          <w:rFonts w:eastAsiaTheme="minorEastAsia"/>
          <w:b/>
          <w:sz w:val="26"/>
          <w:szCs w:val="26"/>
          <w:lang w:val="pl-PL"/>
        </w:rPr>
        <w:t>K</w:t>
      </w:r>
      <w:r w:rsidRPr="00391162">
        <w:rPr>
          <w:rFonts w:eastAsiaTheme="minorEastAsia"/>
          <w:b/>
          <w:sz w:val="26"/>
          <w:szCs w:val="26"/>
          <w:lang w:val="pl-PL"/>
        </w:rPr>
        <w:t>hu vực tài chính</w:t>
      </w:r>
      <w:r w:rsidR="00663181">
        <w:rPr>
          <w:rFonts w:eastAsiaTheme="minorEastAsia"/>
          <w:b/>
          <w:sz w:val="26"/>
          <w:szCs w:val="26"/>
          <w:lang w:val="pl-PL"/>
        </w:rPr>
        <w:t xml:space="preserve"> có những tín hiệu tích cực</w:t>
      </w:r>
    </w:p>
    <w:p w:rsidR="00A920C7" w:rsidRPr="007F2A2F" w:rsidRDefault="008E7F5E" w:rsidP="002A3B02">
      <w:pPr>
        <w:spacing w:after="80" w:line="288" w:lineRule="auto"/>
        <w:ind w:firstLine="0"/>
        <w:rPr>
          <w:rFonts w:eastAsiaTheme="minorEastAsia"/>
          <w:i/>
          <w:spacing w:val="-8"/>
          <w:sz w:val="26"/>
          <w:szCs w:val="26"/>
          <w:lang w:val="pl-PL"/>
        </w:rPr>
      </w:pPr>
      <w:r w:rsidRPr="007F2A2F">
        <w:rPr>
          <w:rFonts w:eastAsiaTheme="minorEastAsia"/>
          <w:spacing w:val="-8"/>
          <w:sz w:val="26"/>
          <w:szCs w:val="26"/>
          <w:lang w:val="pl-PL"/>
        </w:rPr>
        <w:tab/>
      </w:r>
      <w:r w:rsidR="00A920C7" w:rsidRPr="007F2A2F">
        <w:rPr>
          <w:rFonts w:eastAsiaTheme="minorEastAsia"/>
          <w:i/>
          <w:spacing w:val="-8"/>
          <w:sz w:val="26"/>
          <w:szCs w:val="26"/>
          <w:lang w:val="pl-PL"/>
        </w:rPr>
        <w:t xml:space="preserve">Khu vực ngân hàng ổn định thanh khoản, tăng trưởng tín dụng tốt, trích lập DPRR tăng. </w:t>
      </w:r>
    </w:p>
    <w:p w:rsidR="003246E9" w:rsidRDefault="00663181">
      <w:pPr>
        <w:tabs>
          <w:tab w:val="left" w:pos="1134"/>
        </w:tabs>
        <w:spacing w:after="80" w:line="288" w:lineRule="auto"/>
        <w:rPr>
          <w:color w:val="000000" w:themeColor="text1"/>
          <w:sz w:val="26"/>
          <w:szCs w:val="26"/>
          <w:lang w:val="pl-PL"/>
        </w:rPr>
      </w:pPr>
      <w:r>
        <w:rPr>
          <w:sz w:val="26"/>
          <w:szCs w:val="26"/>
          <w:lang w:val="pl-PL"/>
        </w:rPr>
        <w:t>(i)</w:t>
      </w:r>
      <w:r w:rsidRPr="005C5794">
        <w:rPr>
          <w:sz w:val="26"/>
          <w:szCs w:val="26"/>
          <w:lang w:val="pl-PL"/>
        </w:rPr>
        <w:t xml:space="preserve"> </w:t>
      </w:r>
      <w:r w:rsidR="005C5794" w:rsidRPr="005C5794">
        <w:rPr>
          <w:sz w:val="26"/>
          <w:szCs w:val="26"/>
          <w:lang w:val="pl-PL"/>
        </w:rPr>
        <w:t>Tính tới 21/9/2015, tổng tín đụng đối với nền kinh tế (cho vay doanh nghiệp, cá nhân, và trái phiếu doanh nghiệp) tăng 10,5% so với cuối năm 2014, cao hơn nhiều so với mức tăng 7,26% của 9 tháng đầu năm 2014.</w:t>
      </w:r>
    </w:p>
    <w:p w:rsidR="00A920C7" w:rsidRPr="00E10A4F" w:rsidRDefault="00663181" w:rsidP="002A3B02">
      <w:pPr>
        <w:tabs>
          <w:tab w:val="left" w:pos="851"/>
        </w:tabs>
        <w:spacing w:after="80" w:line="288" w:lineRule="auto"/>
        <w:ind w:firstLine="0"/>
        <w:rPr>
          <w:color w:val="000000" w:themeColor="text1"/>
          <w:spacing w:val="-4"/>
          <w:sz w:val="26"/>
          <w:szCs w:val="26"/>
          <w:lang w:val="pl-PL"/>
        </w:rPr>
      </w:pPr>
      <w:r>
        <w:rPr>
          <w:color w:val="000000" w:themeColor="text1"/>
          <w:spacing w:val="-4"/>
          <w:sz w:val="26"/>
          <w:szCs w:val="26"/>
          <w:lang w:val="pl-PL"/>
        </w:rPr>
        <w:tab/>
        <w:t>(ii)</w:t>
      </w:r>
      <w:r w:rsidRPr="00E10A4F">
        <w:rPr>
          <w:color w:val="000000" w:themeColor="text1"/>
          <w:spacing w:val="-4"/>
          <w:sz w:val="26"/>
          <w:szCs w:val="26"/>
          <w:lang w:val="pl-PL"/>
        </w:rPr>
        <w:t xml:space="preserve"> </w:t>
      </w:r>
      <w:r w:rsidR="00E10A4F" w:rsidRPr="00E10A4F">
        <w:rPr>
          <w:color w:val="000000" w:themeColor="text1"/>
          <w:spacing w:val="-4"/>
          <w:sz w:val="26"/>
          <w:szCs w:val="26"/>
          <w:lang w:val="pl-PL"/>
        </w:rPr>
        <w:t xml:space="preserve">Tháng 7, </w:t>
      </w:r>
      <w:r w:rsidR="00A920C7" w:rsidRPr="00E10A4F">
        <w:rPr>
          <w:color w:val="000000" w:themeColor="text1"/>
          <w:spacing w:val="-4"/>
          <w:sz w:val="26"/>
          <w:szCs w:val="26"/>
          <w:lang w:val="pl-PL"/>
        </w:rPr>
        <w:t>khả năng thanh khoản của khu vực ngân hàng khá tốt, tỷ lệ LDR (cho vay/huy động) duy trì ở mức dưới 80%; với huy động và tín dụng ngo</w:t>
      </w:r>
      <w:r w:rsidR="00313B5B" w:rsidRPr="00E10A4F">
        <w:rPr>
          <w:color w:val="000000" w:themeColor="text1"/>
          <w:spacing w:val="-4"/>
          <w:sz w:val="26"/>
          <w:szCs w:val="26"/>
          <w:lang w:val="pl-PL"/>
        </w:rPr>
        <w:t>ại tệ, LDR cũng ở mức dưới 85%; n</w:t>
      </w:r>
      <w:r w:rsidR="00A920C7" w:rsidRPr="00E10A4F">
        <w:rPr>
          <w:color w:val="000000" w:themeColor="text1"/>
          <w:spacing w:val="-4"/>
          <w:sz w:val="26"/>
          <w:szCs w:val="26"/>
          <w:lang w:val="pl-PL"/>
        </w:rPr>
        <w:t xml:space="preserve">hững tỷ lệ này nằm trong giới hạn an toàn về thanh khoản. </w:t>
      </w:r>
    </w:p>
    <w:p w:rsidR="00A920C7" w:rsidRDefault="00663181" w:rsidP="00BE715C">
      <w:pPr>
        <w:tabs>
          <w:tab w:val="left" w:pos="851"/>
        </w:tabs>
        <w:spacing w:line="288" w:lineRule="auto"/>
        <w:rPr>
          <w:sz w:val="26"/>
          <w:szCs w:val="26"/>
          <w:lang w:val="pl-PL"/>
        </w:rPr>
      </w:pPr>
      <w:r>
        <w:rPr>
          <w:sz w:val="26"/>
          <w:szCs w:val="26"/>
          <w:lang w:val="pl-PL"/>
        </w:rPr>
        <w:t xml:space="preserve">(iii) </w:t>
      </w:r>
      <w:r w:rsidR="00A920C7" w:rsidRPr="005F543E">
        <w:rPr>
          <w:sz w:val="26"/>
          <w:szCs w:val="26"/>
          <w:lang w:val="pl-PL"/>
        </w:rPr>
        <w:t>Mặc dù tăng trưởng tín dụng khá, hệ số NIM tăng nhẹ, nhưng do trích lập dự phòng rủi ro tăng khiến khả năng sinh lời của khối NHTM giảm</w:t>
      </w:r>
    </w:p>
    <w:tbl>
      <w:tblPr>
        <w:tblStyle w:val="LightGrid-Accent6"/>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607"/>
        <w:gridCol w:w="1595"/>
        <w:gridCol w:w="3117"/>
      </w:tblGrid>
      <w:tr w:rsidR="00A920C7" w:rsidRPr="00910FD2" w:rsidTr="00910FD2">
        <w:trPr>
          <w:cnfStyle w:val="100000000000"/>
          <w:trHeight w:val="475"/>
          <w:jc w:val="center"/>
        </w:trPr>
        <w:tc>
          <w:tcPr>
            <w:cnfStyle w:val="001000000000"/>
            <w:tcW w:w="2135" w:type="dxa"/>
            <w:tcBorders>
              <w:top w:val="none" w:sz="0" w:space="0" w:color="auto"/>
              <w:left w:val="none" w:sz="0" w:space="0" w:color="auto"/>
              <w:bottom w:val="none" w:sz="0" w:space="0" w:color="auto"/>
              <w:right w:val="none" w:sz="0" w:space="0" w:color="auto"/>
            </w:tcBorders>
            <w:hideMark/>
          </w:tcPr>
          <w:p w:rsidR="00A920C7" w:rsidRPr="00910FD2" w:rsidRDefault="005C5794" w:rsidP="00BE715C">
            <w:pPr>
              <w:spacing w:before="60" w:after="60" w:line="288" w:lineRule="auto"/>
              <w:ind w:firstLine="0"/>
              <w:jc w:val="center"/>
              <w:rPr>
                <w:b w:val="0"/>
                <w:bCs w:val="0"/>
                <w:color w:val="000000"/>
                <w:sz w:val="24"/>
                <w:szCs w:val="26"/>
              </w:rPr>
            </w:pPr>
            <w:r>
              <w:rPr>
                <w:color w:val="000000"/>
                <w:sz w:val="24"/>
                <w:szCs w:val="26"/>
              </w:rPr>
              <w:t>Khả năng sinh lời</w:t>
            </w:r>
          </w:p>
        </w:tc>
        <w:tc>
          <w:tcPr>
            <w:tcW w:w="1607" w:type="dxa"/>
            <w:tcBorders>
              <w:top w:val="none" w:sz="0" w:space="0" w:color="auto"/>
              <w:left w:val="none" w:sz="0" w:space="0" w:color="auto"/>
              <w:bottom w:val="none" w:sz="0" w:space="0" w:color="auto"/>
              <w:right w:val="none" w:sz="0" w:space="0" w:color="auto"/>
            </w:tcBorders>
            <w:hideMark/>
          </w:tcPr>
          <w:p w:rsidR="00A920C7" w:rsidRPr="00910FD2" w:rsidRDefault="005C5794" w:rsidP="00BE715C">
            <w:pPr>
              <w:spacing w:before="60" w:after="60" w:line="288" w:lineRule="auto"/>
              <w:ind w:firstLine="0"/>
              <w:jc w:val="center"/>
              <w:cnfStyle w:val="100000000000"/>
              <w:rPr>
                <w:b w:val="0"/>
                <w:bCs w:val="0"/>
                <w:color w:val="000000"/>
                <w:sz w:val="24"/>
                <w:szCs w:val="26"/>
              </w:rPr>
            </w:pPr>
            <w:r>
              <w:rPr>
                <w:color w:val="000000"/>
                <w:sz w:val="24"/>
                <w:szCs w:val="26"/>
              </w:rPr>
              <w:t>2013</w:t>
            </w:r>
          </w:p>
        </w:tc>
        <w:tc>
          <w:tcPr>
            <w:tcW w:w="1595" w:type="dxa"/>
            <w:tcBorders>
              <w:top w:val="none" w:sz="0" w:space="0" w:color="auto"/>
              <w:left w:val="none" w:sz="0" w:space="0" w:color="auto"/>
              <w:bottom w:val="none" w:sz="0" w:space="0" w:color="auto"/>
              <w:right w:val="none" w:sz="0" w:space="0" w:color="auto"/>
            </w:tcBorders>
            <w:hideMark/>
          </w:tcPr>
          <w:p w:rsidR="00A920C7" w:rsidRPr="00910FD2" w:rsidRDefault="005C5794" w:rsidP="00BE715C">
            <w:pPr>
              <w:spacing w:before="60" w:after="60" w:line="288" w:lineRule="auto"/>
              <w:ind w:firstLine="0"/>
              <w:jc w:val="center"/>
              <w:cnfStyle w:val="100000000000"/>
              <w:rPr>
                <w:b w:val="0"/>
                <w:bCs w:val="0"/>
                <w:color w:val="000000"/>
                <w:sz w:val="24"/>
                <w:szCs w:val="26"/>
              </w:rPr>
            </w:pPr>
            <w:r>
              <w:rPr>
                <w:color w:val="000000"/>
                <w:sz w:val="24"/>
                <w:szCs w:val="26"/>
              </w:rPr>
              <w:t>2014</w:t>
            </w:r>
          </w:p>
        </w:tc>
        <w:tc>
          <w:tcPr>
            <w:tcW w:w="3117" w:type="dxa"/>
            <w:tcBorders>
              <w:top w:val="none" w:sz="0" w:space="0" w:color="auto"/>
              <w:left w:val="none" w:sz="0" w:space="0" w:color="auto"/>
              <w:bottom w:val="none" w:sz="0" w:space="0" w:color="auto"/>
              <w:right w:val="none" w:sz="0" w:space="0" w:color="auto"/>
            </w:tcBorders>
            <w:hideMark/>
          </w:tcPr>
          <w:p w:rsidR="00A920C7" w:rsidRPr="00910FD2" w:rsidRDefault="005C5794" w:rsidP="00BE715C">
            <w:pPr>
              <w:spacing w:before="60" w:after="60" w:line="288" w:lineRule="auto"/>
              <w:ind w:firstLine="0"/>
              <w:jc w:val="center"/>
              <w:cnfStyle w:val="100000000000"/>
              <w:rPr>
                <w:b w:val="0"/>
                <w:bCs w:val="0"/>
                <w:color w:val="000000"/>
                <w:sz w:val="24"/>
                <w:szCs w:val="26"/>
              </w:rPr>
            </w:pPr>
            <w:r>
              <w:rPr>
                <w:color w:val="000000"/>
                <w:sz w:val="24"/>
                <w:szCs w:val="26"/>
              </w:rPr>
              <w:t>Tháng 7 (trượt 12 tháng)</w:t>
            </w:r>
          </w:p>
        </w:tc>
      </w:tr>
      <w:tr w:rsidR="00A920C7" w:rsidRPr="00910FD2" w:rsidTr="00910FD2">
        <w:trPr>
          <w:cnfStyle w:val="000000100000"/>
          <w:trHeight w:val="315"/>
          <w:jc w:val="center"/>
        </w:trPr>
        <w:tc>
          <w:tcPr>
            <w:cnfStyle w:val="001000000000"/>
            <w:tcW w:w="2135" w:type="dxa"/>
            <w:tcBorders>
              <w:top w:val="none" w:sz="0" w:space="0" w:color="auto"/>
              <w:left w:val="none" w:sz="0" w:space="0" w:color="auto"/>
              <w:bottom w:val="none" w:sz="0" w:space="0" w:color="auto"/>
              <w:right w:val="none" w:sz="0" w:space="0" w:color="auto"/>
            </w:tcBorders>
            <w:hideMark/>
          </w:tcPr>
          <w:p w:rsidR="00A920C7" w:rsidRPr="00910FD2" w:rsidRDefault="005C5794" w:rsidP="00BE715C">
            <w:pPr>
              <w:spacing w:before="60" w:after="60" w:line="288" w:lineRule="auto"/>
              <w:ind w:firstLine="0"/>
              <w:jc w:val="center"/>
              <w:rPr>
                <w:b w:val="0"/>
                <w:sz w:val="24"/>
                <w:szCs w:val="26"/>
              </w:rPr>
            </w:pPr>
            <w:r>
              <w:rPr>
                <w:sz w:val="24"/>
                <w:szCs w:val="26"/>
              </w:rPr>
              <w:t>NIM</w:t>
            </w:r>
          </w:p>
        </w:tc>
        <w:tc>
          <w:tcPr>
            <w:tcW w:w="1607" w:type="dxa"/>
            <w:tcBorders>
              <w:top w:val="none" w:sz="0" w:space="0" w:color="auto"/>
              <w:left w:val="none" w:sz="0" w:space="0" w:color="auto"/>
              <w:bottom w:val="none" w:sz="0" w:space="0" w:color="auto"/>
              <w:right w:val="none" w:sz="0" w:space="0" w:color="auto"/>
            </w:tcBorders>
            <w:noWrap/>
            <w:hideMark/>
          </w:tcPr>
          <w:p w:rsidR="00A920C7" w:rsidRPr="00910FD2" w:rsidRDefault="005C5794" w:rsidP="00BE715C">
            <w:pPr>
              <w:spacing w:before="60" w:after="60" w:line="288" w:lineRule="auto"/>
              <w:ind w:firstLine="0"/>
              <w:jc w:val="right"/>
              <w:cnfStyle w:val="000000100000"/>
              <w:rPr>
                <w:color w:val="000000"/>
                <w:sz w:val="24"/>
                <w:szCs w:val="26"/>
              </w:rPr>
            </w:pPr>
            <w:r>
              <w:rPr>
                <w:color w:val="000000"/>
                <w:sz w:val="24"/>
                <w:szCs w:val="26"/>
              </w:rPr>
              <w:t>2,80%</w:t>
            </w:r>
          </w:p>
        </w:tc>
        <w:tc>
          <w:tcPr>
            <w:tcW w:w="1595" w:type="dxa"/>
            <w:tcBorders>
              <w:top w:val="none" w:sz="0" w:space="0" w:color="auto"/>
              <w:left w:val="none" w:sz="0" w:space="0" w:color="auto"/>
              <w:bottom w:val="none" w:sz="0" w:space="0" w:color="auto"/>
              <w:right w:val="none" w:sz="0" w:space="0" w:color="auto"/>
            </w:tcBorders>
            <w:noWrap/>
            <w:hideMark/>
          </w:tcPr>
          <w:p w:rsidR="00A920C7" w:rsidRPr="00910FD2" w:rsidRDefault="005C5794" w:rsidP="00BE715C">
            <w:pPr>
              <w:spacing w:before="60" w:after="60" w:line="288" w:lineRule="auto"/>
              <w:ind w:firstLine="0"/>
              <w:jc w:val="right"/>
              <w:cnfStyle w:val="000000100000"/>
              <w:rPr>
                <w:color w:val="000000"/>
                <w:sz w:val="24"/>
                <w:szCs w:val="26"/>
              </w:rPr>
            </w:pPr>
            <w:r>
              <w:rPr>
                <w:color w:val="000000"/>
                <w:sz w:val="24"/>
                <w:szCs w:val="26"/>
              </w:rPr>
              <w:t>2,70%</w:t>
            </w:r>
          </w:p>
        </w:tc>
        <w:tc>
          <w:tcPr>
            <w:tcW w:w="3117" w:type="dxa"/>
            <w:tcBorders>
              <w:top w:val="none" w:sz="0" w:space="0" w:color="auto"/>
              <w:left w:val="none" w:sz="0" w:space="0" w:color="auto"/>
              <w:bottom w:val="none" w:sz="0" w:space="0" w:color="auto"/>
              <w:right w:val="none" w:sz="0" w:space="0" w:color="auto"/>
            </w:tcBorders>
            <w:noWrap/>
            <w:hideMark/>
          </w:tcPr>
          <w:p w:rsidR="00A920C7" w:rsidRPr="00910FD2" w:rsidRDefault="005C5794" w:rsidP="00BE715C">
            <w:pPr>
              <w:spacing w:before="60" w:after="60" w:line="288" w:lineRule="auto"/>
              <w:ind w:firstLine="0"/>
              <w:jc w:val="right"/>
              <w:cnfStyle w:val="000000100000"/>
              <w:rPr>
                <w:color w:val="000000"/>
                <w:sz w:val="24"/>
                <w:szCs w:val="26"/>
              </w:rPr>
            </w:pPr>
            <w:r>
              <w:rPr>
                <w:color w:val="000000"/>
                <w:sz w:val="24"/>
                <w:szCs w:val="26"/>
              </w:rPr>
              <w:t>2,80%</w:t>
            </w:r>
          </w:p>
        </w:tc>
      </w:tr>
      <w:tr w:rsidR="00A920C7" w:rsidRPr="00910FD2" w:rsidTr="00910FD2">
        <w:trPr>
          <w:cnfStyle w:val="000000010000"/>
          <w:trHeight w:val="315"/>
          <w:jc w:val="center"/>
        </w:trPr>
        <w:tc>
          <w:tcPr>
            <w:cnfStyle w:val="001000000000"/>
            <w:tcW w:w="2135" w:type="dxa"/>
            <w:tcBorders>
              <w:top w:val="none" w:sz="0" w:space="0" w:color="auto"/>
              <w:left w:val="none" w:sz="0" w:space="0" w:color="auto"/>
              <w:bottom w:val="none" w:sz="0" w:space="0" w:color="auto"/>
              <w:right w:val="none" w:sz="0" w:space="0" w:color="auto"/>
            </w:tcBorders>
            <w:hideMark/>
          </w:tcPr>
          <w:p w:rsidR="00A920C7" w:rsidRPr="00910FD2" w:rsidRDefault="005C5794" w:rsidP="00BE715C">
            <w:pPr>
              <w:spacing w:before="60" w:after="60" w:line="288" w:lineRule="auto"/>
              <w:ind w:firstLine="0"/>
              <w:jc w:val="center"/>
              <w:rPr>
                <w:b w:val="0"/>
                <w:sz w:val="24"/>
                <w:szCs w:val="26"/>
              </w:rPr>
            </w:pPr>
            <w:r>
              <w:rPr>
                <w:sz w:val="24"/>
                <w:szCs w:val="26"/>
              </w:rPr>
              <w:t>ROE</w:t>
            </w:r>
          </w:p>
        </w:tc>
        <w:tc>
          <w:tcPr>
            <w:tcW w:w="1607" w:type="dxa"/>
            <w:tcBorders>
              <w:top w:val="none" w:sz="0" w:space="0" w:color="auto"/>
              <w:left w:val="none" w:sz="0" w:space="0" w:color="auto"/>
              <w:bottom w:val="none" w:sz="0" w:space="0" w:color="auto"/>
              <w:right w:val="none" w:sz="0" w:space="0" w:color="auto"/>
            </w:tcBorders>
            <w:noWrap/>
            <w:hideMark/>
          </w:tcPr>
          <w:p w:rsidR="00A920C7" w:rsidRPr="00910FD2" w:rsidRDefault="005C5794" w:rsidP="00BE715C">
            <w:pPr>
              <w:spacing w:before="60" w:after="60" w:line="288" w:lineRule="auto"/>
              <w:jc w:val="right"/>
              <w:cnfStyle w:val="000000010000"/>
              <w:rPr>
                <w:color w:val="000000"/>
                <w:sz w:val="24"/>
                <w:szCs w:val="26"/>
              </w:rPr>
            </w:pPr>
            <w:r>
              <w:rPr>
                <w:color w:val="000000"/>
                <w:sz w:val="24"/>
                <w:szCs w:val="26"/>
              </w:rPr>
              <w:t>6,4%</w:t>
            </w:r>
          </w:p>
        </w:tc>
        <w:tc>
          <w:tcPr>
            <w:tcW w:w="1595" w:type="dxa"/>
            <w:tcBorders>
              <w:top w:val="none" w:sz="0" w:space="0" w:color="auto"/>
              <w:left w:val="none" w:sz="0" w:space="0" w:color="auto"/>
              <w:bottom w:val="none" w:sz="0" w:space="0" w:color="auto"/>
              <w:right w:val="none" w:sz="0" w:space="0" w:color="auto"/>
            </w:tcBorders>
            <w:noWrap/>
            <w:hideMark/>
          </w:tcPr>
          <w:p w:rsidR="00A920C7" w:rsidRPr="00910FD2" w:rsidRDefault="005C5794" w:rsidP="00BE715C">
            <w:pPr>
              <w:spacing w:before="60" w:after="60" w:line="288" w:lineRule="auto"/>
              <w:ind w:firstLine="0"/>
              <w:jc w:val="right"/>
              <w:cnfStyle w:val="000000010000"/>
              <w:rPr>
                <w:color w:val="000000"/>
                <w:sz w:val="24"/>
                <w:szCs w:val="26"/>
              </w:rPr>
            </w:pPr>
            <w:r>
              <w:rPr>
                <w:color w:val="000000"/>
                <w:sz w:val="24"/>
                <w:szCs w:val="26"/>
              </w:rPr>
              <w:t>4,6%</w:t>
            </w:r>
          </w:p>
        </w:tc>
        <w:tc>
          <w:tcPr>
            <w:tcW w:w="3117" w:type="dxa"/>
            <w:tcBorders>
              <w:top w:val="none" w:sz="0" w:space="0" w:color="auto"/>
              <w:left w:val="none" w:sz="0" w:space="0" w:color="auto"/>
              <w:bottom w:val="none" w:sz="0" w:space="0" w:color="auto"/>
              <w:right w:val="none" w:sz="0" w:space="0" w:color="auto"/>
            </w:tcBorders>
            <w:noWrap/>
            <w:hideMark/>
          </w:tcPr>
          <w:p w:rsidR="00A920C7" w:rsidRPr="00910FD2" w:rsidRDefault="005C5794" w:rsidP="00BE715C">
            <w:pPr>
              <w:spacing w:before="60" w:after="60" w:line="288" w:lineRule="auto"/>
              <w:jc w:val="right"/>
              <w:cnfStyle w:val="000000010000"/>
              <w:rPr>
                <w:color w:val="000000"/>
                <w:sz w:val="24"/>
                <w:szCs w:val="26"/>
              </w:rPr>
            </w:pPr>
            <w:r>
              <w:rPr>
                <w:color w:val="000000"/>
                <w:sz w:val="24"/>
                <w:szCs w:val="26"/>
              </w:rPr>
              <w:t>4,%</w:t>
            </w:r>
          </w:p>
        </w:tc>
      </w:tr>
      <w:tr w:rsidR="00A920C7" w:rsidRPr="00910FD2" w:rsidTr="00910FD2">
        <w:trPr>
          <w:cnfStyle w:val="000000100000"/>
          <w:trHeight w:val="315"/>
          <w:jc w:val="center"/>
        </w:trPr>
        <w:tc>
          <w:tcPr>
            <w:cnfStyle w:val="001000000000"/>
            <w:tcW w:w="2135" w:type="dxa"/>
            <w:tcBorders>
              <w:top w:val="none" w:sz="0" w:space="0" w:color="auto"/>
              <w:left w:val="none" w:sz="0" w:space="0" w:color="auto"/>
              <w:bottom w:val="none" w:sz="0" w:space="0" w:color="auto"/>
              <w:right w:val="none" w:sz="0" w:space="0" w:color="auto"/>
            </w:tcBorders>
            <w:hideMark/>
          </w:tcPr>
          <w:p w:rsidR="00A920C7" w:rsidRPr="00910FD2" w:rsidRDefault="005C5794" w:rsidP="00BE715C">
            <w:pPr>
              <w:spacing w:before="60" w:after="60" w:line="288" w:lineRule="auto"/>
              <w:ind w:firstLine="0"/>
              <w:jc w:val="center"/>
              <w:rPr>
                <w:b w:val="0"/>
                <w:sz w:val="24"/>
                <w:szCs w:val="26"/>
              </w:rPr>
            </w:pPr>
            <w:r>
              <w:rPr>
                <w:sz w:val="24"/>
                <w:szCs w:val="26"/>
              </w:rPr>
              <w:t>ROA</w:t>
            </w:r>
          </w:p>
        </w:tc>
        <w:tc>
          <w:tcPr>
            <w:tcW w:w="1607" w:type="dxa"/>
            <w:tcBorders>
              <w:top w:val="none" w:sz="0" w:space="0" w:color="auto"/>
              <w:left w:val="none" w:sz="0" w:space="0" w:color="auto"/>
              <w:bottom w:val="none" w:sz="0" w:space="0" w:color="auto"/>
              <w:right w:val="none" w:sz="0" w:space="0" w:color="auto"/>
            </w:tcBorders>
            <w:noWrap/>
            <w:hideMark/>
          </w:tcPr>
          <w:p w:rsidR="00A920C7" w:rsidRPr="00910FD2" w:rsidRDefault="005C5794" w:rsidP="00BE715C">
            <w:pPr>
              <w:spacing w:before="60" w:after="60" w:line="288" w:lineRule="auto"/>
              <w:ind w:firstLine="0"/>
              <w:jc w:val="right"/>
              <w:cnfStyle w:val="000000100000"/>
              <w:rPr>
                <w:color w:val="000000"/>
                <w:sz w:val="24"/>
                <w:szCs w:val="26"/>
              </w:rPr>
            </w:pPr>
            <w:r>
              <w:rPr>
                <w:color w:val="000000"/>
                <w:sz w:val="24"/>
                <w:szCs w:val="26"/>
              </w:rPr>
              <w:t>0,6%</w:t>
            </w:r>
          </w:p>
        </w:tc>
        <w:tc>
          <w:tcPr>
            <w:tcW w:w="1595" w:type="dxa"/>
            <w:tcBorders>
              <w:top w:val="none" w:sz="0" w:space="0" w:color="auto"/>
              <w:left w:val="none" w:sz="0" w:space="0" w:color="auto"/>
              <w:bottom w:val="none" w:sz="0" w:space="0" w:color="auto"/>
              <w:right w:val="none" w:sz="0" w:space="0" w:color="auto"/>
            </w:tcBorders>
            <w:noWrap/>
            <w:hideMark/>
          </w:tcPr>
          <w:p w:rsidR="00A920C7" w:rsidRPr="00910FD2" w:rsidRDefault="005C5794" w:rsidP="00BE715C">
            <w:pPr>
              <w:spacing w:before="60" w:after="60" w:line="288" w:lineRule="auto"/>
              <w:ind w:firstLine="0"/>
              <w:jc w:val="right"/>
              <w:cnfStyle w:val="000000100000"/>
              <w:rPr>
                <w:color w:val="000000"/>
                <w:sz w:val="24"/>
                <w:szCs w:val="26"/>
              </w:rPr>
            </w:pPr>
            <w:r>
              <w:rPr>
                <w:color w:val="000000"/>
                <w:sz w:val="24"/>
                <w:szCs w:val="26"/>
              </w:rPr>
              <w:t>0,36%</w:t>
            </w:r>
          </w:p>
        </w:tc>
        <w:tc>
          <w:tcPr>
            <w:tcW w:w="3117" w:type="dxa"/>
            <w:tcBorders>
              <w:top w:val="none" w:sz="0" w:space="0" w:color="auto"/>
              <w:left w:val="none" w:sz="0" w:space="0" w:color="auto"/>
              <w:bottom w:val="none" w:sz="0" w:space="0" w:color="auto"/>
              <w:right w:val="none" w:sz="0" w:space="0" w:color="auto"/>
            </w:tcBorders>
            <w:noWrap/>
            <w:hideMark/>
          </w:tcPr>
          <w:p w:rsidR="00A920C7" w:rsidRPr="00910FD2" w:rsidRDefault="005C5794" w:rsidP="00BE715C">
            <w:pPr>
              <w:spacing w:before="60" w:after="60" w:line="288" w:lineRule="auto"/>
              <w:jc w:val="right"/>
              <w:cnfStyle w:val="000000100000"/>
              <w:rPr>
                <w:color w:val="000000"/>
                <w:sz w:val="24"/>
                <w:szCs w:val="26"/>
              </w:rPr>
            </w:pPr>
            <w:r>
              <w:rPr>
                <w:color w:val="000000"/>
                <w:sz w:val="24"/>
                <w:szCs w:val="26"/>
              </w:rPr>
              <w:t>0,3%</w:t>
            </w:r>
          </w:p>
        </w:tc>
      </w:tr>
    </w:tbl>
    <w:p w:rsidR="00A920C7" w:rsidRPr="00E17C03" w:rsidRDefault="00A920C7" w:rsidP="00BE715C">
      <w:pPr>
        <w:tabs>
          <w:tab w:val="left" w:pos="851"/>
        </w:tabs>
        <w:spacing w:before="120" w:line="288" w:lineRule="auto"/>
        <w:ind w:firstLine="0"/>
        <w:jc w:val="right"/>
        <w:rPr>
          <w:i/>
          <w:sz w:val="26"/>
          <w:szCs w:val="26"/>
          <w:lang w:val="pl-PL"/>
        </w:rPr>
      </w:pPr>
      <w:r w:rsidRPr="00E17C03">
        <w:rPr>
          <w:i/>
          <w:sz w:val="26"/>
          <w:szCs w:val="26"/>
          <w:lang w:val="pl-PL"/>
        </w:rPr>
        <w:lastRenderedPageBreak/>
        <w:t xml:space="preserve">Nguồn: UBGSTCQG </w:t>
      </w:r>
    </w:p>
    <w:p w:rsidR="003246E9" w:rsidRDefault="00A920C7">
      <w:pPr>
        <w:spacing w:after="80" w:line="288" w:lineRule="auto"/>
        <w:rPr>
          <w:spacing w:val="-4"/>
          <w:sz w:val="26"/>
          <w:szCs w:val="26"/>
          <w:lang w:val="pl-PL"/>
        </w:rPr>
      </w:pPr>
      <w:r w:rsidRPr="00FC709A">
        <w:rPr>
          <w:i/>
          <w:sz w:val="26"/>
          <w:szCs w:val="26"/>
          <w:lang w:val="pl-PL"/>
        </w:rPr>
        <w:t xml:space="preserve">Thị trường </w:t>
      </w:r>
      <w:r w:rsidR="00924FA0">
        <w:rPr>
          <w:i/>
          <w:sz w:val="26"/>
          <w:szCs w:val="26"/>
          <w:lang w:val="pl-PL"/>
        </w:rPr>
        <w:t>cổ phiếu ổn định trở lại trong tháng 9</w:t>
      </w:r>
      <w:r w:rsidR="00FC709A">
        <w:rPr>
          <w:i/>
          <w:sz w:val="26"/>
          <w:szCs w:val="26"/>
          <w:lang w:val="pl-PL"/>
        </w:rPr>
        <w:t>.</w:t>
      </w:r>
      <w:r w:rsidR="002A3B02" w:rsidRPr="00FC709A">
        <w:rPr>
          <w:sz w:val="26"/>
          <w:szCs w:val="26"/>
          <w:lang w:val="pl-PL"/>
        </w:rPr>
        <w:t xml:space="preserve"> </w:t>
      </w:r>
      <w:r w:rsidR="00924FA0" w:rsidRPr="00FC709A">
        <w:rPr>
          <w:sz w:val="26"/>
          <w:szCs w:val="26"/>
          <w:lang w:val="pl-PL"/>
        </w:rPr>
        <w:t>VN Index đóng cửa ngày 18/9/2015 tại 566,25 điểm</w:t>
      </w:r>
      <w:r w:rsidR="00924FA0">
        <w:rPr>
          <w:sz w:val="26"/>
          <w:szCs w:val="26"/>
          <w:lang w:val="pl-PL"/>
        </w:rPr>
        <w:t>,</w:t>
      </w:r>
      <w:r w:rsidR="00924FA0" w:rsidRPr="00FC709A">
        <w:rPr>
          <w:sz w:val="26"/>
          <w:szCs w:val="26"/>
          <w:lang w:val="pl-PL"/>
        </w:rPr>
        <w:t xml:space="preserve"> tăng 0,3% so với cuối tháng </w:t>
      </w:r>
      <w:r w:rsidR="00924FA0" w:rsidRPr="00034EBE">
        <w:rPr>
          <w:spacing w:val="-4"/>
          <w:sz w:val="26"/>
          <w:szCs w:val="26"/>
          <w:lang w:val="pl-PL"/>
        </w:rPr>
        <w:t>8 và tăng 4,0% so với đầu năm.</w:t>
      </w:r>
      <w:r w:rsidR="00924FA0">
        <w:rPr>
          <w:spacing w:val="-4"/>
          <w:sz w:val="26"/>
          <w:szCs w:val="26"/>
          <w:lang w:val="pl-PL"/>
        </w:rPr>
        <w:t xml:space="preserve"> Mặc dù</w:t>
      </w:r>
      <w:r w:rsidR="00924FA0" w:rsidRPr="00034EBE">
        <w:rPr>
          <w:spacing w:val="-4"/>
          <w:sz w:val="26"/>
          <w:szCs w:val="26"/>
          <w:lang w:val="pl-PL"/>
        </w:rPr>
        <w:t xml:space="preserve"> </w:t>
      </w:r>
      <w:r w:rsidR="00924FA0">
        <w:rPr>
          <w:spacing w:val="-4"/>
          <w:sz w:val="26"/>
          <w:szCs w:val="26"/>
          <w:lang w:val="pl-PL"/>
        </w:rPr>
        <w:t>k</w:t>
      </w:r>
      <w:r w:rsidR="00924FA0" w:rsidRPr="00034EBE">
        <w:rPr>
          <w:spacing w:val="-4"/>
          <w:sz w:val="26"/>
          <w:szCs w:val="26"/>
          <w:lang w:val="pl-PL"/>
        </w:rPr>
        <w:t xml:space="preserve">hối ngoại bán ròng 1,8 triệu USD </w:t>
      </w:r>
      <w:r w:rsidR="00924FA0">
        <w:rPr>
          <w:spacing w:val="-4"/>
          <w:sz w:val="26"/>
          <w:szCs w:val="26"/>
          <w:lang w:val="pl-PL"/>
        </w:rPr>
        <w:t>trong</w:t>
      </w:r>
      <w:r w:rsidR="00924FA0" w:rsidRPr="00034EBE">
        <w:rPr>
          <w:spacing w:val="-4"/>
          <w:sz w:val="26"/>
          <w:szCs w:val="26"/>
          <w:lang w:val="pl-PL"/>
        </w:rPr>
        <w:t xml:space="preserve"> tháng 9</w:t>
      </w:r>
      <w:r w:rsidR="00924FA0">
        <w:rPr>
          <w:spacing w:val="-4"/>
          <w:sz w:val="26"/>
          <w:szCs w:val="26"/>
          <w:lang w:val="pl-PL"/>
        </w:rPr>
        <w:t xml:space="preserve"> (tính đến 18/9/2015)</w:t>
      </w:r>
      <w:r w:rsidR="00924FA0" w:rsidRPr="00034EBE">
        <w:rPr>
          <w:spacing w:val="-4"/>
          <w:sz w:val="26"/>
          <w:szCs w:val="26"/>
          <w:lang w:val="pl-PL"/>
        </w:rPr>
        <w:t xml:space="preserve"> trên thị trường cổ phiếu niêm yết</w:t>
      </w:r>
      <w:r w:rsidR="00924FA0">
        <w:rPr>
          <w:spacing w:val="-4"/>
          <w:sz w:val="26"/>
          <w:szCs w:val="26"/>
          <w:lang w:val="pl-PL"/>
        </w:rPr>
        <w:t xml:space="preserve"> nhưng</w:t>
      </w:r>
      <w:r w:rsidR="00924FA0" w:rsidRPr="00034EBE">
        <w:rPr>
          <w:spacing w:val="-4"/>
          <w:sz w:val="26"/>
          <w:szCs w:val="26"/>
          <w:lang w:val="pl-PL"/>
        </w:rPr>
        <w:t xml:space="preserve"> </w:t>
      </w:r>
      <w:r w:rsidR="00924FA0">
        <w:rPr>
          <w:spacing w:val="-4"/>
          <w:sz w:val="26"/>
          <w:szCs w:val="26"/>
          <w:lang w:val="pl-PL"/>
        </w:rPr>
        <w:t>tính từ</w:t>
      </w:r>
      <w:r w:rsidR="00924FA0" w:rsidRPr="00034EBE">
        <w:rPr>
          <w:spacing w:val="-4"/>
          <w:sz w:val="26"/>
          <w:szCs w:val="26"/>
          <w:lang w:val="pl-PL"/>
        </w:rPr>
        <w:t xml:space="preserve"> đầu năm 2015, khối ngoại đã mua ròng 242 triệu USD.</w:t>
      </w:r>
      <w:r w:rsidR="00924FA0">
        <w:rPr>
          <w:spacing w:val="-4"/>
          <w:sz w:val="26"/>
          <w:szCs w:val="26"/>
          <w:lang w:val="pl-PL"/>
        </w:rPr>
        <w:t xml:space="preserve"> </w:t>
      </w:r>
      <w:r w:rsidR="00924FA0" w:rsidRPr="00FC709A">
        <w:rPr>
          <w:sz w:val="26"/>
          <w:szCs w:val="26"/>
          <w:lang w:val="pl-PL"/>
        </w:rPr>
        <w:t xml:space="preserve">UBGSTCQG </w:t>
      </w:r>
      <w:r w:rsidR="00924FA0">
        <w:rPr>
          <w:sz w:val="26"/>
          <w:szCs w:val="26"/>
          <w:lang w:val="pl-PL"/>
        </w:rPr>
        <w:t xml:space="preserve">cho rằng </w:t>
      </w:r>
      <w:r w:rsidR="00663181">
        <w:rPr>
          <w:sz w:val="26"/>
          <w:szCs w:val="26"/>
          <w:lang w:val="pl-PL"/>
        </w:rPr>
        <w:t xml:space="preserve">nếu </w:t>
      </w:r>
      <w:r w:rsidR="00924FA0" w:rsidRPr="00FC709A">
        <w:rPr>
          <w:sz w:val="26"/>
          <w:szCs w:val="26"/>
          <w:lang w:val="pl-PL"/>
        </w:rPr>
        <w:t xml:space="preserve">FED </w:t>
      </w:r>
      <w:r w:rsidR="00663181">
        <w:rPr>
          <w:sz w:val="26"/>
          <w:szCs w:val="26"/>
          <w:lang w:val="pl-PL"/>
        </w:rPr>
        <w:t xml:space="preserve">nâng lãi suất </w:t>
      </w:r>
      <w:r w:rsidR="00924FA0" w:rsidRPr="00FC709A">
        <w:rPr>
          <w:sz w:val="26"/>
          <w:szCs w:val="26"/>
          <w:lang w:val="pl-PL"/>
        </w:rPr>
        <w:t>vào cuối năm 2015 cũng sẽ không gây tác động nhiều lên thị trường chứng khoán vì đã được thị trường dự báo và phản ánh vào giá.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03CD" w:rsidRPr="000B79D7" w:rsidTr="00853D1D">
        <w:tc>
          <w:tcPr>
            <w:tcW w:w="4785" w:type="dxa"/>
          </w:tcPr>
          <w:p w:rsidR="003246E9" w:rsidRDefault="005C5794">
            <w:pPr>
              <w:spacing w:line="288" w:lineRule="auto"/>
              <w:rPr>
                <w:sz w:val="26"/>
                <w:szCs w:val="26"/>
                <w:lang w:val="vi-VN"/>
              </w:rPr>
            </w:pPr>
            <w:r w:rsidRPr="005C5794">
              <w:rPr>
                <w:i/>
                <w:color w:val="000000" w:themeColor="text1"/>
                <w:sz w:val="26"/>
                <w:szCs w:val="26"/>
                <w:lang w:val="pl-PL"/>
              </w:rPr>
              <w:t>M</w:t>
            </w:r>
            <w:r w:rsidRPr="005C5794">
              <w:rPr>
                <w:i/>
                <w:color w:val="000000" w:themeColor="text1"/>
                <w:sz w:val="26"/>
                <w:szCs w:val="26"/>
                <w:lang w:val="vi-VN"/>
              </w:rPr>
              <w:t xml:space="preserve">ục tiêu phát hành TPCP </w:t>
            </w:r>
            <w:r w:rsidRPr="005C5794">
              <w:rPr>
                <w:i/>
                <w:color w:val="000000" w:themeColor="text1"/>
                <w:sz w:val="26"/>
                <w:szCs w:val="26"/>
                <w:lang w:val="pl-PL"/>
              </w:rPr>
              <w:t xml:space="preserve">đang </w:t>
            </w:r>
            <w:r w:rsidRPr="005C5794">
              <w:rPr>
                <w:i/>
                <w:color w:val="000000" w:themeColor="text1"/>
                <w:sz w:val="26"/>
                <w:szCs w:val="26"/>
                <w:lang w:val="vi-VN"/>
              </w:rPr>
              <w:t>là một thách thức</w:t>
            </w:r>
            <w:r w:rsidRPr="005C5794">
              <w:rPr>
                <w:i/>
                <w:color w:val="000000" w:themeColor="text1"/>
                <w:sz w:val="26"/>
                <w:szCs w:val="26"/>
                <w:lang w:val="pl-PL"/>
              </w:rPr>
              <w:t>.</w:t>
            </w:r>
            <w:r w:rsidR="00910FD2" w:rsidRPr="00A56A7B">
              <w:rPr>
                <w:color w:val="000000" w:themeColor="text1"/>
                <w:sz w:val="26"/>
                <w:szCs w:val="26"/>
                <w:lang w:val="vi-VN"/>
              </w:rPr>
              <w:t xml:space="preserve"> </w:t>
            </w:r>
            <w:r w:rsidRPr="005C5794">
              <w:rPr>
                <w:sz w:val="26"/>
                <w:szCs w:val="26"/>
                <w:lang w:val="pl-PL"/>
              </w:rPr>
              <w:t>T</w:t>
            </w:r>
            <w:r w:rsidRPr="005C5794">
              <w:rPr>
                <w:sz w:val="26"/>
                <w:szCs w:val="26"/>
                <w:lang w:val="vi-VN"/>
              </w:rPr>
              <w:t>ỷ lệ trúng thầu/ gọi thầu</w:t>
            </w:r>
            <w:r w:rsidRPr="005C5794">
              <w:rPr>
                <w:sz w:val="26"/>
                <w:szCs w:val="26"/>
                <w:lang w:val="pl-PL"/>
              </w:rPr>
              <w:t xml:space="preserve"> TPCP trong tháng 9/2015 </w:t>
            </w:r>
            <w:r w:rsidRPr="005C5794">
              <w:rPr>
                <w:sz w:val="26"/>
                <w:szCs w:val="26"/>
                <w:lang w:val="vi-VN"/>
              </w:rPr>
              <w:t xml:space="preserve">chỉ đạt </w:t>
            </w:r>
            <w:r w:rsidRPr="005C5794">
              <w:rPr>
                <w:sz w:val="26"/>
                <w:szCs w:val="26"/>
                <w:lang w:val="pl-PL"/>
              </w:rPr>
              <w:t>20,7</w:t>
            </w:r>
            <w:r w:rsidRPr="005C5794">
              <w:rPr>
                <w:sz w:val="26"/>
                <w:szCs w:val="26"/>
                <w:lang w:val="vi-VN"/>
              </w:rPr>
              <w:t>%.</w:t>
            </w:r>
            <w:r w:rsidR="00A603CD" w:rsidRPr="00F57CED">
              <w:rPr>
                <w:b/>
                <w:i/>
                <w:sz w:val="26"/>
                <w:szCs w:val="26"/>
                <w:lang w:val="vi-VN"/>
              </w:rPr>
              <w:t xml:space="preserve"> </w:t>
            </w:r>
            <w:r w:rsidR="00A603CD" w:rsidRPr="003F4A62">
              <w:rPr>
                <w:sz w:val="26"/>
                <w:szCs w:val="26"/>
                <w:lang w:val="vi-VN"/>
              </w:rPr>
              <w:t>Tính từ đầu năm, t</w:t>
            </w:r>
            <w:r w:rsidR="00A603CD" w:rsidRPr="008966DE">
              <w:rPr>
                <w:sz w:val="26"/>
                <w:szCs w:val="26"/>
                <w:lang w:val="vi-VN"/>
              </w:rPr>
              <w:t>rái phiếu kỳ hạn 15 năm đã phát hành vượt kế hoạ</w:t>
            </w:r>
            <w:r w:rsidR="00A603CD">
              <w:rPr>
                <w:sz w:val="26"/>
                <w:szCs w:val="26"/>
                <w:lang w:val="vi-VN"/>
              </w:rPr>
              <w:t>ch (133,8</w:t>
            </w:r>
            <w:r w:rsidR="00A603CD" w:rsidRPr="008966DE">
              <w:rPr>
                <w:sz w:val="26"/>
                <w:szCs w:val="26"/>
                <w:lang w:val="vi-VN"/>
              </w:rPr>
              <w:t>%)</w:t>
            </w:r>
            <w:r w:rsidR="00A603CD" w:rsidRPr="006F2B9D">
              <w:rPr>
                <w:sz w:val="26"/>
                <w:szCs w:val="26"/>
                <w:lang w:val="vi-VN"/>
              </w:rPr>
              <w:t>, trong khi đó</w:t>
            </w:r>
            <w:r w:rsidR="00A603CD" w:rsidRPr="008966DE">
              <w:rPr>
                <w:sz w:val="26"/>
                <w:szCs w:val="26"/>
                <w:lang w:val="vi-VN"/>
              </w:rPr>
              <w:t xml:space="preserve"> trái phiế</w:t>
            </w:r>
            <w:r w:rsidR="00A603CD">
              <w:rPr>
                <w:sz w:val="26"/>
                <w:szCs w:val="26"/>
                <w:lang w:val="vi-VN"/>
              </w:rPr>
              <w:t xml:space="preserve">u 5 năm và 10 năm </w:t>
            </w:r>
            <w:r w:rsidR="00A603CD" w:rsidRPr="008966DE">
              <w:rPr>
                <w:sz w:val="26"/>
                <w:szCs w:val="26"/>
                <w:lang w:val="vi-VN"/>
              </w:rPr>
              <w:t>hiện mới đạt 29,4% và 12,8% kế hoạ</w:t>
            </w:r>
            <w:r w:rsidR="00A603CD">
              <w:rPr>
                <w:sz w:val="26"/>
                <w:szCs w:val="26"/>
                <w:lang w:val="vi-VN"/>
              </w:rPr>
              <w:t>ch năm.</w:t>
            </w:r>
            <w:r w:rsidR="00A603CD" w:rsidRPr="003F4A62">
              <w:rPr>
                <w:sz w:val="26"/>
                <w:szCs w:val="26"/>
                <w:lang w:val="vi-VN"/>
              </w:rPr>
              <w:t xml:space="preserve"> </w:t>
            </w:r>
            <w:r w:rsidR="00A603CD" w:rsidRPr="00A56A7B">
              <w:rPr>
                <w:sz w:val="26"/>
                <w:szCs w:val="26"/>
                <w:lang w:val="vi-VN"/>
              </w:rPr>
              <w:t>Tỷ lệ huy động TPCP</w:t>
            </w:r>
            <w:r w:rsidR="00A603CD" w:rsidRPr="00A56A7B">
              <w:rPr>
                <w:rStyle w:val="FootnoteReference"/>
                <w:sz w:val="26"/>
                <w:szCs w:val="26"/>
                <w:lang w:val="vi-VN"/>
              </w:rPr>
              <w:footnoteReference w:id="12"/>
            </w:r>
            <w:r w:rsidR="00A603CD" w:rsidRPr="00A56A7B">
              <w:rPr>
                <w:sz w:val="26"/>
                <w:szCs w:val="26"/>
                <w:lang w:val="vi-VN"/>
              </w:rPr>
              <w:t xml:space="preserve"> thành công là 54% và kỳ hạn phát hành bình quân đạt 7,6 năm</w:t>
            </w:r>
            <w:r w:rsidR="00A603CD" w:rsidRPr="00A56A7B">
              <w:rPr>
                <w:sz w:val="26"/>
                <w:szCs w:val="26"/>
                <w:vertAlign w:val="superscript"/>
              </w:rPr>
              <w:footnoteReference w:id="13"/>
            </w:r>
            <w:r w:rsidR="00A603CD" w:rsidRPr="00A56A7B">
              <w:rPr>
                <w:sz w:val="26"/>
                <w:szCs w:val="26"/>
                <w:lang w:val="vi-VN"/>
              </w:rPr>
              <w:t xml:space="preserve">, đạt </w:t>
            </w:r>
            <w:r w:rsidR="00A603CD" w:rsidRPr="007A6BE2">
              <w:rPr>
                <w:sz w:val="26"/>
                <w:szCs w:val="26"/>
                <w:lang w:val="vi-VN"/>
              </w:rPr>
              <w:t>thấp (</w:t>
            </w:r>
            <w:r w:rsidR="00A603CD" w:rsidRPr="00A56A7B">
              <w:rPr>
                <w:sz w:val="26"/>
                <w:szCs w:val="26"/>
                <w:lang w:val="vi-VN"/>
              </w:rPr>
              <w:t>38,5%</w:t>
            </w:r>
            <w:r w:rsidR="00A603CD" w:rsidRPr="007A6BE2">
              <w:rPr>
                <w:sz w:val="26"/>
                <w:szCs w:val="26"/>
                <w:lang w:val="vi-VN"/>
              </w:rPr>
              <w:t>) so với</w:t>
            </w:r>
            <w:r w:rsidR="00A603CD" w:rsidRPr="00A56A7B">
              <w:rPr>
                <w:sz w:val="26"/>
                <w:szCs w:val="26"/>
                <w:lang w:val="vi-VN"/>
              </w:rPr>
              <w:t xml:space="preserve"> kế hoạch </w:t>
            </w:r>
            <w:r w:rsidR="00A603CD">
              <w:rPr>
                <w:sz w:val="26"/>
                <w:szCs w:val="26"/>
                <w:lang w:val="vi-VN"/>
              </w:rPr>
              <w:t>năm 2015</w:t>
            </w:r>
            <w:r w:rsidR="00A603CD" w:rsidRPr="00A56A7B">
              <w:rPr>
                <w:color w:val="000000" w:themeColor="text1"/>
                <w:sz w:val="26"/>
                <w:szCs w:val="26"/>
                <w:lang w:val="vi-VN"/>
              </w:rPr>
              <w:t xml:space="preserve">. Nếu tính cả tín phiếu và trái phiếu Chính phủ kỳ hạn 20 năm, đã thực hiện phát hành 156,48 nghìn tỷ đồng trái phiếu Chính phủ, bằng 63% nhiệm vụ huy động vốn TPCP cả năm. </w:t>
            </w:r>
          </w:p>
        </w:tc>
        <w:tc>
          <w:tcPr>
            <w:tcW w:w="4786" w:type="dxa"/>
          </w:tcPr>
          <w:p w:rsidR="00A603CD" w:rsidRPr="00A603CD" w:rsidRDefault="00A603CD" w:rsidP="009403B4">
            <w:pPr>
              <w:spacing w:before="120" w:line="288" w:lineRule="auto"/>
              <w:ind w:firstLine="0"/>
              <w:jc w:val="center"/>
              <w:rPr>
                <w:b/>
                <w:sz w:val="24"/>
                <w:szCs w:val="26"/>
                <w:lang w:val="vi-VN"/>
              </w:rPr>
            </w:pPr>
            <w:r w:rsidRPr="00A603CD">
              <w:rPr>
                <w:b/>
                <w:sz w:val="24"/>
                <w:szCs w:val="26"/>
                <w:lang w:val="vi-VN"/>
              </w:rPr>
              <w:t xml:space="preserve">Hình </w:t>
            </w:r>
            <w:r w:rsidR="0073590E" w:rsidRPr="0073590E">
              <w:rPr>
                <w:b/>
                <w:sz w:val="24"/>
                <w:szCs w:val="26"/>
                <w:lang w:val="vi-VN"/>
              </w:rPr>
              <w:t>9</w:t>
            </w:r>
            <w:r w:rsidRPr="00A603CD">
              <w:rPr>
                <w:b/>
                <w:sz w:val="24"/>
                <w:szCs w:val="26"/>
                <w:lang w:val="vi-VN"/>
              </w:rPr>
              <w:t xml:space="preserve">: Tỷ lệ trúng thầu/gọi thầu TPCP </w:t>
            </w:r>
            <w:r w:rsidR="005C5794" w:rsidRPr="005C5794">
              <w:rPr>
                <w:b/>
                <w:sz w:val="24"/>
                <w:szCs w:val="26"/>
                <w:lang w:val="vi-VN"/>
              </w:rPr>
              <w:t>9</w:t>
            </w:r>
            <w:r w:rsidR="00924FA0" w:rsidRPr="00A603CD">
              <w:rPr>
                <w:b/>
                <w:sz w:val="24"/>
                <w:szCs w:val="26"/>
                <w:lang w:val="vi-VN"/>
              </w:rPr>
              <w:t xml:space="preserve"> </w:t>
            </w:r>
            <w:r w:rsidRPr="00A603CD">
              <w:rPr>
                <w:b/>
                <w:sz w:val="24"/>
                <w:szCs w:val="26"/>
                <w:lang w:val="vi-VN"/>
              </w:rPr>
              <w:t>tháng</w:t>
            </w:r>
            <w:r w:rsidR="005C5794" w:rsidRPr="005C5794">
              <w:rPr>
                <w:b/>
                <w:sz w:val="24"/>
                <w:szCs w:val="26"/>
                <w:lang w:val="vi-VN"/>
              </w:rPr>
              <w:t>/2015</w:t>
            </w:r>
            <w:r w:rsidRPr="00A603CD">
              <w:rPr>
                <w:b/>
                <w:sz w:val="24"/>
                <w:szCs w:val="26"/>
                <w:lang w:val="vi-VN"/>
              </w:rPr>
              <w:t>, %</w:t>
            </w:r>
          </w:p>
          <w:p w:rsidR="002A3B02" w:rsidRDefault="00A603CD" w:rsidP="002A3B02">
            <w:pPr>
              <w:spacing w:line="288" w:lineRule="auto"/>
              <w:ind w:firstLine="0"/>
              <w:jc w:val="center"/>
              <w:rPr>
                <w:i/>
                <w:sz w:val="26"/>
                <w:szCs w:val="26"/>
                <w:lang w:val="pl-PL"/>
              </w:rPr>
            </w:pPr>
            <w:r w:rsidRPr="00A603CD">
              <w:rPr>
                <w:noProof/>
                <w:sz w:val="26"/>
                <w:szCs w:val="26"/>
              </w:rPr>
              <w:drawing>
                <wp:inline distT="0" distB="0" distL="0" distR="0">
                  <wp:extent cx="2671482" cy="1482165"/>
                  <wp:effectExtent l="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590E" w:rsidRDefault="00A603CD" w:rsidP="0073590E">
            <w:pPr>
              <w:spacing w:line="288" w:lineRule="auto"/>
              <w:ind w:firstLine="0"/>
              <w:jc w:val="right"/>
              <w:rPr>
                <w:b/>
                <w:bCs/>
                <w:i/>
                <w:kern w:val="32"/>
                <w:sz w:val="26"/>
                <w:szCs w:val="26"/>
                <w:lang w:val="pl-PL"/>
              </w:rPr>
            </w:pPr>
            <w:r w:rsidRPr="00A603CD">
              <w:rPr>
                <w:i/>
                <w:sz w:val="26"/>
                <w:szCs w:val="26"/>
                <w:lang w:val="pl-PL"/>
              </w:rPr>
              <w:t>Nguồn: HNX</w:t>
            </w:r>
            <w:r w:rsidR="00924FA0">
              <w:rPr>
                <w:i/>
                <w:sz w:val="26"/>
                <w:szCs w:val="26"/>
                <w:lang w:val="pl-PL"/>
              </w:rPr>
              <w:t>.</w:t>
            </w:r>
          </w:p>
        </w:tc>
      </w:tr>
    </w:tbl>
    <w:p w:rsidR="00C75DD3" w:rsidRDefault="00C75DD3" w:rsidP="00D76EAB">
      <w:pPr>
        <w:spacing w:after="200" w:line="288" w:lineRule="auto"/>
        <w:ind w:firstLine="0"/>
        <w:jc w:val="left"/>
        <w:rPr>
          <w:rFonts w:eastAsiaTheme="minorEastAsia"/>
          <w:b/>
          <w:sz w:val="26"/>
          <w:szCs w:val="26"/>
          <w:lang w:val="pl-PL"/>
        </w:rPr>
      </w:pPr>
    </w:p>
    <w:p w:rsidR="00C75DD3" w:rsidRDefault="00C75DD3">
      <w:pPr>
        <w:spacing w:after="200" w:line="276" w:lineRule="auto"/>
        <w:ind w:firstLine="0"/>
        <w:jc w:val="left"/>
        <w:rPr>
          <w:rFonts w:eastAsiaTheme="minorEastAsia"/>
          <w:b/>
          <w:sz w:val="26"/>
          <w:szCs w:val="26"/>
          <w:lang w:val="pl-PL"/>
        </w:rPr>
      </w:pPr>
      <w:r>
        <w:rPr>
          <w:rFonts w:eastAsiaTheme="minorEastAsia"/>
          <w:b/>
          <w:sz w:val="26"/>
          <w:szCs w:val="26"/>
          <w:lang w:val="pl-PL"/>
        </w:rPr>
        <w:br w:type="page"/>
      </w:r>
    </w:p>
    <w:p w:rsidR="00843B6A" w:rsidRDefault="005B5C83" w:rsidP="00D76EAB">
      <w:pPr>
        <w:spacing w:after="200" w:line="288" w:lineRule="auto"/>
        <w:ind w:firstLine="0"/>
        <w:jc w:val="left"/>
        <w:rPr>
          <w:rFonts w:eastAsiaTheme="minorEastAsia"/>
          <w:b/>
          <w:sz w:val="26"/>
          <w:szCs w:val="26"/>
          <w:lang w:val="pl-PL"/>
        </w:rPr>
      </w:pPr>
      <w:r w:rsidRPr="005B5C83">
        <w:rPr>
          <w:rFonts w:eastAsiaTheme="minorEastAsia"/>
          <w:b/>
          <w:sz w:val="26"/>
          <w:szCs w:val="26"/>
          <w:lang w:val="pl-PL"/>
        </w:rPr>
        <w:lastRenderedPageBreak/>
        <w:t xml:space="preserve">III. </w:t>
      </w:r>
      <w:r w:rsidR="007C3876">
        <w:rPr>
          <w:rFonts w:eastAsiaTheme="minorEastAsia"/>
          <w:b/>
          <w:sz w:val="26"/>
          <w:szCs w:val="26"/>
          <w:lang w:val="pl-PL"/>
        </w:rPr>
        <w:t xml:space="preserve">TRIỂN VỌNG </w:t>
      </w:r>
      <w:r w:rsidRPr="005B5C83">
        <w:rPr>
          <w:rFonts w:eastAsiaTheme="minorEastAsia"/>
          <w:b/>
          <w:sz w:val="26"/>
          <w:szCs w:val="26"/>
          <w:lang w:val="pl-PL"/>
        </w:rPr>
        <w:t>KINH TẾ 2016</w:t>
      </w:r>
    </w:p>
    <w:p w:rsidR="005B5C83" w:rsidRDefault="005B5C83" w:rsidP="006268CF">
      <w:pPr>
        <w:spacing w:before="120" w:line="288" w:lineRule="auto"/>
        <w:ind w:firstLine="0"/>
        <w:rPr>
          <w:rFonts w:eastAsiaTheme="minorEastAsia"/>
          <w:b/>
          <w:sz w:val="26"/>
          <w:szCs w:val="26"/>
          <w:lang w:val="pl-PL"/>
        </w:rPr>
      </w:pPr>
      <w:r>
        <w:rPr>
          <w:rFonts w:eastAsiaTheme="minorEastAsia"/>
          <w:b/>
          <w:sz w:val="26"/>
          <w:szCs w:val="26"/>
          <w:lang w:val="pl-PL"/>
        </w:rPr>
        <w:t>1. Về tăng trưởng kinh tế</w:t>
      </w:r>
    </w:p>
    <w:p w:rsidR="001A3336" w:rsidRPr="007C3876" w:rsidRDefault="005C5794" w:rsidP="006268CF">
      <w:pPr>
        <w:pStyle w:val="ListParagraph"/>
        <w:numPr>
          <w:ilvl w:val="1"/>
          <w:numId w:val="32"/>
        </w:numPr>
        <w:tabs>
          <w:tab w:val="left" w:pos="284"/>
          <w:tab w:val="left" w:pos="426"/>
        </w:tabs>
        <w:spacing w:before="120" w:line="288" w:lineRule="auto"/>
        <w:ind w:left="0" w:firstLine="0"/>
        <w:contextualSpacing w:val="0"/>
        <w:rPr>
          <w:b/>
          <w:i/>
          <w:sz w:val="26"/>
          <w:szCs w:val="28"/>
          <w:lang w:val="pl-PL"/>
        </w:rPr>
      </w:pPr>
      <w:r w:rsidRPr="005C5794">
        <w:rPr>
          <w:b/>
          <w:i/>
          <w:sz w:val="26"/>
          <w:szCs w:val="28"/>
          <w:lang w:val="pl-PL"/>
        </w:rPr>
        <w:t xml:space="preserve"> Những yếu tố thuận lợi</w:t>
      </w:r>
    </w:p>
    <w:p w:rsidR="007C3876" w:rsidRDefault="001A3336" w:rsidP="006268CF">
      <w:pPr>
        <w:tabs>
          <w:tab w:val="left" w:pos="284"/>
          <w:tab w:val="left" w:pos="426"/>
        </w:tabs>
        <w:spacing w:before="120" w:line="288" w:lineRule="auto"/>
        <w:rPr>
          <w:sz w:val="26"/>
          <w:szCs w:val="28"/>
          <w:lang w:val="pl-PL"/>
        </w:rPr>
      </w:pPr>
      <w:r w:rsidRPr="00175B0C">
        <w:rPr>
          <w:sz w:val="26"/>
          <w:szCs w:val="28"/>
          <w:lang w:val="pl-PL"/>
        </w:rPr>
        <w:t xml:space="preserve">- Xuất khẩu có khả năng tăng trưởng </w:t>
      </w:r>
      <w:r w:rsidR="0073590E" w:rsidRPr="0073590E">
        <w:rPr>
          <w:i/>
          <w:sz w:val="26"/>
          <w:szCs w:val="28"/>
          <w:lang w:val="pl-PL"/>
        </w:rPr>
        <w:t>khá</w:t>
      </w:r>
      <w:r w:rsidR="00CF6F89" w:rsidRPr="00175B0C">
        <w:rPr>
          <w:sz w:val="26"/>
          <w:szCs w:val="28"/>
          <w:lang w:val="pl-PL"/>
        </w:rPr>
        <w:t xml:space="preserve"> </w:t>
      </w:r>
      <w:r w:rsidRPr="00175B0C">
        <w:rPr>
          <w:sz w:val="26"/>
          <w:szCs w:val="28"/>
          <w:lang w:val="pl-PL"/>
        </w:rPr>
        <w:t xml:space="preserve">hơn nhờ vào: (i) </w:t>
      </w:r>
      <w:r w:rsidR="00175B0C" w:rsidRPr="00175B0C">
        <w:rPr>
          <w:sz w:val="26"/>
          <w:szCs w:val="28"/>
          <w:lang w:val="pl-PL"/>
        </w:rPr>
        <w:t>kinh tế thế giới</w:t>
      </w:r>
      <w:r w:rsidR="007C3876">
        <w:rPr>
          <w:sz w:val="26"/>
          <w:szCs w:val="28"/>
          <w:lang w:val="pl-PL"/>
        </w:rPr>
        <w:t xml:space="preserve"> trong năm 2016</w:t>
      </w:r>
      <w:r w:rsidR="00175B0C" w:rsidRPr="00175B0C">
        <w:rPr>
          <w:sz w:val="26"/>
          <w:szCs w:val="28"/>
          <w:lang w:val="pl-PL"/>
        </w:rPr>
        <w:t xml:space="preserve"> </w:t>
      </w:r>
      <w:r w:rsidR="007C3876">
        <w:rPr>
          <w:sz w:val="26"/>
          <w:szCs w:val="28"/>
          <w:lang w:val="pl-PL"/>
        </w:rPr>
        <w:t>dù có</w:t>
      </w:r>
      <w:r w:rsidR="007C3876" w:rsidRPr="00175B0C">
        <w:rPr>
          <w:sz w:val="26"/>
          <w:szCs w:val="28"/>
          <w:lang w:val="pl-PL"/>
        </w:rPr>
        <w:t xml:space="preserve"> </w:t>
      </w:r>
      <w:r w:rsidR="00175B0C" w:rsidRPr="00175B0C">
        <w:rPr>
          <w:sz w:val="26"/>
          <w:szCs w:val="28"/>
          <w:lang w:val="pl-PL"/>
        </w:rPr>
        <w:t xml:space="preserve">nhiều </w:t>
      </w:r>
      <w:r w:rsidR="00663181">
        <w:rPr>
          <w:sz w:val="26"/>
          <w:szCs w:val="28"/>
          <w:lang w:val="pl-PL"/>
        </w:rPr>
        <w:t>bất trắc</w:t>
      </w:r>
      <w:r w:rsidR="007C3876">
        <w:rPr>
          <w:sz w:val="26"/>
          <w:szCs w:val="28"/>
          <w:lang w:val="pl-PL"/>
        </w:rPr>
        <w:t xml:space="preserve"> nhưng</w:t>
      </w:r>
      <w:r w:rsidR="007C3876" w:rsidRPr="00175B0C">
        <w:rPr>
          <w:sz w:val="26"/>
          <w:szCs w:val="28"/>
          <w:lang w:val="pl-PL"/>
        </w:rPr>
        <w:t xml:space="preserve"> </w:t>
      </w:r>
      <w:r w:rsidR="007C3876">
        <w:rPr>
          <w:sz w:val="26"/>
          <w:szCs w:val="28"/>
          <w:lang w:val="pl-PL"/>
        </w:rPr>
        <w:t xml:space="preserve">được </w:t>
      </w:r>
      <w:r w:rsidR="002527DC" w:rsidRPr="00175B0C">
        <w:rPr>
          <w:sz w:val="26"/>
          <w:szCs w:val="28"/>
          <w:lang w:val="pl-PL"/>
        </w:rPr>
        <w:t xml:space="preserve">dự báo </w:t>
      </w:r>
      <w:r w:rsidR="007C3876">
        <w:rPr>
          <w:sz w:val="26"/>
          <w:szCs w:val="28"/>
          <w:lang w:val="pl-PL"/>
        </w:rPr>
        <w:t>sẽ</w:t>
      </w:r>
      <w:r w:rsidR="002527DC" w:rsidRPr="00175B0C">
        <w:rPr>
          <w:sz w:val="26"/>
          <w:szCs w:val="28"/>
          <w:lang w:val="pl-PL"/>
        </w:rPr>
        <w:t xml:space="preserve"> tăng trưởng </w:t>
      </w:r>
      <w:r w:rsidR="007C3876">
        <w:rPr>
          <w:sz w:val="26"/>
          <w:szCs w:val="28"/>
          <w:lang w:val="pl-PL"/>
        </w:rPr>
        <w:t>cao</w:t>
      </w:r>
      <w:r w:rsidR="007C3876" w:rsidRPr="00175B0C">
        <w:rPr>
          <w:sz w:val="26"/>
          <w:szCs w:val="28"/>
          <w:lang w:val="pl-PL"/>
        </w:rPr>
        <w:t xml:space="preserve"> </w:t>
      </w:r>
      <w:r w:rsidR="002527DC" w:rsidRPr="00175B0C">
        <w:rPr>
          <w:sz w:val="26"/>
          <w:szCs w:val="28"/>
          <w:lang w:val="pl-PL"/>
        </w:rPr>
        <w:t xml:space="preserve">hơn </w:t>
      </w:r>
      <w:r w:rsidR="007C3876">
        <w:rPr>
          <w:sz w:val="26"/>
          <w:szCs w:val="28"/>
          <w:lang w:val="pl-PL"/>
        </w:rPr>
        <w:t>so với 2015</w:t>
      </w:r>
      <w:r w:rsidRPr="00175B0C">
        <w:rPr>
          <w:rStyle w:val="FootnoteReference"/>
          <w:sz w:val="26"/>
          <w:szCs w:val="28"/>
          <w:lang w:val="pl-PL"/>
        </w:rPr>
        <w:footnoteReference w:id="14"/>
      </w:r>
      <w:r w:rsidRPr="00175B0C">
        <w:rPr>
          <w:sz w:val="26"/>
          <w:szCs w:val="28"/>
          <w:lang w:val="pl-PL"/>
        </w:rPr>
        <w:t>; (ii) giá hàng hóa thế giới dự báo phục hồi trong năm 2016</w:t>
      </w:r>
      <w:r w:rsidRPr="00175B0C">
        <w:rPr>
          <w:rStyle w:val="FootnoteReference"/>
          <w:sz w:val="26"/>
          <w:szCs w:val="28"/>
          <w:lang w:val="pl-PL"/>
        </w:rPr>
        <w:footnoteReference w:id="15"/>
      </w:r>
      <w:r w:rsidRPr="00175B0C">
        <w:rPr>
          <w:sz w:val="26"/>
          <w:szCs w:val="28"/>
          <w:lang w:val="pl-PL"/>
        </w:rPr>
        <w:t>; (iii) tác động của hiệp định thương mại</w:t>
      </w:r>
      <w:r w:rsidRPr="00175B0C">
        <w:rPr>
          <w:rStyle w:val="FootnoteReference"/>
          <w:sz w:val="26"/>
          <w:szCs w:val="28"/>
          <w:lang w:val="pl-PL"/>
        </w:rPr>
        <w:footnoteReference w:id="16"/>
      </w:r>
      <w:r w:rsidRPr="00175B0C">
        <w:rPr>
          <w:sz w:val="26"/>
          <w:szCs w:val="28"/>
          <w:lang w:val="pl-PL"/>
        </w:rPr>
        <w:t xml:space="preserve"> giúp Việt nam mở rộng thị trường xuất khẩu</w:t>
      </w:r>
      <w:r w:rsidR="007C3876">
        <w:rPr>
          <w:sz w:val="26"/>
          <w:szCs w:val="28"/>
          <w:lang w:val="pl-PL"/>
        </w:rPr>
        <w:t>.</w:t>
      </w:r>
      <w:r w:rsidR="00671327">
        <w:rPr>
          <w:sz w:val="26"/>
          <w:szCs w:val="28"/>
          <w:lang w:val="pl-PL"/>
        </w:rPr>
        <w:t xml:space="preserve"> IMF cũng dự báo xuất khẩu hàng hóa của thế giới </w:t>
      </w:r>
      <w:r w:rsidR="00C75DD3">
        <w:rPr>
          <w:sz w:val="26"/>
          <w:szCs w:val="28"/>
          <w:lang w:val="pl-PL"/>
        </w:rPr>
        <w:t xml:space="preserve">sẽ tăng từ 3,8% (2015) lên 4,7% (2016), của </w:t>
      </w:r>
      <w:r w:rsidR="00671327">
        <w:rPr>
          <w:sz w:val="26"/>
          <w:szCs w:val="28"/>
          <w:lang w:val="pl-PL"/>
        </w:rPr>
        <w:t>nhóm các nước Châu Á đang phát triển và mới nổi tăng</w:t>
      </w:r>
      <w:r w:rsidR="00C75DD3">
        <w:rPr>
          <w:sz w:val="26"/>
          <w:szCs w:val="28"/>
          <w:lang w:val="pl-PL"/>
        </w:rPr>
        <w:t xml:space="preserve"> từ 6,5% lên 6,7%.</w:t>
      </w:r>
      <w:r w:rsidR="00671327">
        <w:rPr>
          <w:sz w:val="26"/>
          <w:szCs w:val="28"/>
          <w:lang w:val="pl-PL"/>
        </w:rPr>
        <w:t xml:space="preserve"> </w:t>
      </w:r>
    </w:p>
    <w:p w:rsidR="001A3336" w:rsidRPr="00175B0C" w:rsidRDefault="001A3336" w:rsidP="006268CF">
      <w:pPr>
        <w:tabs>
          <w:tab w:val="left" w:pos="284"/>
          <w:tab w:val="left" w:pos="426"/>
        </w:tabs>
        <w:spacing w:before="120" w:line="288" w:lineRule="auto"/>
        <w:rPr>
          <w:sz w:val="26"/>
          <w:szCs w:val="28"/>
          <w:lang w:val="pl-PL"/>
        </w:rPr>
      </w:pPr>
      <w:r w:rsidRPr="00175B0C">
        <w:rPr>
          <w:sz w:val="26"/>
          <w:szCs w:val="28"/>
          <w:lang w:val="pl-PL"/>
        </w:rPr>
        <w:t xml:space="preserve">- Cơ hội từ dòng vốn đầu tư nước ngoài (cả trực tiếp và gián tiếp) rút khỏi thị trường Trung </w:t>
      </w:r>
      <w:r w:rsidR="007C3876">
        <w:rPr>
          <w:sz w:val="26"/>
          <w:szCs w:val="28"/>
          <w:lang w:val="pl-PL"/>
        </w:rPr>
        <w:t>Q</w:t>
      </w:r>
      <w:r w:rsidR="007C3876" w:rsidRPr="00175B0C">
        <w:rPr>
          <w:sz w:val="26"/>
          <w:szCs w:val="28"/>
          <w:lang w:val="pl-PL"/>
        </w:rPr>
        <w:t>uốc</w:t>
      </w:r>
      <w:r w:rsidRPr="00175B0C">
        <w:rPr>
          <w:sz w:val="26"/>
          <w:szCs w:val="28"/>
          <w:lang w:val="pl-PL"/>
        </w:rPr>
        <w:t xml:space="preserve">, tìm đến những nền kinh tế đang phát triển ổn định hơn, trong đó có Việt Nam. </w:t>
      </w:r>
    </w:p>
    <w:p w:rsidR="001A3336" w:rsidRPr="00BE715C" w:rsidRDefault="001A3336" w:rsidP="006268CF">
      <w:pPr>
        <w:tabs>
          <w:tab w:val="left" w:pos="284"/>
          <w:tab w:val="left" w:pos="426"/>
        </w:tabs>
        <w:spacing w:before="120" w:line="288" w:lineRule="auto"/>
        <w:rPr>
          <w:sz w:val="26"/>
          <w:szCs w:val="28"/>
          <w:lang w:val="pl-PL"/>
        </w:rPr>
      </w:pPr>
      <w:r w:rsidRPr="00BE715C">
        <w:rPr>
          <w:sz w:val="26"/>
          <w:szCs w:val="28"/>
          <w:lang w:val="pl-PL"/>
        </w:rPr>
        <w:t>- Tiêu dùng phục hồi tốt hơn nhờ lạm phát thấp</w:t>
      </w:r>
      <w:r w:rsidR="007C3876" w:rsidRPr="00BE715C">
        <w:rPr>
          <w:sz w:val="26"/>
          <w:szCs w:val="28"/>
          <w:lang w:val="pl-PL"/>
        </w:rPr>
        <w:t xml:space="preserve"> và hoạt động</w:t>
      </w:r>
      <w:r w:rsidRPr="00BE715C">
        <w:rPr>
          <w:sz w:val="26"/>
          <w:szCs w:val="28"/>
          <w:lang w:val="pl-PL"/>
        </w:rPr>
        <w:t xml:space="preserve"> sản xuất kinh doanh cải thiện. </w:t>
      </w:r>
    </w:p>
    <w:p w:rsidR="001A3336" w:rsidRPr="00175B0C" w:rsidRDefault="001A3336" w:rsidP="006268CF">
      <w:pPr>
        <w:tabs>
          <w:tab w:val="left" w:pos="284"/>
          <w:tab w:val="left" w:pos="426"/>
        </w:tabs>
        <w:spacing w:before="120" w:line="288" w:lineRule="auto"/>
        <w:rPr>
          <w:sz w:val="26"/>
          <w:szCs w:val="28"/>
          <w:lang w:val="pl-PL"/>
        </w:rPr>
      </w:pPr>
      <w:r w:rsidRPr="00175B0C">
        <w:rPr>
          <w:sz w:val="26"/>
          <w:szCs w:val="28"/>
          <w:lang w:val="pl-PL"/>
        </w:rPr>
        <w:t xml:space="preserve">- Chương trình tái cơ cấu kinh tế và cải cách thể chế thông qua một loạt các bộ Luật sửa đổi (Luật Doanh nghiệp sửa đổi, Luật Phá sản, Luật Đầu tư công,...) và các biện pháp cải cách hành chính </w:t>
      </w:r>
      <w:r w:rsidR="007C3876">
        <w:rPr>
          <w:sz w:val="26"/>
          <w:szCs w:val="28"/>
          <w:lang w:val="pl-PL"/>
        </w:rPr>
        <w:t>sẽ</w:t>
      </w:r>
      <w:r w:rsidR="007C3876" w:rsidRPr="00175B0C">
        <w:rPr>
          <w:sz w:val="26"/>
          <w:szCs w:val="28"/>
          <w:lang w:val="pl-PL"/>
        </w:rPr>
        <w:t xml:space="preserve"> </w:t>
      </w:r>
      <w:r w:rsidRPr="00175B0C">
        <w:rPr>
          <w:sz w:val="26"/>
          <w:szCs w:val="28"/>
          <w:lang w:val="pl-PL"/>
        </w:rPr>
        <w:t>làm tăng niềm tin của nhà đầu tư, cải thiện năng lực cạnh tranh quốc gia</w:t>
      </w:r>
      <w:r w:rsidR="007C3876">
        <w:rPr>
          <w:sz w:val="26"/>
          <w:szCs w:val="28"/>
          <w:lang w:val="pl-PL"/>
        </w:rPr>
        <w:t>, khuyến khích đầu tư tư nhân</w:t>
      </w:r>
      <w:r w:rsidRPr="00175B0C">
        <w:rPr>
          <w:sz w:val="26"/>
          <w:szCs w:val="28"/>
          <w:lang w:val="pl-PL"/>
        </w:rPr>
        <w:t xml:space="preserve">. </w:t>
      </w:r>
    </w:p>
    <w:p w:rsidR="001A3336" w:rsidRPr="007C3876" w:rsidRDefault="005C5794" w:rsidP="006268CF">
      <w:pPr>
        <w:pStyle w:val="ListParagraph"/>
        <w:numPr>
          <w:ilvl w:val="1"/>
          <w:numId w:val="32"/>
        </w:numPr>
        <w:tabs>
          <w:tab w:val="left" w:pos="284"/>
          <w:tab w:val="left" w:pos="426"/>
        </w:tabs>
        <w:spacing w:before="120" w:line="288" w:lineRule="auto"/>
        <w:ind w:left="0" w:firstLine="0"/>
        <w:contextualSpacing w:val="0"/>
        <w:rPr>
          <w:b/>
          <w:i/>
          <w:sz w:val="26"/>
          <w:szCs w:val="28"/>
          <w:lang w:val="pl-PL"/>
        </w:rPr>
      </w:pPr>
      <w:r w:rsidRPr="005C5794">
        <w:rPr>
          <w:b/>
          <w:i/>
          <w:sz w:val="26"/>
          <w:szCs w:val="28"/>
          <w:lang w:val="pl-PL"/>
        </w:rPr>
        <w:t xml:space="preserve">Những yếu tố </w:t>
      </w:r>
      <w:r w:rsidR="00663181">
        <w:rPr>
          <w:b/>
          <w:i/>
          <w:sz w:val="26"/>
          <w:szCs w:val="28"/>
          <w:lang w:val="pl-PL"/>
        </w:rPr>
        <w:t>khó khăn</w:t>
      </w:r>
      <w:r w:rsidRPr="005C5794">
        <w:rPr>
          <w:b/>
          <w:i/>
          <w:sz w:val="26"/>
          <w:szCs w:val="28"/>
          <w:lang w:val="pl-PL"/>
        </w:rPr>
        <w:t xml:space="preserve"> </w:t>
      </w:r>
    </w:p>
    <w:p w:rsidR="001A3336" w:rsidRPr="003354E8" w:rsidRDefault="001A3336" w:rsidP="006268CF">
      <w:pPr>
        <w:tabs>
          <w:tab w:val="left" w:pos="284"/>
          <w:tab w:val="left" w:pos="426"/>
        </w:tabs>
        <w:spacing w:before="120" w:line="288" w:lineRule="auto"/>
        <w:rPr>
          <w:spacing w:val="-6"/>
          <w:sz w:val="26"/>
          <w:szCs w:val="28"/>
          <w:lang w:val="pl-PL"/>
        </w:rPr>
      </w:pPr>
      <w:r w:rsidRPr="003354E8">
        <w:rPr>
          <w:spacing w:val="-6"/>
          <w:sz w:val="26"/>
          <w:szCs w:val="28"/>
          <w:lang w:val="pl-PL"/>
        </w:rPr>
        <w:t>- Tình hình doanh nghiệp mặc dù cải thiện nhưng chưa hết khó khăn nhất là doanh nghiệp nhỏ và vừa.  Phần lớn những doanh nghiệp phải dừng hoạt động hoặc giải thể, phá sản trong 6 tháng đầu năm 2015 là doanh nghiệp quy mô nhỏ có vốn đăng ký dưới 10 tỷ đồng</w:t>
      </w:r>
      <w:r w:rsidRPr="003354E8">
        <w:rPr>
          <w:rStyle w:val="FootnoteReference"/>
          <w:spacing w:val="-6"/>
          <w:sz w:val="26"/>
          <w:szCs w:val="28"/>
        </w:rPr>
        <w:footnoteReference w:id="17"/>
      </w:r>
      <w:r w:rsidRPr="003354E8">
        <w:rPr>
          <w:spacing w:val="-6"/>
          <w:sz w:val="26"/>
          <w:szCs w:val="28"/>
          <w:lang w:val="pl-PL"/>
        </w:rPr>
        <w:t>.</w:t>
      </w:r>
    </w:p>
    <w:p w:rsidR="001A3336" w:rsidRDefault="001A3336" w:rsidP="006268CF">
      <w:pPr>
        <w:tabs>
          <w:tab w:val="left" w:pos="284"/>
          <w:tab w:val="left" w:pos="426"/>
        </w:tabs>
        <w:spacing w:before="120" w:line="288" w:lineRule="auto"/>
        <w:rPr>
          <w:iCs/>
          <w:sz w:val="26"/>
          <w:szCs w:val="28"/>
          <w:lang w:val="sv-SE"/>
        </w:rPr>
      </w:pPr>
      <w:r w:rsidRPr="006D43A3">
        <w:rPr>
          <w:sz w:val="26"/>
          <w:szCs w:val="28"/>
          <w:lang w:val="pl-PL"/>
        </w:rPr>
        <w:t>- Cổ phần hóa DNNN và tái cơ cấu nền kinh tế tuy đạt được những kết quả bước đầu nhưng còn chậm</w:t>
      </w:r>
      <w:r w:rsidR="007C3876" w:rsidRPr="006D43A3">
        <w:rPr>
          <w:sz w:val="26"/>
          <w:szCs w:val="28"/>
          <w:lang w:val="pl-PL"/>
        </w:rPr>
        <w:t xml:space="preserve">: </w:t>
      </w:r>
      <w:r w:rsidRPr="00175B0C">
        <w:rPr>
          <w:sz w:val="26"/>
          <w:szCs w:val="28"/>
          <w:lang w:val="sv-SE"/>
        </w:rPr>
        <w:t>6 tháng đầu năm 2015,</w:t>
      </w:r>
      <w:r w:rsidR="00A603CD">
        <w:rPr>
          <w:sz w:val="26"/>
          <w:szCs w:val="28"/>
          <w:lang w:val="sv-SE"/>
        </w:rPr>
        <w:t xml:space="preserve"> </w:t>
      </w:r>
      <w:r w:rsidRPr="00175B0C">
        <w:rPr>
          <w:sz w:val="26"/>
          <w:szCs w:val="28"/>
          <w:lang w:val="sv-SE"/>
        </w:rPr>
        <w:t>61 doanh nghiệp được tiến hành </w:t>
      </w:r>
      <w:hyperlink r:id="rId17" w:tgtFrame="_blank" w:tooltip="cổ phần hóa" w:history="1">
        <w:r w:rsidRPr="00175B0C">
          <w:rPr>
            <w:sz w:val="26"/>
            <w:szCs w:val="28"/>
            <w:lang w:val="sv-SE"/>
          </w:rPr>
          <w:t>cổ phần hóa</w:t>
        </w:r>
      </w:hyperlink>
      <w:r w:rsidRPr="00175B0C">
        <w:rPr>
          <w:sz w:val="26"/>
          <w:szCs w:val="28"/>
          <w:lang w:val="sv-SE"/>
        </w:rPr>
        <w:t xml:space="preserve">, </w:t>
      </w:r>
      <w:r w:rsidR="00A603CD">
        <w:rPr>
          <w:sz w:val="26"/>
          <w:szCs w:val="28"/>
          <w:lang w:val="sv-SE"/>
        </w:rPr>
        <w:t xml:space="preserve"> </w:t>
      </w:r>
      <w:r w:rsidRPr="00175B0C">
        <w:rPr>
          <w:iCs/>
          <w:sz w:val="26"/>
          <w:szCs w:val="28"/>
          <w:lang w:val="sv-SE"/>
        </w:rPr>
        <w:t xml:space="preserve">hoàn thành được 21% kế hoạch (kế hoạch là 289 DNNN cổ phần hóa năm 2015). </w:t>
      </w:r>
    </w:p>
    <w:p w:rsidR="001A3336" w:rsidRPr="006D43A3" w:rsidRDefault="001A3336" w:rsidP="006268CF">
      <w:pPr>
        <w:pStyle w:val="ListParagraph"/>
        <w:numPr>
          <w:ilvl w:val="0"/>
          <w:numId w:val="32"/>
        </w:numPr>
        <w:tabs>
          <w:tab w:val="left" w:pos="284"/>
          <w:tab w:val="left" w:pos="426"/>
        </w:tabs>
        <w:spacing w:before="120" w:line="288" w:lineRule="auto"/>
        <w:ind w:left="0" w:firstLine="0"/>
        <w:contextualSpacing w:val="0"/>
        <w:rPr>
          <w:b/>
          <w:sz w:val="26"/>
          <w:szCs w:val="28"/>
          <w:lang w:val="pl-PL"/>
        </w:rPr>
      </w:pPr>
      <w:r w:rsidRPr="006D43A3">
        <w:rPr>
          <w:b/>
          <w:sz w:val="26"/>
          <w:szCs w:val="28"/>
          <w:lang w:val="pl-PL"/>
        </w:rPr>
        <w:t>Về ổn định kinh tế vĩ mô</w:t>
      </w:r>
    </w:p>
    <w:p w:rsidR="001A3336" w:rsidRPr="00175B0C" w:rsidRDefault="001A3336" w:rsidP="006268CF">
      <w:pPr>
        <w:pStyle w:val="ListParagraph"/>
        <w:numPr>
          <w:ilvl w:val="1"/>
          <w:numId w:val="32"/>
        </w:numPr>
        <w:tabs>
          <w:tab w:val="left" w:pos="284"/>
          <w:tab w:val="left" w:pos="426"/>
        </w:tabs>
        <w:spacing w:before="120" w:line="288" w:lineRule="auto"/>
        <w:ind w:left="0" w:firstLine="0"/>
        <w:contextualSpacing w:val="0"/>
        <w:rPr>
          <w:b/>
          <w:i/>
          <w:sz w:val="26"/>
          <w:szCs w:val="28"/>
        </w:rPr>
      </w:pPr>
      <w:r w:rsidRPr="00175B0C">
        <w:rPr>
          <w:b/>
          <w:i/>
          <w:sz w:val="26"/>
          <w:szCs w:val="28"/>
        </w:rPr>
        <w:t>Những</w:t>
      </w:r>
      <w:r w:rsidR="007C3876">
        <w:rPr>
          <w:b/>
          <w:i/>
          <w:sz w:val="26"/>
          <w:szCs w:val="28"/>
        </w:rPr>
        <w:t xml:space="preserve"> yếu tố</w:t>
      </w:r>
      <w:r w:rsidRPr="00175B0C">
        <w:rPr>
          <w:b/>
          <w:i/>
          <w:sz w:val="26"/>
          <w:szCs w:val="28"/>
        </w:rPr>
        <w:t xml:space="preserve"> thuận lợi</w:t>
      </w:r>
    </w:p>
    <w:p w:rsidR="001A3336" w:rsidRPr="00C75DD3" w:rsidRDefault="0073590E" w:rsidP="006268CF">
      <w:pPr>
        <w:tabs>
          <w:tab w:val="left" w:pos="284"/>
          <w:tab w:val="left" w:pos="426"/>
        </w:tabs>
        <w:spacing w:before="120" w:line="288" w:lineRule="auto"/>
        <w:rPr>
          <w:sz w:val="26"/>
          <w:szCs w:val="28"/>
          <w:lang w:val="vi-VN"/>
        </w:rPr>
      </w:pPr>
      <w:r w:rsidRPr="0073590E">
        <w:rPr>
          <w:sz w:val="26"/>
          <w:szCs w:val="28"/>
          <w:lang w:val="sv-SE"/>
        </w:rPr>
        <w:t xml:space="preserve">- Giá hàng hóa thế giới mặc dù được dự báo phục hồi trong năm 2016 nhưng không nhiều. </w:t>
      </w:r>
      <w:r w:rsidR="00C75DD3">
        <w:rPr>
          <w:sz w:val="26"/>
          <w:szCs w:val="28"/>
          <w:lang w:val="sv-SE"/>
        </w:rPr>
        <w:t>Ngân hàng Thế giới</w:t>
      </w:r>
      <w:r w:rsidRPr="0073590E">
        <w:rPr>
          <w:sz w:val="26"/>
          <w:szCs w:val="28"/>
          <w:lang w:val="sv-SE"/>
        </w:rPr>
        <w:t xml:space="preserve"> (tháng 7/2015) dự báo </w:t>
      </w:r>
      <w:r w:rsidR="00C75DD3">
        <w:rPr>
          <w:sz w:val="26"/>
          <w:szCs w:val="28"/>
          <w:lang w:val="sv-SE"/>
        </w:rPr>
        <w:t>năm 2016 giá</w:t>
      </w:r>
      <w:r w:rsidRPr="0073590E">
        <w:rPr>
          <w:sz w:val="26"/>
          <w:szCs w:val="28"/>
          <w:lang w:val="sv-SE"/>
        </w:rPr>
        <w:t xml:space="preserve"> năng lượng tăng 6,</w:t>
      </w:r>
      <w:r w:rsidR="00C75DD3">
        <w:rPr>
          <w:sz w:val="26"/>
          <w:szCs w:val="28"/>
          <w:lang w:val="sv-SE"/>
        </w:rPr>
        <w:t>1</w:t>
      </w:r>
      <w:r w:rsidRPr="0073590E">
        <w:rPr>
          <w:sz w:val="26"/>
          <w:szCs w:val="28"/>
          <w:lang w:val="sv-SE"/>
        </w:rPr>
        <w:t>%</w:t>
      </w:r>
      <w:r w:rsidR="00C75DD3">
        <w:rPr>
          <w:sz w:val="26"/>
          <w:szCs w:val="28"/>
          <w:lang w:val="sv-SE"/>
        </w:rPr>
        <w:t xml:space="preserve"> (trong đó dầu thô tăng 4,4%)</w:t>
      </w:r>
      <w:r w:rsidR="006224A5">
        <w:rPr>
          <w:sz w:val="26"/>
          <w:szCs w:val="28"/>
          <w:lang w:val="sv-SE"/>
        </w:rPr>
        <w:t>,</w:t>
      </w:r>
      <w:r w:rsidRPr="0073590E">
        <w:rPr>
          <w:sz w:val="26"/>
          <w:szCs w:val="28"/>
          <w:lang w:val="sv-SE"/>
        </w:rPr>
        <w:t xml:space="preserve"> </w:t>
      </w:r>
      <w:r w:rsidR="00C75DD3">
        <w:rPr>
          <w:sz w:val="26"/>
          <w:szCs w:val="28"/>
          <w:lang w:val="sv-SE"/>
        </w:rPr>
        <w:t xml:space="preserve">giá lương thực </w:t>
      </w:r>
      <w:r w:rsidRPr="0073590E">
        <w:rPr>
          <w:sz w:val="26"/>
          <w:szCs w:val="28"/>
          <w:lang w:val="sv-SE"/>
        </w:rPr>
        <w:t xml:space="preserve">tăng </w:t>
      </w:r>
      <w:r w:rsidR="00C75DD3">
        <w:rPr>
          <w:sz w:val="26"/>
          <w:szCs w:val="28"/>
          <w:lang w:val="sv-SE"/>
        </w:rPr>
        <w:t>1,2</w:t>
      </w:r>
      <w:r w:rsidRPr="0073590E">
        <w:rPr>
          <w:sz w:val="26"/>
          <w:szCs w:val="28"/>
          <w:lang w:val="sv-SE"/>
        </w:rPr>
        <w:t>%</w:t>
      </w:r>
      <w:r w:rsidR="00C75DD3">
        <w:rPr>
          <w:sz w:val="26"/>
          <w:szCs w:val="28"/>
          <w:lang w:val="sv-SE"/>
        </w:rPr>
        <w:t xml:space="preserve"> và</w:t>
      </w:r>
      <w:r w:rsidRPr="0073590E">
        <w:rPr>
          <w:sz w:val="26"/>
          <w:szCs w:val="28"/>
          <w:lang w:val="sv-SE"/>
        </w:rPr>
        <w:t xml:space="preserve"> nguyên liệu thô tăng </w:t>
      </w:r>
      <w:r w:rsidR="00C75DD3">
        <w:rPr>
          <w:sz w:val="26"/>
          <w:szCs w:val="28"/>
          <w:lang w:val="sv-SE"/>
        </w:rPr>
        <w:lastRenderedPageBreak/>
        <w:t>2</w:t>
      </w:r>
      <w:r w:rsidRPr="0073590E">
        <w:rPr>
          <w:sz w:val="26"/>
          <w:szCs w:val="28"/>
          <w:lang w:val="sv-SE"/>
        </w:rPr>
        <w:t>%, dầu thô tăng 7,5%.</w:t>
      </w:r>
      <w:r w:rsidR="00C75DD3">
        <w:rPr>
          <w:sz w:val="26"/>
          <w:szCs w:val="28"/>
          <w:lang w:val="sv-SE"/>
        </w:rPr>
        <w:t xml:space="preserve"> </w:t>
      </w:r>
      <w:r w:rsidRPr="0073590E">
        <w:rPr>
          <w:sz w:val="26"/>
          <w:szCs w:val="28"/>
          <w:lang w:val="vi-VN"/>
        </w:rPr>
        <w:t xml:space="preserve">Do đó, áp lực đối với lạm phát từ giá hàng hóa thế giới trong năm 2016 sẽ không lớn. </w:t>
      </w:r>
    </w:p>
    <w:p w:rsidR="001A3336" w:rsidRPr="0061150B" w:rsidRDefault="0073590E" w:rsidP="006268CF">
      <w:pPr>
        <w:tabs>
          <w:tab w:val="left" w:pos="284"/>
          <w:tab w:val="left" w:pos="426"/>
        </w:tabs>
        <w:spacing w:before="120" w:line="288" w:lineRule="auto"/>
        <w:rPr>
          <w:sz w:val="26"/>
          <w:szCs w:val="28"/>
          <w:lang w:val="vi-VN"/>
        </w:rPr>
      </w:pPr>
      <w:r w:rsidRPr="0073590E">
        <w:rPr>
          <w:i/>
          <w:sz w:val="26"/>
          <w:szCs w:val="28"/>
          <w:lang w:val="vi-VN"/>
        </w:rPr>
        <w:t xml:space="preserve">- </w:t>
      </w:r>
      <w:r w:rsidRPr="0073590E">
        <w:rPr>
          <w:sz w:val="26"/>
          <w:szCs w:val="28"/>
          <w:lang w:val="vi-VN"/>
        </w:rPr>
        <w:t>Kỳ vọng lạm phát ổn định do kinh tế vĩ mô được giữ ổn định trong nhiều năm. Do đó, UBGSTCQG nhận định lạm phát năm 2016 sẽ không có những áp lực lớn.</w:t>
      </w:r>
    </w:p>
    <w:p w:rsidR="001A3336" w:rsidRPr="007C3876" w:rsidRDefault="005C5794" w:rsidP="006268CF">
      <w:pPr>
        <w:pStyle w:val="ListParagraph"/>
        <w:numPr>
          <w:ilvl w:val="1"/>
          <w:numId w:val="32"/>
        </w:numPr>
        <w:tabs>
          <w:tab w:val="left" w:pos="284"/>
          <w:tab w:val="left" w:pos="426"/>
        </w:tabs>
        <w:spacing w:before="120" w:line="288" w:lineRule="auto"/>
        <w:ind w:left="0" w:firstLine="0"/>
        <w:contextualSpacing w:val="0"/>
        <w:rPr>
          <w:b/>
          <w:i/>
          <w:sz w:val="26"/>
          <w:szCs w:val="28"/>
        </w:rPr>
      </w:pPr>
      <w:r>
        <w:rPr>
          <w:b/>
          <w:i/>
          <w:sz w:val="26"/>
          <w:szCs w:val="28"/>
        </w:rPr>
        <w:t xml:space="preserve">Những yếu tố </w:t>
      </w:r>
      <w:r w:rsidR="00663181">
        <w:rPr>
          <w:b/>
          <w:i/>
          <w:sz w:val="26"/>
          <w:szCs w:val="28"/>
        </w:rPr>
        <w:t>khó khăn</w:t>
      </w:r>
    </w:p>
    <w:p w:rsidR="00CF6F89" w:rsidRPr="00CF6F89" w:rsidRDefault="001A3336" w:rsidP="00CF6F89">
      <w:pPr>
        <w:spacing w:before="120" w:line="288" w:lineRule="auto"/>
        <w:rPr>
          <w:rFonts w:eastAsia="Calibri"/>
          <w:sz w:val="26"/>
          <w:szCs w:val="22"/>
          <w:lang w:val="pl-PL"/>
        </w:rPr>
      </w:pPr>
      <w:r w:rsidRPr="00175B0C">
        <w:rPr>
          <w:i/>
          <w:sz w:val="26"/>
          <w:szCs w:val="28"/>
          <w:lang w:val="pl-PL"/>
        </w:rPr>
        <w:t xml:space="preserve">- </w:t>
      </w:r>
      <w:r w:rsidR="005C5794" w:rsidRPr="005C5794">
        <w:rPr>
          <w:sz w:val="26"/>
          <w:szCs w:val="28"/>
          <w:lang w:val="pl-PL"/>
        </w:rPr>
        <w:t>Kinh tế thế giới mặc dù tiếp tục xu hướng phục hồi tăng trưởng trong năm 2016 nhưng tiềm ẩn không ít rủi ro</w:t>
      </w:r>
      <w:r w:rsidR="009B4E0A">
        <w:rPr>
          <w:i/>
          <w:sz w:val="26"/>
          <w:szCs w:val="28"/>
          <w:lang w:val="pl-PL"/>
        </w:rPr>
        <w:t xml:space="preserve"> </w:t>
      </w:r>
      <w:r w:rsidR="009B4E0A">
        <w:rPr>
          <w:sz w:val="26"/>
          <w:szCs w:val="28"/>
          <w:lang w:val="pl-PL"/>
        </w:rPr>
        <w:t>n</w:t>
      </w:r>
      <w:r w:rsidR="005C5794" w:rsidRPr="005C5794">
        <w:rPr>
          <w:sz w:val="26"/>
          <w:szCs w:val="28"/>
          <w:lang w:val="pl-PL"/>
        </w:rPr>
        <w:t>hư</w:t>
      </w:r>
      <w:r w:rsidR="009B4E0A">
        <w:rPr>
          <w:sz w:val="26"/>
          <w:szCs w:val="28"/>
          <w:lang w:val="pl-PL"/>
        </w:rPr>
        <w:t>:</w:t>
      </w:r>
      <w:r w:rsidR="009B4E0A" w:rsidRPr="00175B0C">
        <w:rPr>
          <w:i/>
          <w:sz w:val="26"/>
          <w:szCs w:val="28"/>
          <w:lang w:val="pl-PL"/>
        </w:rPr>
        <w:t xml:space="preserve"> </w:t>
      </w:r>
      <w:r w:rsidR="005C5794" w:rsidRPr="005C5794">
        <w:rPr>
          <w:sz w:val="26"/>
          <w:szCs w:val="28"/>
          <w:lang w:val="pl-PL"/>
        </w:rPr>
        <w:t>k</w:t>
      </w:r>
      <w:r w:rsidR="009B4E0A" w:rsidRPr="00175B0C">
        <w:rPr>
          <w:sz w:val="26"/>
          <w:szCs w:val="28"/>
          <w:lang w:val="pl-PL"/>
        </w:rPr>
        <w:t xml:space="preserve">hủng </w:t>
      </w:r>
      <w:r w:rsidRPr="00175B0C">
        <w:rPr>
          <w:sz w:val="26"/>
          <w:szCs w:val="28"/>
          <w:lang w:val="pl-PL"/>
        </w:rPr>
        <w:t xml:space="preserve">hoảng nợ công </w:t>
      </w:r>
      <w:r w:rsidR="009B4E0A">
        <w:rPr>
          <w:sz w:val="26"/>
          <w:szCs w:val="28"/>
          <w:lang w:val="pl-PL"/>
        </w:rPr>
        <w:t xml:space="preserve">của các nước </w:t>
      </w:r>
      <w:r w:rsidRPr="00175B0C">
        <w:rPr>
          <w:sz w:val="26"/>
          <w:szCs w:val="28"/>
          <w:lang w:val="pl-PL"/>
        </w:rPr>
        <w:t xml:space="preserve">vẫn </w:t>
      </w:r>
      <w:r w:rsidR="009B4E0A">
        <w:rPr>
          <w:sz w:val="26"/>
          <w:szCs w:val="28"/>
          <w:lang w:val="pl-PL"/>
        </w:rPr>
        <w:t>chưa được xử lý dứt điểm;</w:t>
      </w:r>
      <w:r w:rsidRPr="00175B0C">
        <w:rPr>
          <w:sz w:val="26"/>
          <w:szCs w:val="28"/>
          <w:lang w:val="pl-PL"/>
        </w:rPr>
        <w:t xml:space="preserve"> </w:t>
      </w:r>
      <w:r w:rsidR="009B4E0A">
        <w:rPr>
          <w:sz w:val="26"/>
          <w:szCs w:val="28"/>
          <w:lang w:val="pl-PL"/>
        </w:rPr>
        <w:t>tăng trưởng của các nước BRICS, nhất là Trung Quốc, chậm lại; nguy cơ xung</w:t>
      </w:r>
      <w:r w:rsidR="00175B0C">
        <w:rPr>
          <w:sz w:val="26"/>
          <w:szCs w:val="28"/>
          <w:lang w:val="pl-PL"/>
        </w:rPr>
        <w:t xml:space="preserve"> </w:t>
      </w:r>
      <w:r w:rsidRPr="00175B0C">
        <w:rPr>
          <w:sz w:val="26"/>
          <w:szCs w:val="28"/>
          <w:lang w:val="pl-PL"/>
        </w:rPr>
        <w:t xml:space="preserve">đột chính trị, </w:t>
      </w:r>
      <w:r w:rsidR="009B4E0A">
        <w:rPr>
          <w:sz w:val="26"/>
          <w:szCs w:val="28"/>
          <w:lang w:val="pl-PL"/>
        </w:rPr>
        <w:t xml:space="preserve">dịch </w:t>
      </w:r>
      <w:r w:rsidRPr="00175B0C">
        <w:rPr>
          <w:sz w:val="26"/>
          <w:szCs w:val="28"/>
          <w:lang w:val="pl-PL"/>
        </w:rPr>
        <w:t xml:space="preserve">bệnh </w:t>
      </w:r>
      <w:r w:rsidR="009B4E0A">
        <w:rPr>
          <w:sz w:val="26"/>
          <w:szCs w:val="28"/>
          <w:lang w:val="pl-PL"/>
        </w:rPr>
        <w:t>vẫn hiện hữu</w:t>
      </w:r>
      <w:r w:rsidR="00175B0C">
        <w:rPr>
          <w:sz w:val="26"/>
          <w:szCs w:val="28"/>
          <w:lang w:val="pl-PL"/>
        </w:rPr>
        <w:t xml:space="preserve">. </w:t>
      </w:r>
      <w:r w:rsidR="00CF6F89">
        <w:rPr>
          <w:sz w:val="26"/>
          <w:szCs w:val="28"/>
          <w:lang w:val="pl-PL"/>
        </w:rPr>
        <w:t>Do đó,</w:t>
      </w:r>
      <w:r w:rsidR="00CF6F89" w:rsidRPr="00CF6F89">
        <w:rPr>
          <w:sz w:val="26"/>
          <w:szCs w:val="28"/>
          <w:lang w:val="pl-PL"/>
        </w:rPr>
        <w:t xml:space="preserve"> cùng với việc theo dõi sức khỏe của kinh tế thế giới</w:t>
      </w:r>
      <w:r w:rsidR="00CF6F89">
        <w:rPr>
          <w:sz w:val="26"/>
          <w:szCs w:val="28"/>
          <w:lang w:val="pl-PL"/>
        </w:rPr>
        <w:t>,</w:t>
      </w:r>
      <w:r w:rsidR="00CF6F89" w:rsidRPr="00CF6F89">
        <w:rPr>
          <w:sz w:val="26"/>
          <w:szCs w:val="28"/>
          <w:lang w:val="pl-PL"/>
        </w:rPr>
        <w:t xml:space="preserve"> </w:t>
      </w:r>
      <w:r w:rsidR="005C5794" w:rsidRPr="005C5794">
        <w:rPr>
          <w:rFonts w:eastAsia="Calibri"/>
          <w:sz w:val="26"/>
          <w:szCs w:val="22"/>
          <w:lang w:val="pl-PL"/>
        </w:rPr>
        <w:t>các cơ quan hoạch định chính sách cần xây dựng sẵn các kịch bản ứng phó để tránh thụ động.</w:t>
      </w:r>
    </w:p>
    <w:p w:rsidR="00CF6F89" w:rsidRPr="00CF6F89" w:rsidRDefault="009B4E0A" w:rsidP="00CF6F89">
      <w:pPr>
        <w:spacing w:before="120" w:line="288" w:lineRule="auto"/>
        <w:rPr>
          <w:rFonts w:eastAsia="Calibri"/>
          <w:sz w:val="26"/>
          <w:szCs w:val="22"/>
          <w:lang w:val="pl-PL"/>
        </w:rPr>
      </w:pPr>
      <w:r w:rsidRPr="00175B0C">
        <w:rPr>
          <w:sz w:val="26"/>
          <w:szCs w:val="28"/>
          <w:lang w:val="pl-PL"/>
        </w:rPr>
        <w:t xml:space="preserve">- </w:t>
      </w:r>
      <w:r>
        <w:rPr>
          <w:sz w:val="26"/>
          <w:szCs w:val="28"/>
          <w:lang w:val="pl-PL"/>
        </w:rPr>
        <w:t>K</w:t>
      </w:r>
      <w:r w:rsidRPr="00A603CD">
        <w:rPr>
          <w:sz w:val="26"/>
          <w:szCs w:val="28"/>
          <w:shd w:val="clear" w:color="auto" w:fill="FFFFFF" w:themeFill="background1"/>
          <w:lang w:val="pl-PL"/>
        </w:rPr>
        <w:t xml:space="preserve">hả năng FED tăng lãi suất </w:t>
      </w:r>
      <w:r>
        <w:rPr>
          <w:sz w:val="26"/>
          <w:szCs w:val="28"/>
          <w:shd w:val="clear" w:color="auto" w:fill="FFFFFF" w:themeFill="background1"/>
          <w:lang w:val="pl-PL"/>
        </w:rPr>
        <w:t xml:space="preserve">vào </w:t>
      </w:r>
      <w:r w:rsidRPr="00A603CD">
        <w:rPr>
          <w:sz w:val="26"/>
          <w:szCs w:val="28"/>
          <w:shd w:val="clear" w:color="auto" w:fill="FFFFFF" w:themeFill="background1"/>
          <w:lang w:val="pl-PL"/>
        </w:rPr>
        <w:t xml:space="preserve">cuối năm 2015 </w:t>
      </w:r>
      <w:r>
        <w:rPr>
          <w:sz w:val="26"/>
          <w:szCs w:val="28"/>
          <w:shd w:val="clear" w:color="auto" w:fill="FFFFFF" w:themeFill="background1"/>
          <w:lang w:val="pl-PL"/>
        </w:rPr>
        <w:t>cũng như trong năm 2016, mặc dù không tác động đến dòng</w:t>
      </w:r>
      <w:r w:rsidRPr="00A603CD">
        <w:rPr>
          <w:sz w:val="26"/>
          <w:szCs w:val="28"/>
          <w:shd w:val="clear" w:color="auto" w:fill="FFFFFF" w:themeFill="background1"/>
          <w:lang w:val="pl-PL"/>
        </w:rPr>
        <w:t xml:space="preserve"> vốn đầu tư gián tiếp </w:t>
      </w:r>
      <w:r>
        <w:rPr>
          <w:sz w:val="26"/>
          <w:szCs w:val="28"/>
          <w:shd w:val="clear" w:color="auto" w:fill="FFFFFF" w:themeFill="background1"/>
          <w:lang w:val="pl-PL"/>
        </w:rPr>
        <w:t>vào</w:t>
      </w:r>
      <w:r w:rsidRPr="00A603CD">
        <w:rPr>
          <w:sz w:val="26"/>
          <w:szCs w:val="28"/>
          <w:shd w:val="clear" w:color="auto" w:fill="FFFFFF" w:themeFill="background1"/>
          <w:lang w:val="pl-PL"/>
        </w:rPr>
        <w:t xml:space="preserve"> Việt Nam, </w:t>
      </w:r>
      <w:r>
        <w:rPr>
          <w:sz w:val="26"/>
          <w:szCs w:val="28"/>
          <w:shd w:val="clear" w:color="auto" w:fill="FFFFFF" w:themeFill="background1"/>
          <w:lang w:val="pl-PL"/>
        </w:rPr>
        <w:t xml:space="preserve">nhưng sẽ có </w:t>
      </w:r>
      <w:r w:rsidRPr="00A603CD">
        <w:rPr>
          <w:sz w:val="26"/>
          <w:szCs w:val="28"/>
          <w:shd w:val="clear" w:color="auto" w:fill="FFFFFF" w:themeFill="background1"/>
          <w:lang w:val="pl-PL"/>
        </w:rPr>
        <w:t xml:space="preserve">ảnh hưởng </w:t>
      </w:r>
      <w:r w:rsidR="00CF6F89">
        <w:rPr>
          <w:sz w:val="26"/>
          <w:szCs w:val="28"/>
          <w:shd w:val="clear" w:color="auto" w:fill="FFFFFF" w:themeFill="background1"/>
          <w:lang w:val="pl-PL"/>
        </w:rPr>
        <w:t>đối với</w:t>
      </w:r>
      <w:r>
        <w:rPr>
          <w:sz w:val="26"/>
          <w:szCs w:val="28"/>
          <w:shd w:val="clear" w:color="auto" w:fill="FFFFFF" w:themeFill="background1"/>
          <w:lang w:val="pl-PL"/>
        </w:rPr>
        <w:t xml:space="preserve"> tâm lý thị trường cũng như mục tiêu ổn định tỷ giá.</w:t>
      </w:r>
      <w:r w:rsidR="00CF6F89">
        <w:rPr>
          <w:sz w:val="26"/>
          <w:szCs w:val="28"/>
          <w:shd w:val="clear" w:color="auto" w:fill="FFFFFF" w:themeFill="background1"/>
          <w:lang w:val="pl-PL"/>
        </w:rPr>
        <w:t xml:space="preserve"> </w:t>
      </w:r>
      <w:r w:rsidR="005C5794" w:rsidRPr="005C5794">
        <w:rPr>
          <w:rFonts w:eastAsia="Calibri"/>
          <w:sz w:val="26"/>
          <w:szCs w:val="22"/>
          <w:lang w:val="pl-PL"/>
        </w:rPr>
        <w:t>Chính vì vậy, công tác truyền thông đóng v</w:t>
      </w:r>
      <w:r w:rsidR="00CF6F89">
        <w:rPr>
          <w:rFonts w:eastAsia="Calibri"/>
          <w:sz w:val="26"/>
          <w:szCs w:val="22"/>
          <w:lang w:val="pl-PL"/>
        </w:rPr>
        <w:t>a</w:t>
      </w:r>
      <w:r w:rsidR="005C5794" w:rsidRPr="005C5794">
        <w:rPr>
          <w:rFonts w:eastAsia="Calibri"/>
          <w:sz w:val="26"/>
          <w:szCs w:val="22"/>
          <w:lang w:val="pl-PL"/>
        </w:rPr>
        <w:t xml:space="preserve">i trò </w:t>
      </w:r>
      <w:r w:rsidR="00CF6F89">
        <w:rPr>
          <w:rFonts w:eastAsia="Calibri"/>
          <w:sz w:val="26"/>
          <w:szCs w:val="22"/>
          <w:lang w:val="pl-PL"/>
        </w:rPr>
        <w:t>rất</w:t>
      </w:r>
      <w:r w:rsidR="005C5794" w:rsidRPr="005C5794">
        <w:rPr>
          <w:rFonts w:eastAsia="Calibri"/>
          <w:sz w:val="26"/>
          <w:szCs w:val="22"/>
          <w:lang w:val="pl-PL"/>
        </w:rPr>
        <w:t xml:space="preserve"> quan trọng để duy trì lòng tin của thị trường. Các thông điệp chính sách cần rõ ràng nhưng cần linh hoạt để đảm bảo tính nhất quán trong thông tin và thống nhất, đồng bộ giữa thông điệp chính sách và hành động.</w:t>
      </w:r>
    </w:p>
    <w:p w:rsidR="001A3336" w:rsidRPr="00175B0C" w:rsidRDefault="001A3336" w:rsidP="006268CF">
      <w:pPr>
        <w:tabs>
          <w:tab w:val="left" w:pos="284"/>
          <w:tab w:val="left" w:pos="426"/>
        </w:tabs>
        <w:spacing w:before="120" w:line="288" w:lineRule="auto"/>
        <w:rPr>
          <w:sz w:val="26"/>
          <w:szCs w:val="28"/>
          <w:lang w:val="pl-PL"/>
        </w:rPr>
      </w:pPr>
      <w:r w:rsidRPr="00175B0C">
        <w:rPr>
          <w:i/>
          <w:sz w:val="26"/>
          <w:szCs w:val="28"/>
          <w:lang w:val="pl-PL"/>
        </w:rPr>
        <w:t xml:space="preserve">- </w:t>
      </w:r>
      <w:r w:rsidR="005C5794" w:rsidRPr="005C5794">
        <w:rPr>
          <w:sz w:val="26"/>
          <w:szCs w:val="28"/>
          <w:lang w:val="pl-PL"/>
        </w:rPr>
        <w:t xml:space="preserve">Cân đối ngân sách mặc dù được dự báo sẽ cải thiện </w:t>
      </w:r>
      <w:r w:rsidR="009B4E0A">
        <w:rPr>
          <w:sz w:val="26"/>
          <w:szCs w:val="28"/>
          <w:lang w:val="pl-PL"/>
        </w:rPr>
        <w:t xml:space="preserve">hơn so với năm 2015 </w:t>
      </w:r>
      <w:r w:rsidR="005C5794">
        <w:rPr>
          <w:sz w:val="26"/>
          <w:szCs w:val="28"/>
          <w:lang w:val="pl-PL"/>
        </w:rPr>
        <w:t>do</w:t>
      </w:r>
      <w:r w:rsidRPr="00175B0C">
        <w:rPr>
          <w:sz w:val="26"/>
          <w:szCs w:val="28"/>
          <w:lang w:val="pl-PL"/>
        </w:rPr>
        <w:t xml:space="preserve"> hoạt động sản xuất kinh doanh tiếp tục phục hồi và giá dầu tăng nhưng mức cải thiện là không lớn. Nguyên nhân là do thu từ xuất nhập khẩu giảm khi Việt Nam thực hiện các cam kết cắt giảm thuế theo các Hiệp định thương mại đã ký kết</w:t>
      </w:r>
      <w:r w:rsidRPr="00097AF5">
        <w:rPr>
          <w:sz w:val="26"/>
          <w:szCs w:val="28"/>
          <w:vertAlign w:val="superscript"/>
        </w:rPr>
        <w:footnoteReference w:id="18"/>
      </w:r>
      <w:r w:rsidRPr="00097AF5">
        <w:rPr>
          <w:sz w:val="26"/>
          <w:szCs w:val="28"/>
          <w:vertAlign w:val="superscript"/>
          <w:lang w:val="pl-PL"/>
        </w:rPr>
        <w:t xml:space="preserve"> </w:t>
      </w:r>
      <w:r w:rsidRPr="00175B0C">
        <w:rPr>
          <w:sz w:val="26"/>
          <w:szCs w:val="28"/>
          <w:lang w:val="pl-PL"/>
        </w:rPr>
        <w:t xml:space="preserve">và mức độ phục hồi của giá dầu thô sẽ không </w:t>
      </w:r>
      <w:r w:rsidR="009B4E0A">
        <w:rPr>
          <w:sz w:val="26"/>
          <w:szCs w:val="28"/>
          <w:lang w:val="pl-PL"/>
        </w:rPr>
        <w:t>lớn</w:t>
      </w:r>
      <w:r w:rsidR="009B4E0A" w:rsidRPr="00175B0C">
        <w:rPr>
          <w:sz w:val="26"/>
          <w:szCs w:val="28"/>
          <w:lang w:val="pl-PL"/>
        </w:rPr>
        <w:t xml:space="preserve"> </w:t>
      </w:r>
      <w:r w:rsidRPr="00175B0C">
        <w:rPr>
          <w:sz w:val="26"/>
          <w:szCs w:val="28"/>
          <w:lang w:val="pl-PL"/>
        </w:rPr>
        <w:t xml:space="preserve">trong năm 2016. Do đó, vấn đề quản lý nợ công sẽ tiếp tục là một thách thức trong năm </w:t>
      </w:r>
      <w:r w:rsidRPr="003A6D98">
        <w:rPr>
          <w:sz w:val="26"/>
          <w:szCs w:val="28"/>
          <w:lang w:val="pl-PL"/>
        </w:rPr>
        <w:t>2016</w:t>
      </w:r>
      <w:r w:rsidR="009B4E0A">
        <w:rPr>
          <w:sz w:val="26"/>
          <w:szCs w:val="28"/>
          <w:lang w:val="pl-PL"/>
        </w:rPr>
        <w:t xml:space="preserve">, nhất là trong bối cảnh </w:t>
      </w:r>
      <w:r w:rsidRPr="003A6D98">
        <w:rPr>
          <w:sz w:val="26"/>
          <w:szCs w:val="28"/>
          <w:lang w:val="pl-PL"/>
        </w:rPr>
        <w:t>phát hành trái phiếu Chính phủ</w:t>
      </w:r>
      <w:r w:rsidR="009B4E0A">
        <w:rPr>
          <w:sz w:val="26"/>
          <w:szCs w:val="28"/>
          <w:lang w:val="pl-PL"/>
        </w:rPr>
        <w:t xml:space="preserve"> đang</w:t>
      </w:r>
      <w:r w:rsidRPr="003A6D98">
        <w:rPr>
          <w:sz w:val="26"/>
          <w:szCs w:val="28"/>
          <w:lang w:val="pl-PL"/>
        </w:rPr>
        <w:t xml:space="preserve"> gặp khó khăn. Do đó, việc tăng cường phối hợp giữa chính sách tiền tệ và chính sách tài khóa sẽ là đòi hỏi cần thiết trong năm 2016.</w:t>
      </w:r>
      <w:r w:rsidRPr="00175B0C">
        <w:rPr>
          <w:sz w:val="26"/>
          <w:szCs w:val="28"/>
          <w:lang w:val="pl-PL"/>
        </w:rPr>
        <w:t xml:space="preserve"> </w:t>
      </w:r>
    </w:p>
    <w:p w:rsidR="0074084A" w:rsidRPr="003C1625" w:rsidRDefault="00556FC1" w:rsidP="006268CF">
      <w:pPr>
        <w:spacing w:before="240" w:after="100" w:line="288" w:lineRule="auto"/>
        <w:ind w:left="3261" w:firstLine="0"/>
        <w:jc w:val="right"/>
        <w:rPr>
          <w:b/>
          <w:sz w:val="26"/>
          <w:szCs w:val="26"/>
          <w:lang w:val="nl-NL"/>
        </w:rPr>
      </w:pPr>
      <w:r w:rsidRPr="003C1625">
        <w:rPr>
          <w:b/>
          <w:sz w:val="26"/>
          <w:szCs w:val="26"/>
          <w:lang w:val="nl-NL"/>
        </w:rPr>
        <w:t>ỦY</w:t>
      </w:r>
      <w:r w:rsidR="00B50EE3" w:rsidRPr="003C1625">
        <w:rPr>
          <w:b/>
          <w:sz w:val="26"/>
          <w:szCs w:val="26"/>
          <w:lang w:val="nl-NL"/>
        </w:rPr>
        <w:t xml:space="preserve"> BAN GIÁM SÁT TÀI </w:t>
      </w:r>
      <w:r w:rsidR="00F727DF" w:rsidRPr="003C1625">
        <w:rPr>
          <w:b/>
          <w:sz w:val="26"/>
          <w:szCs w:val="26"/>
          <w:lang w:val="nl-NL"/>
        </w:rPr>
        <w:t>CHÍNH QUỐC GIA</w:t>
      </w:r>
    </w:p>
    <w:sectPr w:rsidR="0074084A" w:rsidRPr="003C1625" w:rsidSect="00BB5EB6">
      <w:footerReference w:type="default" r:id="rId18"/>
      <w:pgSz w:w="11907" w:h="16839" w:code="9"/>
      <w:pgMar w:top="1134" w:right="1134" w:bottom="851" w:left="1418" w:header="720"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31" w:rsidRDefault="00AB0E31" w:rsidP="00D118DD">
      <w:pPr>
        <w:spacing w:after="0"/>
      </w:pPr>
      <w:r>
        <w:separator/>
      </w:r>
    </w:p>
  </w:endnote>
  <w:endnote w:type="continuationSeparator" w:id="0">
    <w:p w:rsidR="00AB0E31" w:rsidRDefault="00AB0E31" w:rsidP="00D118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864055"/>
      <w:docPartObj>
        <w:docPartGallery w:val="Page Numbers (Bottom of Page)"/>
        <w:docPartUnique/>
      </w:docPartObj>
    </w:sdtPr>
    <w:sdtEndPr>
      <w:rPr>
        <w:noProof/>
      </w:rPr>
    </w:sdtEndPr>
    <w:sdtContent>
      <w:p w:rsidR="00B741E4" w:rsidRDefault="00F55708">
        <w:pPr>
          <w:pStyle w:val="Footer"/>
          <w:jc w:val="right"/>
        </w:pPr>
        <w:fldSimple w:instr=" PAGE   \* MERGEFORMAT ">
          <w:r w:rsidR="00181942">
            <w:rPr>
              <w:noProof/>
            </w:rPr>
            <w:t>2</w:t>
          </w:r>
        </w:fldSimple>
      </w:p>
    </w:sdtContent>
  </w:sdt>
  <w:p w:rsidR="00B741E4" w:rsidRDefault="00B74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31" w:rsidRDefault="00AB0E31" w:rsidP="00D118DD">
      <w:pPr>
        <w:spacing w:after="0"/>
      </w:pPr>
      <w:r>
        <w:separator/>
      </w:r>
    </w:p>
  </w:footnote>
  <w:footnote w:type="continuationSeparator" w:id="0">
    <w:p w:rsidR="00AB0E31" w:rsidRDefault="00AB0E31" w:rsidP="00D118DD">
      <w:pPr>
        <w:spacing w:after="0"/>
      </w:pPr>
      <w:r>
        <w:continuationSeparator/>
      </w:r>
    </w:p>
  </w:footnote>
  <w:footnote w:id="1">
    <w:p w:rsidR="00B741E4" w:rsidRDefault="00B741E4" w:rsidP="00F67AFB">
      <w:pPr>
        <w:pStyle w:val="FootnoteText"/>
        <w:spacing w:after="0"/>
        <w:ind w:firstLine="0"/>
      </w:pPr>
      <w:r>
        <w:rPr>
          <w:rStyle w:val="FootnoteReference"/>
        </w:rPr>
        <w:footnoteRef/>
      </w:r>
      <w:r>
        <w:t xml:space="preserve"> Báo cáo của Bộ Thương mại Mỹ ngày 27/8.</w:t>
      </w:r>
    </w:p>
  </w:footnote>
  <w:footnote w:id="2">
    <w:p w:rsidR="00B741E4" w:rsidRDefault="00B741E4" w:rsidP="00F67AFB">
      <w:pPr>
        <w:pStyle w:val="FootnoteText"/>
        <w:spacing w:after="0"/>
        <w:ind w:firstLine="0"/>
      </w:pPr>
      <w:r>
        <w:rPr>
          <w:rStyle w:val="FootnoteReference"/>
        </w:rPr>
        <w:footnoteRef/>
      </w:r>
      <w:r>
        <w:t xml:space="preserve"> Theo </w:t>
      </w:r>
      <w:r w:rsidRPr="00B67D2B">
        <w:rPr>
          <w:bCs/>
        </w:rPr>
        <w:t xml:space="preserve">cơ quan thống kê của Liên minh châu Âu </w:t>
      </w:r>
      <w:r>
        <w:rPr>
          <w:bCs/>
        </w:rPr>
        <w:t>công bố sơ bộ</w:t>
      </w:r>
      <w:r w:rsidRPr="00B67D2B">
        <w:rPr>
          <w:bCs/>
        </w:rPr>
        <w:t xml:space="preserve"> ngày 17/8</w:t>
      </w:r>
      <w:r>
        <w:rPr>
          <w:bCs/>
        </w:rPr>
        <w:t>.</w:t>
      </w:r>
    </w:p>
  </w:footnote>
  <w:footnote w:id="3">
    <w:p w:rsidR="00B741E4" w:rsidRDefault="00B741E4" w:rsidP="00F67AFB">
      <w:pPr>
        <w:pStyle w:val="FootnoteText"/>
        <w:spacing w:after="0"/>
        <w:ind w:firstLine="0"/>
      </w:pPr>
      <w:r>
        <w:rPr>
          <w:rStyle w:val="FootnoteReference"/>
        </w:rPr>
        <w:footnoteRef/>
      </w:r>
      <w:r>
        <w:t xml:space="preserve"> Nguồn: Tradingeconomic.</w:t>
      </w:r>
    </w:p>
  </w:footnote>
  <w:footnote w:id="4">
    <w:p w:rsidR="00B741E4" w:rsidRDefault="00B741E4" w:rsidP="00F67AFB">
      <w:pPr>
        <w:pStyle w:val="FootnoteText"/>
        <w:spacing w:after="0"/>
        <w:ind w:firstLine="0"/>
      </w:pPr>
      <w:r>
        <w:rPr>
          <w:rStyle w:val="FootnoteReference"/>
        </w:rPr>
        <w:footnoteRef/>
      </w:r>
      <w:r>
        <w:t xml:space="preserve"> Trong quý II/2015, </w:t>
      </w:r>
      <w:r w:rsidRPr="008D48D8">
        <w:t>chi tiêu cá nhân chỉ tăng 5,4%, giảm 3,4% so với mức tăng 8,8% trong quý I/2015</w:t>
      </w:r>
      <w:r w:rsidRPr="00A558FC">
        <w:t xml:space="preserve"> do áp dụng thuế tiêu dùng từ ngày 1/4/2015 khiến giá cả các mặt hàng tăng mạnh.</w:t>
      </w:r>
      <w:r>
        <w:t xml:space="preserve"> Nguồn: NHTW Malaysia.</w:t>
      </w:r>
    </w:p>
  </w:footnote>
  <w:footnote w:id="5">
    <w:p w:rsidR="00B741E4" w:rsidRDefault="00B741E4" w:rsidP="008C328E">
      <w:pPr>
        <w:pStyle w:val="FootnoteText"/>
        <w:spacing w:after="0"/>
        <w:ind w:firstLine="0"/>
      </w:pPr>
      <w:r>
        <w:rPr>
          <w:rStyle w:val="FootnoteReference"/>
        </w:rPr>
        <w:footnoteRef/>
      </w:r>
      <w:r>
        <w:t xml:space="preserve"> Theo giá chính thức, </w:t>
      </w:r>
      <w:r w:rsidRPr="00DC7D3D">
        <w:t>đồng NDT</w:t>
      </w:r>
      <w:r>
        <w:t xml:space="preserve"> mất giá</w:t>
      </w:r>
      <w:r w:rsidRPr="00DC7D3D">
        <w:t xml:space="preserve"> tới 4,84%</w:t>
      </w:r>
      <w:r>
        <w:t xml:space="preserve"> trong vòng 3 tuần qua: </w:t>
      </w:r>
      <w:r w:rsidRPr="00DC7D3D">
        <w:t xml:space="preserve">Ngày 11/8 phá giá 1,9%; ngày 12/8 phá giá 1,6%; ngày 13/8 phá giá 1,1%; ngày 14/8 tăng giá 0,05%.; ngày 25/8 </w:t>
      </w:r>
      <w:r>
        <w:t>phá</w:t>
      </w:r>
      <w:r w:rsidRPr="00DC7D3D">
        <w:t xml:space="preserve"> giá 0,2%; ngày 26/8 phá giá 0,09%.</w:t>
      </w:r>
    </w:p>
  </w:footnote>
  <w:footnote w:id="6">
    <w:p w:rsidR="00B741E4" w:rsidRDefault="00B741E4" w:rsidP="007A6DE6">
      <w:pPr>
        <w:pStyle w:val="FootnoteText"/>
        <w:spacing w:after="0"/>
        <w:ind w:firstLine="0"/>
      </w:pPr>
      <w:r>
        <w:rPr>
          <w:rStyle w:val="FootnoteReference"/>
        </w:rPr>
        <w:footnoteRef/>
      </w:r>
      <w:r>
        <w:t xml:space="preserve"> </w:t>
      </w:r>
      <w:r w:rsidRPr="007A6DE6">
        <w:rPr>
          <w:lang w:val="de-DE"/>
        </w:rPr>
        <w:t>Hàn Quốc, Đài Loan, Ấn Độ, Singapore, Phillipine, Malaysia, Thái Lan và Indonesia</w:t>
      </w:r>
    </w:p>
  </w:footnote>
  <w:footnote w:id="7">
    <w:p w:rsidR="00B741E4" w:rsidRDefault="00B741E4" w:rsidP="008C328E">
      <w:pPr>
        <w:pStyle w:val="FootnoteText"/>
        <w:spacing w:after="0"/>
        <w:ind w:firstLine="0"/>
      </w:pPr>
      <w:r>
        <w:rPr>
          <w:rStyle w:val="FootnoteReference"/>
        </w:rPr>
        <w:footnoteRef/>
      </w:r>
      <w:r>
        <w:t xml:space="preserve"> </w:t>
      </w:r>
      <w:r w:rsidRPr="00B21A5A">
        <w:t>Trung Quốc chiếm khoảng 16,5 tỷ USD - tương đương hơn một nửa số tiền vốn được rút ra khỏi các thị trường mới nổi trong năm nay.</w:t>
      </w:r>
    </w:p>
  </w:footnote>
  <w:footnote w:id="8">
    <w:p w:rsidR="00B741E4" w:rsidRDefault="00B741E4" w:rsidP="00E3720B">
      <w:pPr>
        <w:pStyle w:val="FootnoteText"/>
        <w:ind w:firstLine="0"/>
      </w:pPr>
      <w:r>
        <w:rPr>
          <w:rStyle w:val="FootnoteReference"/>
        </w:rPr>
        <w:footnoteRef/>
      </w:r>
      <w:r>
        <w:t xml:space="preserve"> Nguồn: </w:t>
      </w:r>
      <w:r w:rsidRPr="00F2519D">
        <w:t>World Bank Commodity Price Data (The Pink Sheet)</w:t>
      </w:r>
      <w:r>
        <w:t xml:space="preserve"> – Tháng 9/2015.</w:t>
      </w:r>
      <w:r w:rsidRPr="00F2519D">
        <w:tab/>
      </w:r>
      <w:r w:rsidRPr="00F2519D">
        <w:tab/>
      </w:r>
      <w:r w:rsidRPr="00F2519D">
        <w:tab/>
      </w:r>
      <w:r w:rsidRPr="00F2519D">
        <w:tab/>
      </w:r>
      <w:r w:rsidRPr="00F2519D">
        <w:tab/>
      </w:r>
    </w:p>
  </w:footnote>
  <w:footnote w:id="9">
    <w:p w:rsidR="0073590E" w:rsidRDefault="00B741E4" w:rsidP="0073590E">
      <w:pPr>
        <w:pStyle w:val="FootnoteText"/>
        <w:ind w:firstLine="0"/>
      </w:pPr>
      <w:r>
        <w:rPr>
          <w:rStyle w:val="FootnoteReference"/>
        </w:rPr>
        <w:footnoteRef/>
      </w:r>
      <w:r>
        <w:t xml:space="preserve"> </w:t>
      </w:r>
      <w:r w:rsidR="0073590E" w:rsidRPr="0073590E">
        <w:rPr>
          <w:i/>
        </w:rPr>
        <w:t>Nguồn</w:t>
      </w:r>
      <w:r>
        <w:t>: World Economic Outlook Database (IMF).</w:t>
      </w:r>
    </w:p>
  </w:footnote>
  <w:footnote w:id="10">
    <w:p w:rsidR="00B741E4" w:rsidRDefault="00B741E4" w:rsidP="009B5E08">
      <w:pPr>
        <w:pStyle w:val="FootnoteText"/>
        <w:spacing w:after="0"/>
        <w:ind w:firstLine="0"/>
      </w:pPr>
      <w:r>
        <w:rPr>
          <w:rStyle w:val="FootnoteReference"/>
        </w:rPr>
        <w:footnoteRef/>
      </w:r>
      <w:r>
        <w:t xml:space="preserve"> Thái Lan, Malaysia, Indonesia, Philippine và Singgapore.</w:t>
      </w:r>
    </w:p>
  </w:footnote>
  <w:footnote w:id="11">
    <w:p w:rsidR="00B741E4" w:rsidRPr="00FE5FED" w:rsidRDefault="00B741E4" w:rsidP="00853D1D">
      <w:pPr>
        <w:pStyle w:val="FootnoteText"/>
        <w:ind w:firstLine="0"/>
      </w:pPr>
      <w:r w:rsidRPr="00FE5FED">
        <w:rPr>
          <w:rStyle w:val="FootnoteReference"/>
        </w:rPr>
        <w:footnoteRef/>
      </w:r>
      <w:r w:rsidRPr="00FE5FED">
        <w:t xml:space="preserve"> </w:t>
      </w:r>
      <w:r>
        <w:t>Đánh giá mức độ rủi ro của việc nắm giữ TPCP Việt Nam.</w:t>
      </w:r>
    </w:p>
  </w:footnote>
  <w:footnote w:id="12">
    <w:p w:rsidR="00B741E4" w:rsidRPr="003212A2" w:rsidRDefault="00B741E4" w:rsidP="00A603CD">
      <w:pPr>
        <w:pStyle w:val="FootnoteText"/>
        <w:spacing w:after="0"/>
        <w:ind w:firstLine="0"/>
        <w:rPr>
          <w:lang w:val="vi-VN"/>
        </w:rPr>
      </w:pPr>
      <w:r w:rsidRPr="003212A2">
        <w:rPr>
          <w:rStyle w:val="FootnoteReference"/>
        </w:rPr>
        <w:footnoteRef/>
      </w:r>
      <w:r w:rsidRPr="003212A2">
        <w:rPr>
          <w:lang w:val="vi-VN"/>
        </w:rPr>
        <w:t xml:space="preserve"> Số liệu bao gồm TPCP kỳ hạ</w:t>
      </w:r>
      <w:r>
        <w:rPr>
          <w:lang w:val="vi-VN"/>
        </w:rPr>
        <w:t>n 5 năm</w:t>
      </w:r>
      <w:r w:rsidRPr="003212A2">
        <w:rPr>
          <w:lang w:val="vi-VN"/>
        </w:rPr>
        <w:t>, 10 năm, 15 năm đấu thầu qua Kho bạc Nhà nước.</w:t>
      </w:r>
    </w:p>
  </w:footnote>
  <w:footnote w:id="13">
    <w:p w:rsidR="00B741E4" w:rsidRPr="00363C52" w:rsidRDefault="00B741E4" w:rsidP="00A603CD">
      <w:pPr>
        <w:pStyle w:val="FootnoteText"/>
        <w:spacing w:after="0"/>
        <w:ind w:firstLine="0"/>
        <w:rPr>
          <w:lang w:val="vi-VN"/>
        </w:rPr>
      </w:pPr>
      <w:r w:rsidRPr="00363C52">
        <w:rPr>
          <w:rStyle w:val="FootnoteReference"/>
        </w:rPr>
        <w:footnoteRef/>
      </w:r>
      <w:r w:rsidRPr="00363C52">
        <w:rPr>
          <w:shd w:val="clear" w:color="auto" w:fill="FFFFFF"/>
          <w:lang w:val="vi-VN"/>
        </w:rPr>
        <w:t xml:space="preserve">Kỳ hạn phát hành bình quân </w:t>
      </w:r>
      <w:r w:rsidRPr="00DD10FC">
        <w:rPr>
          <w:shd w:val="clear" w:color="auto" w:fill="FFFFFF"/>
          <w:lang w:val="vi-VN"/>
        </w:rPr>
        <w:t>TPCP</w:t>
      </w:r>
      <w:r w:rsidRPr="00363C52">
        <w:rPr>
          <w:shd w:val="clear" w:color="auto" w:fill="FFFFFF"/>
          <w:lang w:val="vi-VN"/>
        </w:rPr>
        <w:t xml:space="preserve"> năm 2014 là 4,95 năm, năm 2013 là 3,21 năm; năm 2012 là 2,97 năm. </w:t>
      </w:r>
    </w:p>
  </w:footnote>
  <w:footnote w:id="14">
    <w:p w:rsidR="00B741E4" w:rsidRPr="001C1E9E" w:rsidRDefault="00B741E4" w:rsidP="00A603CD">
      <w:pPr>
        <w:pStyle w:val="FootnoteText"/>
        <w:spacing w:after="0"/>
        <w:ind w:firstLine="0"/>
        <w:rPr>
          <w:lang w:val="vi-VN"/>
        </w:rPr>
      </w:pPr>
      <w:r w:rsidRPr="00236EFB">
        <w:rPr>
          <w:rStyle w:val="FootnoteReference"/>
        </w:rPr>
        <w:footnoteRef/>
      </w:r>
      <w:r>
        <w:rPr>
          <w:lang w:val="vi-VN"/>
        </w:rPr>
        <w:t xml:space="preserve"> IMF</w:t>
      </w:r>
      <w:r w:rsidR="0073590E" w:rsidRPr="0073590E">
        <w:rPr>
          <w:lang w:val="vi-VN"/>
        </w:rPr>
        <w:t xml:space="preserve"> (tại </w:t>
      </w:r>
      <w:r w:rsidR="0073590E" w:rsidRPr="0073590E">
        <w:rPr>
          <w:i/>
          <w:lang w:val="vi-VN"/>
        </w:rPr>
        <w:t>Báo cáo Tăng trưởng kinh tế toàn cầu tháng 7/2015</w:t>
      </w:r>
      <w:r w:rsidR="0073590E" w:rsidRPr="0073590E">
        <w:rPr>
          <w:lang w:val="vi-VN"/>
        </w:rPr>
        <w:t>)</w:t>
      </w:r>
      <w:r w:rsidRPr="00F062AA">
        <w:rPr>
          <w:lang w:val="vi-VN"/>
        </w:rPr>
        <w:t xml:space="preserve"> dự báo tăng trưởng </w:t>
      </w:r>
      <w:r w:rsidR="0073590E" w:rsidRPr="0073590E">
        <w:rPr>
          <w:lang w:val="vi-VN"/>
        </w:rPr>
        <w:t>kinh tế thế giới tăng từ 3,3% (2015) lên</w:t>
      </w:r>
      <w:r w:rsidRPr="00F062AA">
        <w:rPr>
          <w:lang w:val="vi-VN"/>
        </w:rPr>
        <w:t xml:space="preserve"> 3,8% </w:t>
      </w:r>
      <w:r w:rsidR="0073590E" w:rsidRPr="0073590E">
        <w:rPr>
          <w:lang w:val="vi-VN"/>
        </w:rPr>
        <w:t xml:space="preserve">(2016), </w:t>
      </w:r>
      <w:r w:rsidRPr="001C1E9E">
        <w:rPr>
          <w:lang w:val="vi-VN"/>
        </w:rPr>
        <w:t xml:space="preserve">OECD dự báo tăng </w:t>
      </w:r>
      <w:r w:rsidR="0073590E" w:rsidRPr="0073590E">
        <w:rPr>
          <w:lang w:val="vi-VN"/>
        </w:rPr>
        <w:t xml:space="preserve">từ 3% lên </w:t>
      </w:r>
      <w:r w:rsidRPr="001C1E9E">
        <w:rPr>
          <w:lang w:val="vi-VN"/>
        </w:rPr>
        <w:t xml:space="preserve">3,6%. </w:t>
      </w:r>
    </w:p>
  </w:footnote>
  <w:footnote w:id="15">
    <w:p w:rsidR="00B741E4" w:rsidRPr="00671327" w:rsidRDefault="00B741E4" w:rsidP="00A603CD">
      <w:pPr>
        <w:pStyle w:val="FootnoteText"/>
        <w:spacing w:after="0"/>
        <w:ind w:firstLine="0"/>
        <w:rPr>
          <w:lang w:val="vi-VN"/>
        </w:rPr>
      </w:pPr>
      <w:r w:rsidRPr="00236EFB">
        <w:rPr>
          <w:rStyle w:val="FootnoteReference"/>
        </w:rPr>
        <w:footnoteRef/>
      </w:r>
      <w:r w:rsidRPr="00236EFB">
        <w:rPr>
          <w:lang w:val="vi-VN"/>
        </w:rPr>
        <w:t xml:space="preserve"> </w:t>
      </w:r>
      <w:r w:rsidR="0073590E" w:rsidRPr="0073590E">
        <w:rPr>
          <w:lang w:val="vi-VN"/>
        </w:rPr>
        <w:t>WB (tại Báo cáo Triển vọng thị trường Markets Outlook tháng 4/2015) dự báo  Giá đa số các mặt hàng tăng trong năm 2016 trong đó: năng lượng tăng 6,9%; nông nghiệp tăng 0,9%, nguyên liệu thô tăng 2,4%, dầu thô tăng 7,5%.</w:t>
      </w:r>
    </w:p>
  </w:footnote>
  <w:footnote w:id="16">
    <w:p w:rsidR="00B741E4" w:rsidRPr="00671327" w:rsidRDefault="00B741E4" w:rsidP="00A603CD">
      <w:pPr>
        <w:pStyle w:val="FootnoteText"/>
        <w:spacing w:after="0"/>
        <w:ind w:firstLine="0"/>
        <w:rPr>
          <w:lang w:val="vi-VN"/>
        </w:rPr>
      </w:pPr>
      <w:r w:rsidRPr="00236EFB">
        <w:rPr>
          <w:rStyle w:val="FootnoteReference"/>
        </w:rPr>
        <w:footnoteRef/>
      </w:r>
      <w:r w:rsidR="0073590E" w:rsidRPr="0073590E">
        <w:rPr>
          <w:lang w:val="vi-VN"/>
        </w:rPr>
        <w:t xml:space="preserve"> Các hiệp định thương mại có hiệu lực trong năm 2016 bao gồm: hiệp định thương mại Việt Nam – Hàn Quốc; </w:t>
      </w:r>
      <w:r w:rsidR="0073590E" w:rsidRPr="0073590E">
        <w:rPr>
          <w:color w:val="000000"/>
          <w:sz w:val="19"/>
          <w:szCs w:val="19"/>
          <w:shd w:val="clear" w:color="auto" w:fill="FFFFFF"/>
          <w:lang w:val="vi-VN"/>
        </w:rPr>
        <w:t>Hiệp định thương mại tự do (FTA) Việt Nam – EAEU</w:t>
      </w:r>
      <w:r w:rsidR="0073590E" w:rsidRPr="0073590E">
        <w:rPr>
          <w:rStyle w:val="apple-converted-space"/>
          <w:color w:val="000000"/>
          <w:sz w:val="19"/>
          <w:szCs w:val="19"/>
          <w:shd w:val="clear" w:color="auto" w:fill="FFFFFF"/>
          <w:lang w:val="vi-VN"/>
        </w:rPr>
        <w:t> (liên minh kinh tế Á – Âu).</w:t>
      </w:r>
    </w:p>
  </w:footnote>
  <w:footnote w:id="17">
    <w:p w:rsidR="00B741E4" w:rsidRPr="00ED3ACB" w:rsidRDefault="00B741E4" w:rsidP="00A603CD">
      <w:pPr>
        <w:pStyle w:val="FootnoteText"/>
        <w:spacing w:after="0"/>
        <w:ind w:firstLine="0"/>
        <w:rPr>
          <w:lang w:val="vi-VN"/>
        </w:rPr>
      </w:pPr>
      <w:r w:rsidRPr="00925F91">
        <w:rPr>
          <w:rStyle w:val="FootnoteReference"/>
        </w:rPr>
        <w:footnoteRef/>
      </w:r>
      <w:r w:rsidRPr="00ED3ACB">
        <w:rPr>
          <w:lang w:val="vi-VN"/>
        </w:rPr>
        <w:t xml:space="preserve"> </w:t>
      </w:r>
      <w:r w:rsidRPr="00ED3ACB">
        <w:rPr>
          <w:i/>
          <w:lang w:val="vi-VN"/>
        </w:rPr>
        <w:t>Nguồn</w:t>
      </w:r>
      <w:r w:rsidRPr="00ED3ACB">
        <w:rPr>
          <w:lang w:val="vi-VN"/>
        </w:rPr>
        <w:t>: Tổng cục thống kê.</w:t>
      </w:r>
    </w:p>
  </w:footnote>
  <w:footnote w:id="18">
    <w:p w:rsidR="00B741E4" w:rsidRPr="000D126F" w:rsidRDefault="00B741E4" w:rsidP="00A603CD">
      <w:pPr>
        <w:pStyle w:val="FootnoteText"/>
        <w:spacing w:after="0"/>
        <w:ind w:firstLine="0"/>
        <w:rPr>
          <w:lang w:val="vi-VN"/>
        </w:rPr>
      </w:pPr>
      <w:r w:rsidRPr="000D126F">
        <w:rPr>
          <w:rStyle w:val="FootnoteReference"/>
        </w:rPr>
        <w:footnoteRef/>
      </w:r>
      <w:r w:rsidRPr="000D126F">
        <w:rPr>
          <w:lang w:val="vi-VN"/>
        </w:rPr>
        <w:t xml:space="preserve"> Hiện nay Việt Nam đang tham gia 15 hiệp định thương mại tự do (FTA); trong đó có 10 hiệp định đã ký và 5 hiệp định đang đàm phán. Trong 10 FTA đã ký thì có 8 FTA đã có hiệu lực đang thực hiện, 2 FTA chưa có hiệu lực.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170"/>
    <w:multiLevelType w:val="hybridMultilevel"/>
    <w:tmpl w:val="4A14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37605"/>
    <w:multiLevelType w:val="hybridMultilevel"/>
    <w:tmpl w:val="EC566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DD3550"/>
    <w:multiLevelType w:val="hybridMultilevel"/>
    <w:tmpl w:val="0D142556"/>
    <w:lvl w:ilvl="0" w:tplc="EC6EEADE">
      <w:start w:val="3"/>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
    <w:nsid w:val="07E51CC3"/>
    <w:multiLevelType w:val="hybridMultilevel"/>
    <w:tmpl w:val="596E53DA"/>
    <w:lvl w:ilvl="0" w:tplc="773833EC">
      <w:start w:val="10"/>
      <w:numFmt w:val="bullet"/>
      <w:lvlText w:val="-"/>
      <w:lvlJc w:val="left"/>
      <w:pPr>
        <w:ind w:left="1242" w:hanging="360"/>
      </w:pPr>
      <w:rPr>
        <w:rFonts w:ascii="Calibri" w:eastAsia="Calibri" w:hAnsi="Calibri" w:cs="Calibri" w:hint="default"/>
      </w:rPr>
    </w:lvl>
    <w:lvl w:ilvl="1" w:tplc="04090001">
      <w:start w:val="1"/>
      <w:numFmt w:val="bullet"/>
      <w:lvlText w:val=""/>
      <w:lvlJc w:val="left"/>
      <w:pPr>
        <w:ind w:left="1962" w:hanging="360"/>
      </w:pPr>
      <w:rPr>
        <w:rFonts w:ascii="Symbol" w:hAnsi="Symbol"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nsid w:val="0B9D4565"/>
    <w:multiLevelType w:val="hybridMultilevel"/>
    <w:tmpl w:val="F0EE9F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33643"/>
    <w:multiLevelType w:val="hybridMultilevel"/>
    <w:tmpl w:val="59543E2A"/>
    <w:lvl w:ilvl="0" w:tplc="B8FC375E">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B21F65"/>
    <w:multiLevelType w:val="hybridMultilevel"/>
    <w:tmpl w:val="16FAB97E"/>
    <w:lvl w:ilvl="0" w:tplc="6A42E8A8">
      <w:start w:val="1"/>
      <w:numFmt w:val="bullet"/>
      <w:lvlText w:val="-"/>
      <w:lvlJc w:val="left"/>
      <w:pPr>
        <w:ind w:left="1242" w:hanging="360"/>
      </w:pPr>
      <w:rPr>
        <w:rFonts w:ascii="Courier New" w:hAnsi="Courier New" w:hint="default"/>
      </w:rPr>
    </w:lvl>
    <w:lvl w:ilvl="1" w:tplc="04090003">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9094777"/>
    <w:multiLevelType w:val="hybridMultilevel"/>
    <w:tmpl w:val="B916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69334B"/>
    <w:multiLevelType w:val="multilevel"/>
    <w:tmpl w:val="61BE2572"/>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5606D9"/>
    <w:multiLevelType w:val="hybridMultilevel"/>
    <w:tmpl w:val="3A36B124"/>
    <w:lvl w:ilvl="0" w:tplc="EFC295D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BA712E5"/>
    <w:multiLevelType w:val="hybridMultilevel"/>
    <w:tmpl w:val="1BDE8436"/>
    <w:lvl w:ilvl="0" w:tplc="773833EC">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8404DF"/>
    <w:multiLevelType w:val="hybridMultilevel"/>
    <w:tmpl w:val="AC9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A763903"/>
    <w:multiLevelType w:val="hybridMultilevel"/>
    <w:tmpl w:val="B502B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7348D"/>
    <w:multiLevelType w:val="hybridMultilevel"/>
    <w:tmpl w:val="1CDEE584"/>
    <w:lvl w:ilvl="0" w:tplc="D232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13422"/>
    <w:multiLevelType w:val="hybridMultilevel"/>
    <w:tmpl w:val="825A2246"/>
    <w:lvl w:ilvl="0" w:tplc="A70AC8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DA360BB"/>
    <w:multiLevelType w:val="hybridMultilevel"/>
    <w:tmpl w:val="84BA3D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08F7A12"/>
    <w:multiLevelType w:val="hybridMultilevel"/>
    <w:tmpl w:val="CF988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94074"/>
    <w:multiLevelType w:val="hybridMultilevel"/>
    <w:tmpl w:val="B726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A66812"/>
    <w:multiLevelType w:val="hybridMultilevel"/>
    <w:tmpl w:val="7622875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79B02AB6"/>
    <w:multiLevelType w:val="hybridMultilevel"/>
    <w:tmpl w:val="90EC343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9">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C911F1E"/>
    <w:multiLevelType w:val="multilevel"/>
    <w:tmpl w:val="88500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16"/>
  </w:num>
  <w:num w:numId="2">
    <w:abstractNumId w:val="7"/>
  </w:num>
  <w:num w:numId="3">
    <w:abstractNumId w:val="18"/>
  </w:num>
  <w:num w:numId="4">
    <w:abstractNumId w:val="22"/>
  </w:num>
  <w:num w:numId="5">
    <w:abstractNumId w:val="2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5"/>
  </w:num>
  <w:num w:numId="10">
    <w:abstractNumId w:val="12"/>
  </w:num>
  <w:num w:numId="11">
    <w:abstractNumId w:val="31"/>
  </w:num>
  <w:num w:numId="12">
    <w:abstractNumId w:val="20"/>
  </w:num>
  <w:num w:numId="13">
    <w:abstractNumId w:val="25"/>
  </w:num>
  <w:num w:numId="14">
    <w:abstractNumId w:val="23"/>
  </w:num>
  <w:num w:numId="15">
    <w:abstractNumId w:val="17"/>
  </w:num>
  <w:num w:numId="16">
    <w:abstractNumId w:val="11"/>
  </w:num>
  <w:num w:numId="17">
    <w:abstractNumId w:val="26"/>
  </w:num>
  <w:num w:numId="18">
    <w:abstractNumId w:val="0"/>
  </w:num>
  <w:num w:numId="19">
    <w:abstractNumId w:val="10"/>
  </w:num>
  <w:num w:numId="20">
    <w:abstractNumId w:val="9"/>
  </w:num>
  <w:num w:numId="21">
    <w:abstractNumId w:val="3"/>
  </w:num>
  <w:num w:numId="22">
    <w:abstractNumId w:val="21"/>
  </w:num>
  <w:num w:numId="23">
    <w:abstractNumId w:val="8"/>
  </w:num>
  <w:num w:numId="24">
    <w:abstractNumId w:val="28"/>
  </w:num>
  <w:num w:numId="25">
    <w:abstractNumId w:val="15"/>
  </w:num>
  <w:num w:numId="26">
    <w:abstractNumId w:val="2"/>
  </w:num>
  <w:num w:numId="27">
    <w:abstractNumId w:val="4"/>
  </w:num>
  <w:num w:numId="28">
    <w:abstractNumId w:val="14"/>
  </w:num>
  <w:num w:numId="29">
    <w:abstractNumId w:val="6"/>
  </w:num>
  <w:num w:numId="30">
    <w:abstractNumId w:val="27"/>
  </w:num>
  <w:num w:numId="31">
    <w:abstractNumId w:val="1"/>
  </w:num>
  <w:num w:numId="32">
    <w:abstractNumId w:val="30"/>
  </w:num>
  <w:num w:numId="33">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3568A8"/>
    <w:rsid w:val="0000024B"/>
    <w:rsid w:val="0000033C"/>
    <w:rsid w:val="00001412"/>
    <w:rsid w:val="00002F77"/>
    <w:rsid w:val="00005E87"/>
    <w:rsid w:val="00007C23"/>
    <w:rsid w:val="000224EE"/>
    <w:rsid w:val="000249A6"/>
    <w:rsid w:val="0002600D"/>
    <w:rsid w:val="00031C72"/>
    <w:rsid w:val="00032512"/>
    <w:rsid w:val="00033F45"/>
    <w:rsid w:val="00034EBE"/>
    <w:rsid w:val="00035687"/>
    <w:rsid w:val="00037335"/>
    <w:rsid w:val="00037E92"/>
    <w:rsid w:val="000407D7"/>
    <w:rsid w:val="00052186"/>
    <w:rsid w:val="000538CB"/>
    <w:rsid w:val="000548E2"/>
    <w:rsid w:val="0005492F"/>
    <w:rsid w:val="00055235"/>
    <w:rsid w:val="00056602"/>
    <w:rsid w:val="00062ABC"/>
    <w:rsid w:val="00063004"/>
    <w:rsid w:val="000637A6"/>
    <w:rsid w:val="00065C96"/>
    <w:rsid w:val="00070EEC"/>
    <w:rsid w:val="000719D9"/>
    <w:rsid w:val="000736C6"/>
    <w:rsid w:val="00086600"/>
    <w:rsid w:val="000869A0"/>
    <w:rsid w:val="00090AB5"/>
    <w:rsid w:val="000925E8"/>
    <w:rsid w:val="00094B26"/>
    <w:rsid w:val="00094FF4"/>
    <w:rsid w:val="00097AF5"/>
    <w:rsid w:val="000A0BE5"/>
    <w:rsid w:val="000A128B"/>
    <w:rsid w:val="000A14B5"/>
    <w:rsid w:val="000A1E64"/>
    <w:rsid w:val="000A28B1"/>
    <w:rsid w:val="000A3176"/>
    <w:rsid w:val="000A75FB"/>
    <w:rsid w:val="000B04BB"/>
    <w:rsid w:val="000B1CE1"/>
    <w:rsid w:val="000B2C62"/>
    <w:rsid w:val="000B4126"/>
    <w:rsid w:val="000B7767"/>
    <w:rsid w:val="000B79D7"/>
    <w:rsid w:val="000C1A39"/>
    <w:rsid w:val="000C3CF8"/>
    <w:rsid w:val="000C42F1"/>
    <w:rsid w:val="000C4973"/>
    <w:rsid w:val="000D0FDC"/>
    <w:rsid w:val="000D25AC"/>
    <w:rsid w:val="000D30BA"/>
    <w:rsid w:val="000D7742"/>
    <w:rsid w:val="000E07D8"/>
    <w:rsid w:val="000E5231"/>
    <w:rsid w:val="000E5F9F"/>
    <w:rsid w:val="000F05F6"/>
    <w:rsid w:val="000F3EAE"/>
    <w:rsid w:val="000F410A"/>
    <w:rsid w:val="000F72F5"/>
    <w:rsid w:val="00100273"/>
    <w:rsid w:val="00101003"/>
    <w:rsid w:val="0010140C"/>
    <w:rsid w:val="00101CF5"/>
    <w:rsid w:val="00102A6F"/>
    <w:rsid w:val="001054A8"/>
    <w:rsid w:val="00106FC0"/>
    <w:rsid w:val="00110E5A"/>
    <w:rsid w:val="00111984"/>
    <w:rsid w:val="00111DDC"/>
    <w:rsid w:val="0011247E"/>
    <w:rsid w:val="001147E5"/>
    <w:rsid w:val="00115FBB"/>
    <w:rsid w:val="001246CF"/>
    <w:rsid w:val="001252E6"/>
    <w:rsid w:val="001259AF"/>
    <w:rsid w:val="001276F4"/>
    <w:rsid w:val="0013143E"/>
    <w:rsid w:val="00134926"/>
    <w:rsid w:val="00135818"/>
    <w:rsid w:val="00141D44"/>
    <w:rsid w:val="0014213A"/>
    <w:rsid w:val="001462B2"/>
    <w:rsid w:val="00146641"/>
    <w:rsid w:val="0014761C"/>
    <w:rsid w:val="00147E23"/>
    <w:rsid w:val="001614CB"/>
    <w:rsid w:val="001649AF"/>
    <w:rsid w:val="00171CC5"/>
    <w:rsid w:val="00173BB2"/>
    <w:rsid w:val="00173D20"/>
    <w:rsid w:val="00175957"/>
    <w:rsid w:val="00175B0C"/>
    <w:rsid w:val="001761BB"/>
    <w:rsid w:val="00176441"/>
    <w:rsid w:val="00177A78"/>
    <w:rsid w:val="00180502"/>
    <w:rsid w:val="001805BC"/>
    <w:rsid w:val="0018161F"/>
    <w:rsid w:val="00181942"/>
    <w:rsid w:val="001845CB"/>
    <w:rsid w:val="00190977"/>
    <w:rsid w:val="00192970"/>
    <w:rsid w:val="00193CBE"/>
    <w:rsid w:val="001941BA"/>
    <w:rsid w:val="00196EF9"/>
    <w:rsid w:val="001979A1"/>
    <w:rsid w:val="001A0C18"/>
    <w:rsid w:val="001A3336"/>
    <w:rsid w:val="001A6068"/>
    <w:rsid w:val="001A76D3"/>
    <w:rsid w:val="001B0515"/>
    <w:rsid w:val="001B1A80"/>
    <w:rsid w:val="001B28A5"/>
    <w:rsid w:val="001B7938"/>
    <w:rsid w:val="001C0371"/>
    <w:rsid w:val="001C1E9E"/>
    <w:rsid w:val="001C6854"/>
    <w:rsid w:val="001C72BD"/>
    <w:rsid w:val="001D024C"/>
    <w:rsid w:val="001D0788"/>
    <w:rsid w:val="001D18CD"/>
    <w:rsid w:val="001D2545"/>
    <w:rsid w:val="001E0EA6"/>
    <w:rsid w:val="001E16D6"/>
    <w:rsid w:val="001E29D5"/>
    <w:rsid w:val="001E2BF7"/>
    <w:rsid w:val="001E3DAE"/>
    <w:rsid w:val="001E71E4"/>
    <w:rsid w:val="001F0601"/>
    <w:rsid w:val="001F5975"/>
    <w:rsid w:val="001F5D90"/>
    <w:rsid w:val="001F61B2"/>
    <w:rsid w:val="001F728D"/>
    <w:rsid w:val="00201875"/>
    <w:rsid w:val="00202350"/>
    <w:rsid w:val="00202463"/>
    <w:rsid w:val="00204B48"/>
    <w:rsid w:val="00204E3E"/>
    <w:rsid w:val="00213CFA"/>
    <w:rsid w:val="00214077"/>
    <w:rsid w:val="0021468C"/>
    <w:rsid w:val="002259C1"/>
    <w:rsid w:val="00225D35"/>
    <w:rsid w:val="00226419"/>
    <w:rsid w:val="00231056"/>
    <w:rsid w:val="00231175"/>
    <w:rsid w:val="002322A2"/>
    <w:rsid w:val="002337D5"/>
    <w:rsid w:val="002341B2"/>
    <w:rsid w:val="002363AA"/>
    <w:rsid w:val="00236A55"/>
    <w:rsid w:val="00237E19"/>
    <w:rsid w:val="00241E0A"/>
    <w:rsid w:val="00242345"/>
    <w:rsid w:val="002428CA"/>
    <w:rsid w:val="002430E3"/>
    <w:rsid w:val="00244725"/>
    <w:rsid w:val="002447B4"/>
    <w:rsid w:val="00247882"/>
    <w:rsid w:val="002527DC"/>
    <w:rsid w:val="0025372E"/>
    <w:rsid w:val="002564C5"/>
    <w:rsid w:val="002613A6"/>
    <w:rsid w:val="00261D75"/>
    <w:rsid w:val="002733EC"/>
    <w:rsid w:val="002735A9"/>
    <w:rsid w:val="00276122"/>
    <w:rsid w:val="00282066"/>
    <w:rsid w:val="00282397"/>
    <w:rsid w:val="00285EE2"/>
    <w:rsid w:val="00286BD3"/>
    <w:rsid w:val="00287750"/>
    <w:rsid w:val="00290FEB"/>
    <w:rsid w:val="00291563"/>
    <w:rsid w:val="00294981"/>
    <w:rsid w:val="002955C3"/>
    <w:rsid w:val="002970CD"/>
    <w:rsid w:val="00297C61"/>
    <w:rsid w:val="002A3B02"/>
    <w:rsid w:val="002A476C"/>
    <w:rsid w:val="002A5418"/>
    <w:rsid w:val="002A7F2E"/>
    <w:rsid w:val="002B08DB"/>
    <w:rsid w:val="002B0E5E"/>
    <w:rsid w:val="002B0EAB"/>
    <w:rsid w:val="002B2EDB"/>
    <w:rsid w:val="002C4D15"/>
    <w:rsid w:val="002C536B"/>
    <w:rsid w:val="002C63CA"/>
    <w:rsid w:val="002C6F28"/>
    <w:rsid w:val="002D08B7"/>
    <w:rsid w:val="002D367E"/>
    <w:rsid w:val="002D4218"/>
    <w:rsid w:val="002D4642"/>
    <w:rsid w:val="002E0C42"/>
    <w:rsid w:val="002E1377"/>
    <w:rsid w:val="002E4615"/>
    <w:rsid w:val="002E73FE"/>
    <w:rsid w:val="002F35C7"/>
    <w:rsid w:val="002F60EC"/>
    <w:rsid w:val="0030243F"/>
    <w:rsid w:val="00305819"/>
    <w:rsid w:val="003059FB"/>
    <w:rsid w:val="00307583"/>
    <w:rsid w:val="00310281"/>
    <w:rsid w:val="00310C89"/>
    <w:rsid w:val="0031129B"/>
    <w:rsid w:val="00312C9C"/>
    <w:rsid w:val="00313B5B"/>
    <w:rsid w:val="00314962"/>
    <w:rsid w:val="00317B09"/>
    <w:rsid w:val="0032464F"/>
    <w:rsid w:val="003246E9"/>
    <w:rsid w:val="00325466"/>
    <w:rsid w:val="003266B2"/>
    <w:rsid w:val="00326CE4"/>
    <w:rsid w:val="003354E8"/>
    <w:rsid w:val="0033590E"/>
    <w:rsid w:val="00336F0A"/>
    <w:rsid w:val="003415EF"/>
    <w:rsid w:val="003415F7"/>
    <w:rsid w:val="00342980"/>
    <w:rsid w:val="00343B4B"/>
    <w:rsid w:val="00344679"/>
    <w:rsid w:val="00346F4E"/>
    <w:rsid w:val="00350EEB"/>
    <w:rsid w:val="00355ACD"/>
    <w:rsid w:val="003568A8"/>
    <w:rsid w:val="00360A64"/>
    <w:rsid w:val="00360B7B"/>
    <w:rsid w:val="00366846"/>
    <w:rsid w:val="00366AB3"/>
    <w:rsid w:val="00377D70"/>
    <w:rsid w:val="0038143F"/>
    <w:rsid w:val="00381651"/>
    <w:rsid w:val="00384661"/>
    <w:rsid w:val="00386E01"/>
    <w:rsid w:val="00390388"/>
    <w:rsid w:val="00391162"/>
    <w:rsid w:val="003915F0"/>
    <w:rsid w:val="00391B29"/>
    <w:rsid w:val="003937B1"/>
    <w:rsid w:val="00395646"/>
    <w:rsid w:val="003A0BC1"/>
    <w:rsid w:val="003A215B"/>
    <w:rsid w:val="003A3D24"/>
    <w:rsid w:val="003A420F"/>
    <w:rsid w:val="003A4632"/>
    <w:rsid w:val="003A6D98"/>
    <w:rsid w:val="003B048A"/>
    <w:rsid w:val="003B0C2A"/>
    <w:rsid w:val="003B3BFE"/>
    <w:rsid w:val="003B3C43"/>
    <w:rsid w:val="003B3D88"/>
    <w:rsid w:val="003B6BA9"/>
    <w:rsid w:val="003B7C4C"/>
    <w:rsid w:val="003C12DF"/>
    <w:rsid w:val="003C1625"/>
    <w:rsid w:val="003C34D8"/>
    <w:rsid w:val="003C6A74"/>
    <w:rsid w:val="003C7685"/>
    <w:rsid w:val="003D1B2E"/>
    <w:rsid w:val="003D5437"/>
    <w:rsid w:val="003D6CE7"/>
    <w:rsid w:val="003E3BFB"/>
    <w:rsid w:val="003E3D0D"/>
    <w:rsid w:val="003E49CF"/>
    <w:rsid w:val="003F21EA"/>
    <w:rsid w:val="003F2951"/>
    <w:rsid w:val="003F71B7"/>
    <w:rsid w:val="003F7929"/>
    <w:rsid w:val="004016E4"/>
    <w:rsid w:val="00404E08"/>
    <w:rsid w:val="004141B8"/>
    <w:rsid w:val="00416374"/>
    <w:rsid w:val="00416A46"/>
    <w:rsid w:val="0042069B"/>
    <w:rsid w:val="00421929"/>
    <w:rsid w:val="00421A94"/>
    <w:rsid w:val="00426DD0"/>
    <w:rsid w:val="004319BD"/>
    <w:rsid w:val="00431E26"/>
    <w:rsid w:val="0043252D"/>
    <w:rsid w:val="004349B4"/>
    <w:rsid w:val="0043558E"/>
    <w:rsid w:val="004356F1"/>
    <w:rsid w:val="00436415"/>
    <w:rsid w:val="00447347"/>
    <w:rsid w:val="00450424"/>
    <w:rsid w:val="004519A0"/>
    <w:rsid w:val="00452C74"/>
    <w:rsid w:val="00454ADF"/>
    <w:rsid w:val="00455E76"/>
    <w:rsid w:val="00456231"/>
    <w:rsid w:val="00461118"/>
    <w:rsid w:val="00462DB6"/>
    <w:rsid w:val="00463AAD"/>
    <w:rsid w:val="00464F00"/>
    <w:rsid w:val="00465315"/>
    <w:rsid w:val="004657E1"/>
    <w:rsid w:val="00465A87"/>
    <w:rsid w:val="00465DEA"/>
    <w:rsid w:val="0046639B"/>
    <w:rsid w:val="00481069"/>
    <w:rsid w:val="00487FDD"/>
    <w:rsid w:val="00491047"/>
    <w:rsid w:val="00491FA3"/>
    <w:rsid w:val="004949A7"/>
    <w:rsid w:val="00495AC7"/>
    <w:rsid w:val="004978C4"/>
    <w:rsid w:val="004A100C"/>
    <w:rsid w:val="004A1EAF"/>
    <w:rsid w:val="004A3C3F"/>
    <w:rsid w:val="004A4006"/>
    <w:rsid w:val="004A7B00"/>
    <w:rsid w:val="004B163F"/>
    <w:rsid w:val="004B3623"/>
    <w:rsid w:val="004B4900"/>
    <w:rsid w:val="004B5889"/>
    <w:rsid w:val="004C5E33"/>
    <w:rsid w:val="004D1DC3"/>
    <w:rsid w:val="004D2074"/>
    <w:rsid w:val="004D40F8"/>
    <w:rsid w:val="004D73AA"/>
    <w:rsid w:val="004D7A81"/>
    <w:rsid w:val="004D7BFF"/>
    <w:rsid w:val="004E04B8"/>
    <w:rsid w:val="004E0DC9"/>
    <w:rsid w:val="004E3275"/>
    <w:rsid w:val="004E42C0"/>
    <w:rsid w:val="004E4EAD"/>
    <w:rsid w:val="004E5C8B"/>
    <w:rsid w:val="004F3B68"/>
    <w:rsid w:val="004F56DE"/>
    <w:rsid w:val="004F6476"/>
    <w:rsid w:val="004F6D6C"/>
    <w:rsid w:val="00500AB3"/>
    <w:rsid w:val="005030AE"/>
    <w:rsid w:val="005042F7"/>
    <w:rsid w:val="00505DE0"/>
    <w:rsid w:val="00507A44"/>
    <w:rsid w:val="0051012B"/>
    <w:rsid w:val="005113BB"/>
    <w:rsid w:val="00511547"/>
    <w:rsid w:val="00512F47"/>
    <w:rsid w:val="00524517"/>
    <w:rsid w:val="00530746"/>
    <w:rsid w:val="00530E0F"/>
    <w:rsid w:val="00532592"/>
    <w:rsid w:val="00532AF5"/>
    <w:rsid w:val="00532B73"/>
    <w:rsid w:val="00533D6C"/>
    <w:rsid w:val="00537637"/>
    <w:rsid w:val="00542C8A"/>
    <w:rsid w:val="0054316D"/>
    <w:rsid w:val="00543B2C"/>
    <w:rsid w:val="00547EF8"/>
    <w:rsid w:val="00550560"/>
    <w:rsid w:val="00552931"/>
    <w:rsid w:val="0055433C"/>
    <w:rsid w:val="00554DF9"/>
    <w:rsid w:val="00556FC1"/>
    <w:rsid w:val="00560B0C"/>
    <w:rsid w:val="005620E8"/>
    <w:rsid w:val="00562652"/>
    <w:rsid w:val="00562EB4"/>
    <w:rsid w:val="005647F4"/>
    <w:rsid w:val="00572A98"/>
    <w:rsid w:val="00572B3A"/>
    <w:rsid w:val="0057396C"/>
    <w:rsid w:val="005753C5"/>
    <w:rsid w:val="00581714"/>
    <w:rsid w:val="005837C4"/>
    <w:rsid w:val="0058606D"/>
    <w:rsid w:val="005865D6"/>
    <w:rsid w:val="00586B54"/>
    <w:rsid w:val="00590491"/>
    <w:rsid w:val="0059186F"/>
    <w:rsid w:val="005918CA"/>
    <w:rsid w:val="00591BE2"/>
    <w:rsid w:val="00592554"/>
    <w:rsid w:val="005926AC"/>
    <w:rsid w:val="00594113"/>
    <w:rsid w:val="00596219"/>
    <w:rsid w:val="005A055D"/>
    <w:rsid w:val="005A60CE"/>
    <w:rsid w:val="005A7274"/>
    <w:rsid w:val="005B0169"/>
    <w:rsid w:val="005B0398"/>
    <w:rsid w:val="005B1C4C"/>
    <w:rsid w:val="005B21D6"/>
    <w:rsid w:val="005B242A"/>
    <w:rsid w:val="005B2719"/>
    <w:rsid w:val="005B5C83"/>
    <w:rsid w:val="005B6D14"/>
    <w:rsid w:val="005C1694"/>
    <w:rsid w:val="005C1C7F"/>
    <w:rsid w:val="005C4A93"/>
    <w:rsid w:val="005C50B2"/>
    <w:rsid w:val="005C530B"/>
    <w:rsid w:val="005C54BB"/>
    <w:rsid w:val="005C56CD"/>
    <w:rsid w:val="005C5794"/>
    <w:rsid w:val="005C7947"/>
    <w:rsid w:val="005D10AD"/>
    <w:rsid w:val="005D123A"/>
    <w:rsid w:val="005D47FB"/>
    <w:rsid w:val="005D571F"/>
    <w:rsid w:val="005D5A84"/>
    <w:rsid w:val="005D67D9"/>
    <w:rsid w:val="005E4E00"/>
    <w:rsid w:val="005E65C3"/>
    <w:rsid w:val="00600980"/>
    <w:rsid w:val="00604E8F"/>
    <w:rsid w:val="00604F4F"/>
    <w:rsid w:val="00604F9C"/>
    <w:rsid w:val="006100DD"/>
    <w:rsid w:val="006108F7"/>
    <w:rsid w:val="0061150B"/>
    <w:rsid w:val="006120CC"/>
    <w:rsid w:val="00612AF4"/>
    <w:rsid w:val="00613F60"/>
    <w:rsid w:val="00616A66"/>
    <w:rsid w:val="00617378"/>
    <w:rsid w:val="0062075C"/>
    <w:rsid w:val="006224A5"/>
    <w:rsid w:val="00625148"/>
    <w:rsid w:val="006268CF"/>
    <w:rsid w:val="00630C1B"/>
    <w:rsid w:val="00630C4B"/>
    <w:rsid w:val="00633266"/>
    <w:rsid w:val="00634A86"/>
    <w:rsid w:val="00634C49"/>
    <w:rsid w:val="00637453"/>
    <w:rsid w:val="00640F8D"/>
    <w:rsid w:val="006411E8"/>
    <w:rsid w:val="0064120E"/>
    <w:rsid w:val="00641965"/>
    <w:rsid w:val="00642D78"/>
    <w:rsid w:val="0064344A"/>
    <w:rsid w:val="006456EA"/>
    <w:rsid w:val="00645E58"/>
    <w:rsid w:val="00647263"/>
    <w:rsid w:val="006479BD"/>
    <w:rsid w:val="006539E4"/>
    <w:rsid w:val="00653A12"/>
    <w:rsid w:val="006565D2"/>
    <w:rsid w:val="00662787"/>
    <w:rsid w:val="00662F6A"/>
    <w:rsid w:val="00663181"/>
    <w:rsid w:val="0066567D"/>
    <w:rsid w:val="00670C85"/>
    <w:rsid w:val="00671327"/>
    <w:rsid w:val="0067429C"/>
    <w:rsid w:val="00676364"/>
    <w:rsid w:val="00682A9B"/>
    <w:rsid w:val="00684F8C"/>
    <w:rsid w:val="006878B0"/>
    <w:rsid w:val="006A191D"/>
    <w:rsid w:val="006A2CF1"/>
    <w:rsid w:val="006B2EA7"/>
    <w:rsid w:val="006B4D53"/>
    <w:rsid w:val="006B68F5"/>
    <w:rsid w:val="006B6AB1"/>
    <w:rsid w:val="006B789C"/>
    <w:rsid w:val="006B7CA7"/>
    <w:rsid w:val="006C166B"/>
    <w:rsid w:val="006C2EA6"/>
    <w:rsid w:val="006C415E"/>
    <w:rsid w:val="006C47F8"/>
    <w:rsid w:val="006C4F50"/>
    <w:rsid w:val="006C506D"/>
    <w:rsid w:val="006C53EA"/>
    <w:rsid w:val="006D35E9"/>
    <w:rsid w:val="006D43A3"/>
    <w:rsid w:val="006D4AF0"/>
    <w:rsid w:val="006E6B83"/>
    <w:rsid w:val="006E7B0E"/>
    <w:rsid w:val="006F35D0"/>
    <w:rsid w:val="006F35F8"/>
    <w:rsid w:val="006F3E40"/>
    <w:rsid w:val="006F56BA"/>
    <w:rsid w:val="006F6D85"/>
    <w:rsid w:val="00702735"/>
    <w:rsid w:val="00706DDE"/>
    <w:rsid w:val="00707816"/>
    <w:rsid w:val="007078C0"/>
    <w:rsid w:val="00710010"/>
    <w:rsid w:val="00710E74"/>
    <w:rsid w:val="007115D0"/>
    <w:rsid w:val="007131D0"/>
    <w:rsid w:val="00713B57"/>
    <w:rsid w:val="00716B58"/>
    <w:rsid w:val="0072035D"/>
    <w:rsid w:val="00720AD1"/>
    <w:rsid w:val="00720CCB"/>
    <w:rsid w:val="0072135E"/>
    <w:rsid w:val="007225DC"/>
    <w:rsid w:val="00722665"/>
    <w:rsid w:val="00723C3D"/>
    <w:rsid w:val="00726F0D"/>
    <w:rsid w:val="007344AB"/>
    <w:rsid w:val="0073590E"/>
    <w:rsid w:val="00736332"/>
    <w:rsid w:val="00736A90"/>
    <w:rsid w:val="00737E19"/>
    <w:rsid w:val="0074084A"/>
    <w:rsid w:val="00742B2D"/>
    <w:rsid w:val="00743371"/>
    <w:rsid w:val="00743F00"/>
    <w:rsid w:val="00745B1B"/>
    <w:rsid w:val="00746C54"/>
    <w:rsid w:val="00747C14"/>
    <w:rsid w:val="00747C93"/>
    <w:rsid w:val="00751D89"/>
    <w:rsid w:val="00752F21"/>
    <w:rsid w:val="007530BC"/>
    <w:rsid w:val="00754961"/>
    <w:rsid w:val="00754E36"/>
    <w:rsid w:val="00760482"/>
    <w:rsid w:val="007640B0"/>
    <w:rsid w:val="00773AEC"/>
    <w:rsid w:val="00774D4C"/>
    <w:rsid w:val="00775BA5"/>
    <w:rsid w:val="00783FCC"/>
    <w:rsid w:val="00786882"/>
    <w:rsid w:val="00792839"/>
    <w:rsid w:val="00792A3D"/>
    <w:rsid w:val="00793C8A"/>
    <w:rsid w:val="00796EE2"/>
    <w:rsid w:val="007A24F0"/>
    <w:rsid w:val="007A4BA0"/>
    <w:rsid w:val="007A6DE6"/>
    <w:rsid w:val="007B121F"/>
    <w:rsid w:val="007B1E2C"/>
    <w:rsid w:val="007B2C63"/>
    <w:rsid w:val="007B2EA0"/>
    <w:rsid w:val="007B550E"/>
    <w:rsid w:val="007C2AED"/>
    <w:rsid w:val="007C3876"/>
    <w:rsid w:val="007C52FC"/>
    <w:rsid w:val="007C544B"/>
    <w:rsid w:val="007C755A"/>
    <w:rsid w:val="007C7CA8"/>
    <w:rsid w:val="007D3722"/>
    <w:rsid w:val="007D4069"/>
    <w:rsid w:val="007E047E"/>
    <w:rsid w:val="007E14EE"/>
    <w:rsid w:val="007E31A1"/>
    <w:rsid w:val="007E3795"/>
    <w:rsid w:val="007E3935"/>
    <w:rsid w:val="007E4093"/>
    <w:rsid w:val="007E7CCE"/>
    <w:rsid w:val="007E7FBE"/>
    <w:rsid w:val="007F07D1"/>
    <w:rsid w:val="007F2A2F"/>
    <w:rsid w:val="007F7D7A"/>
    <w:rsid w:val="0080027F"/>
    <w:rsid w:val="008017A9"/>
    <w:rsid w:val="00806CE6"/>
    <w:rsid w:val="00806F06"/>
    <w:rsid w:val="00811D4F"/>
    <w:rsid w:val="00811FAE"/>
    <w:rsid w:val="00813978"/>
    <w:rsid w:val="00814192"/>
    <w:rsid w:val="00815B58"/>
    <w:rsid w:val="00816276"/>
    <w:rsid w:val="008172FB"/>
    <w:rsid w:val="008201DB"/>
    <w:rsid w:val="00820667"/>
    <w:rsid w:val="00820B53"/>
    <w:rsid w:val="00821384"/>
    <w:rsid w:val="00823999"/>
    <w:rsid w:val="008276A0"/>
    <w:rsid w:val="0082770E"/>
    <w:rsid w:val="008318ED"/>
    <w:rsid w:val="00833DEB"/>
    <w:rsid w:val="00836F43"/>
    <w:rsid w:val="00837DB7"/>
    <w:rsid w:val="00843B6A"/>
    <w:rsid w:val="00845DC8"/>
    <w:rsid w:val="00845FA6"/>
    <w:rsid w:val="00846819"/>
    <w:rsid w:val="00851F42"/>
    <w:rsid w:val="00853D1D"/>
    <w:rsid w:val="00855D63"/>
    <w:rsid w:val="00861088"/>
    <w:rsid w:val="00862A96"/>
    <w:rsid w:val="00864FF6"/>
    <w:rsid w:val="00867A7C"/>
    <w:rsid w:val="00870B87"/>
    <w:rsid w:val="00873A06"/>
    <w:rsid w:val="00876F2F"/>
    <w:rsid w:val="00877732"/>
    <w:rsid w:val="00877FB0"/>
    <w:rsid w:val="0088188B"/>
    <w:rsid w:val="00885F02"/>
    <w:rsid w:val="008862B9"/>
    <w:rsid w:val="00886CB2"/>
    <w:rsid w:val="0088789C"/>
    <w:rsid w:val="00892F51"/>
    <w:rsid w:val="0089304A"/>
    <w:rsid w:val="00894145"/>
    <w:rsid w:val="00894153"/>
    <w:rsid w:val="008947D1"/>
    <w:rsid w:val="00894FC4"/>
    <w:rsid w:val="008A1E4C"/>
    <w:rsid w:val="008A30C5"/>
    <w:rsid w:val="008A4D7E"/>
    <w:rsid w:val="008A6C90"/>
    <w:rsid w:val="008A7D74"/>
    <w:rsid w:val="008B10C1"/>
    <w:rsid w:val="008B20A5"/>
    <w:rsid w:val="008B4C95"/>
    <w:rsid w:val="008B51F8"/>
    <w:rsid w:val="008B5F76"/>
    <w:rsid w:val="008B6956"/>
    <w:rsid w:val="008B6C10"/>
    <w:rsid w:val="008C328E"/>
    <w:rsid w:val="008C4B1A"/>
    <w:rsid w:val="008C7433"/>
    <w:rsid w:val="008D086D"/>
    <w:rsid w:val="008D0F13"/>
    <w:rsid w:val="008D1489"/>
    <w:rsid w:val="008D1F77"/>
    <w:rsid w:val="008D2284"/>
    <w:rsid w:val="008D6197"/>
    <w:rsid w:val="008D6984"/>
    <w:rsid w:val="008D6DCB"/>
    <w:rsid w:val="008E41CB"/>
    <w:rsid w:val="008E41EF"/>
    <w:rsid w:val="008E774C"/>
    <w:rsid w:val="008E7F5E"/>
    <w:rsid w:val="008F1E6A"/>
    <w:rsid w:val="008F337E"/>
    <w:rsid w:val="008F3E64"/>
    <w:rsid w:val="00900767"/>
    <w:rsid w:val="009029FC"/>
    <w:rsid w:val="0090443D"/>
    <w:rsid w:val="009044DD"/>
    <w:rsid w:val="00904C44"/>
    <w:rsid w:val="00910F80"/>
    <w:rsid w:val="00910FD2"/>
    <w:rsid w:val="009127EF"/>
    <w:rsid w:val="00913131"/>
    <w:rsid w:val="00913690"/>
    <w:rsid w:val="0091407F"/>
    <w:rsid w:val="00916CFB"/>
    <w:rsid w:val="0091702A"/>
    <w:rsid w:val="009170C0"/>
    <w:rsid w:val="00920135"/>
    <w:rsid w:val="00923576"/>
    <w:rsid w:val="00924FA0"/>
    <w:rsid w:val="00925048"/>
    <w:rsid w:val="00933260"/>
    <w:rsid w:val="00933EDB"/>
    <w:rsid w:val="009352D0"/>
    <w:rsid w:val="00936142"/>
    <w:rsid w:val="009402C3"/>
    <w:rsid w:val="009403B4"/>
    <w:rsid w:val="009405A7"/>
    <w:rsid w:val="00945733"/>
    <w:rsid w:val="00945937"/>
    <w:rsid w:val="009461E3"/>
    <w:rsid w:val="00950FE5"/>
    <w:rsid w:val="00955EA2"/>
    <w:rsid w:val="0095610C"/>
    <w:rsid w:val="00960AC8"/>
    <w:rsid w:val="00960C6C"/>
    <w:rsid w:val="00962E9C"/>
    <w:rsid w:val="00964561"/>
    <w:rsid w:val="009704C1"/>
    <w:rsid w:val="009707FF"/>
    <w:rsid w:val="009727F9"/>
    <w:rsid w:val="0097475A"/>
    <w:rsid w:val="009760AD"/>
    <w:rsid w:val="009848CF"/>
    <w:rsid w:val="00985217"/>
    <w:rsid w:val="00990A41"/>
    <w:rsid w:val="00991F7F"/>
    <w:rsid w:val="009923F0"/>
    <w:rsid w:val="009925E6"/>
    <w:rsid w:val="00996B22"/>
    <w:rsid w:val="00997047"/>
    <w:rsid w:val="009975BF"/>
    <w:rsid w:val="009A0C76"/>
    <w:rsid w:val="009A12AC"/>
    <w:rsid w:val="009A2504"/>
    <w:rsid w:val="009A4793"/>
    <w:rsid w:val="009A59EB"/>
    <w:rsid w:val="009A6EAE"/>
    <w:rsid w:val="009A7565"/>
    <w:rsid w:val="009B0305"/>
    <w:rsid w:val="009B4E0A"/>
    <w:rsid w:val="009B572C"/>
    <w:rsid w:val="009B5E08"/>
    <w:rsid w:val="009B644B"/>
    <w:rsid w:val="009B7ABC"/>
    <w:rsid w:val="009C1F28"/>
    <w:rsid w:val="009C4274"/>
    <w:rsid w:val="009D3D6B"/>
    <w:rsid w:val="009D4AB4"/>
    <w:rsid w:val="009D4B06"/>
    <w:rsid w:val="009D649F"/>
    <w:rsid w:val="009D6692"/>
    <w:rsid w:val="009D6CD9"/>
    <w:rsid w:val="009D6E43"/>
    <w:rsid w:val="009E6777"/>
    <w:rsid w:val="009F56E0"/>
    <w:rsid w:val="009F59E0"/>
    <w:rsid w:val="009F6E6D"/>
    <w:rsid w:val="009F7122"/>
    <w:rsid w:val="00A00C49"/>
    <w:rsid w:val="00A013F0"/>
    <w:rsid w:val="00A02F3B"/>
    <w:rsid w:val="00A0381C"/>
    <w:rsid w:val="00A04333"/>
    <w:rsid w:val="00A04389"/>
    <w:rsid w:val="00A05A42"/>
    <w:rsid w:val="00A05E44"/>
    <w:rsid w:val="00A07BEC"/>
    <w:rsid w:val="00A1061A"/>
    <w:rsid w:val="00A12166"/>
    <w:rsid w:val="00A128BA"/>
    <w:rsid w:val="00A15929"/>
    <w:rsid w:val="00A1598F"/>
    <w:rsid w:val="00A16B42"/>
    <w:rsid w:val="00A2483A"/>
    <w:rsid w:val="00A25D18"/>
    <w:rsid w:val="00A25FDC"/>
    <w:rsid w:val="00A30D68"/>
    <w:rsid w:val="00A327B6"/>
    <w:rsid w:val="00A3540F"/>
    <w:rsid w:val="00A35F94"/>
    <w:rsid w:val="00A453F5"/>
    <w:rsid w:val="00A464C2"/>
    <w:rsid w:val="00A46CEF"/>
    <w:rsid w:val="00A51B7F"/>
    <w:rsid w:val="00A5351E"/>
    <w:rsid w:val="00A603CD"/>
    <w:rsid w:val="00A612D1"/>
    <w:rsid w:val="00A6138C"/>
    <w:rsid w:val="00A62B95"/>
    <w:rsid w:val="00A62D5E"/>
    <w:rsid w:val="00A63E76"/>
    <w:rsid w:val="00A651F2"/>
    <w:rsid w:val="00A66309"/>
    <w:rsid w:val="00A66D49"/>
    <w:rsid w:val="00A671B0"/>
    <w:rsid w:val="00A6744B"/>
    <w:rsid w:val="00A714F4"/>
    <w:rsid w:val="00A71CBE"/>
    <w:rsid w:val="00A76E15"/>
    <w:rsid w:val="00A7751D"/>
    <w:rsid w:val="00A81542"/>
    <w:rsid w:val="00A81D0E"/>
    <w:rsid w:val="00A82727"/>
    <w:rsid w:val="00A827C6"/>
    <w:rsid w:val="00A841F9"/>
    <w:rsid w:val="00A84262"/>
    <w:rsid w:val="00A9184D"/>
    <w:rsid w:val="00A920C7"/>
    <w:rsid w:val="00A939CA"/>
    <w:rsid w:val="00A94A43"/>
    <w:rsid w:val="00AA0318"/>
    <w:rsid w:val="00AA26F1"/>
    <w:rsid w:val="00AA412D"/>
    <w:rsid w:val="00AA596B"/>
    <w:rsid w:val="00AA6BC8"/>
    <w:rsid w:val="00AA7F68"/>
    <w:rsid w:val="00AB07DE"/>
    <w:rsid w:val="00AB0E31"/>
    <w:rsid w:val="00AB1B77"/>
    <w:rsid w:val="00AB3144"/>
    <w:rsid w:val="00AB31F3"/>
    <w:rsid w:val="00AB41D8"/>
    <w:rsid w:val="00AC0E9F"/>
    <w:rsid w:val="00AC553B"/>
    <w:rsid w:val="00AC6A63"/>
    <w:rsid w:val="00AC701B"/>
    <w:rsid w:val="00AC7D66"/>
    <w:rsid w:val="00AC7E24"/>
    <w:rsid w:val="00AD00E3"/>
    <w:rsid w:val="00AD5855"/>
    <w:rsid w:val="00AD709F"/>
    <w:rsid w:val="00AD79E4"/>
    <w:rsid w:val="00AE1534"/>
    <w:rsid w:val="00AE2E1C"/>
    <w:rsid w:val="00AE3677"/>
    <w:rsid w:val="00AE4F5D"/>
    <w:rsid w:val="00AE5886"/>
    <w:rsid w:val="00AE7BCD"/>
    <w:rsid w:val="00AF0BE5"/>
    <w:rsid w:val="00AF0F20"/>
    <w:rsid w:val="00AF592A"/>
    <w:rsid w:val="00AF6489"/>
    <w:rsid w:val="00AF7D32"/>
    <w:rsid w:val="00B005FB"/>
    <w:rsid w:val="00B022F1"/>
    <w:rsid w:val="00B0269F"/>
    <w:rsid w:val="00B0278F"/>
    <w:rsid w:val="00B05FD9"/>
    <w:rsid w:val="00B079F1"/>
    <w:rsid w:val="00B12873"/>
    <w:rsid w:val="00B1789B"/>
    <w:rsid w:val="00B215CA"/>
    <w:rsid w:val="00B21CCF"/>
    <w:rsid w:val="00B2659E"/>
    <w:rsid w:val="00B277BD"/>
    <w:rsid w:val="00B305C1"/>
    <w:rsid w:val="00B315D9"/>
    <w:rsid w:val="00B342F0"/>
    <w:rsid w:val="00B35FF2"/>
    <w:rsid w:val="00B36BA4"/>
    <w:rsid w:val="00B4520D"/>
    <w:rsid w:val="00B47E0A"/>
    <w:rsid w:val="00B50972"/>
    <w:rsid w:val="00B50E69"/>
    <w:rsid w:val="00B50EE3"/>
    <w:rsid w:val="00B5129D"/>
    <w:rsid w:val="00B5194A"/>
    <w:rsid w:val="00B528AA"/>
    <w:rsid w:val="00B53B62"/>
    <w:rsid w:val="00B53DD2"/>
    <w:rsid w:val="00B54C22"/>
    <w:rsid w:val="00B57A40"/>
    <w:rsid w:val="00B6242F"/>
    <w:rsid w:val="00B677D0"/>
    <w:rsid w:val="00B67A62"/>
    <w:rsid w:val="00B67CC4"/>
    <w:rsid w:val="00B70983"/>
    <w:rsid w:val="00B71E8D"/>
    <w:rsid w:val="00B7299C"/>
    <w:rsid w:val="00B72EBA"/>
    <w:rsid w:val="00B741E4"/>
    <w:rsid w:val="00B75CA7"/>
    <w:rsid w:val="00B77F5B"/>
    <w:rsid w:val="00B8515D"/>
    <w:rsid w:val="00B85897"/>
    <w:rsid w:val="00B86979"/>
    <w:rsid w:val="00B86C5E"/>
    <w:rsid w:val="00B914D7"/>
    <w:rsid w:val="00B954BA"/>
    <w:rsid w:val="00B964B8"/>
    <w:rsid w:val="00BA00BD"/>
    <w:rsid w:val="00BA08B0"/>
    <w:rsid w:val="00BA2285"/>
    <w:rsid w:val="00BA350A"/>
    <w:rsid w:val="00BA4C72"/>
    <w:rsid w:val="00BA7459"/>
    <w:rsid w:val="00BB5D32"/>
    <w:rsid w:val="00BB5EB6"/>
    <w:rsid w:val="00BB740A"/>
    <w:rsid w:val="00BB7E4E"/>
    <w:rsid w:val="00BC5ACA"/>
    <w:rsid w:val="00BC60F0"/>
    <w:rsid w:val="00BD16D3"/>
    <w:rsid w:val="00BD2F0E"/>
    <w:rsid w:val="00BD503E"/>
    <w:rsid w:val="00BE495E"/>
    <w:rsid w:val="00BE6922"/>
    <w:rsid w:val="00BE6B86"/>
    <w:rsid w:val="00BE715C"/>
    <w:rsid w:val="00BF0FC6"/>
    <w:rsid w:val="00BF2203"/>
    <w:rsid w:val="00BF230D"/>
    <w:rsid w:val="00BF2AA7"/>
    <w:rsid w:val="00BF41BA"/>
    <w:rsid w:val="00BF7E5A"/>
    <w:rsid w:val="00C07326"/>
    <w:rsid w:val="00C07E5F"/>
    <w:rsid w:val="00C15C6D"/>
    <w:rsid w:val="00C16501"/>
    <w:rsid w:val="00C16D71"/>
    <w:rsid w:val="00C17233"/>
    <w:rsid w:val="00C176B6"/>
    <w:rsid w:val="00C20886"/>
    <w:rsid w:val="00C309ED"/>
    <w:rsid w:val="00C31673"/>
    <w:rsid w:val="00C346CD"/>
    <w:rsid w:val="00C35DBA"/>
    <w:rsid w:val="00C36467"/>
    <w:rsid w:val="00C37A95"/>
    <w:rsid w:val="00C37EFE"/>
    <w:rsid w:val="00C4320F"/>
    <w:rsid w:val="00C45BF9"/>
    <w:rsid w:val="00C47CA9"/>
    <w:rsid w:val="00C50ABD"/>
    <w:rsid w:val="00C51781"/>
    <w:rsid w:val="00C51A93"/>
    <w:rsid w:val="00C5272A"/>
    <w:rsid w:val="00C53BEF"/>
    <w:rsid w:val="00C544CB"/>
    <w:rsid w:val="00C54C31"/>
    <w:rsid w:val="00C54DAC"/>
    <w:rsid w:val="00C559A6"/>
    <w:rsid w:val="00C5621D"/>
    <w:rsid w:val="00C578C7"/>
    <w:rsid w:val="00C603D6"/>
    <w:rsid w:val="00C61504"/>
    <w:rsid w:val="00C63B30"/>
    <w:rsid w:val="00C67BFF"/>
    <w:rsid w:val="00C7293A"/>
    <w:rsid w:val="00C73300"/>
    <w:rsid w:val="00C75DD3"/>
    <w:rsid w:val="00C77E46"/>
    <w:rsid w:val="00C843D9"/>
    <w:rsid w:val="00C9154F"/>
    <w:rsid w:val="00C91E93"/>
    <w:rsid w:val="00C92D6B"/>
    <w:rsid w:val="00C94947"/>
    <w:rsid w:val="00CA320C"/>
    <w:rsid w:val="00CA4F9E"/>
    <w:rsid w:val="00CA7657"/>
    <w:rsid w:val="00CA7DA3"/>
    <w:rsid w:val="00CC0254"/>
    <w:rsid w:val="00CC1FDE"/>
    <w:rsid w:val="00CC28DB"/>
    <w:rsid w:val="00CC2FE3"/>
    <w:rsid w:val="00CC33A3"/>
    <w:rsid w:val="00CC509C"/>
    <w:rsid w:val="00CC5C73"/>
    <w:rsid w:val="00CC64FA"/>
    <w:rsid w:val="00CC6B1D"/>
    <w:rsid w:val="00CD661B"/>
    <w:rsid w:val="00CD77D6"/>
    <w:rsid w:val="00CE0ED1"/>
    <w:rsid w:val="00CE7D66"/>
    <w:rsid w:val="00CF071C"/>
    <w:rsid w:val="00CF452E"/>
    <w:rsid w:val="00CF4DFF"/>
    <w:rsid w:val="00CF6BC5"/>
    <w:rsid w:val="00CF6F89"/>
    <w:rsid w:val="00CF71A5"/>
    <w:rsid w:val="00D004F2"/>
    <w:rsid w:val="00D00972"/>
    <w:rsid w:val="00D00C04"/>
    <w:rsid w:val="00D02579"/>
    <w:rsid w:val="00D03E26"/>
    <w:rsid w:val="00D04102"/>
    <w:rsid w:val="00D103C4"/>
    <w:rsid w:val="00D118DD"/>
    <w:rsid w:val="00D11DDD"/>
    <w:rsid w:val="00D127B0"/>
    <w:rsid w:val="00D13B1D"/>
    <w:rsid w:val="00D170BD"/>
    <w:rsid w:val="00D20F0E"/>
    <w:rsid w:val="00D22C67"/>
    <w:rsid w:val="00D23826"/>
    <w:rsid w:val="00D24BF7"/>
    <w:rsid w:val="00D26DCB"/>
    <w:rsid w:val="00D30E1C"/>
    <w:rsid w:val="00D31582"/>
    <w:rsid w:val="00D31964"/>
    <w:rsid w:val="00D32171"/>
    <w:rsid w:val="00D352E3"/>
    <w:rsid w:val="00D45B51"/>
    <w:rsid w:val="00D45BB0"/>
    <w:rsid w:val="00D46146"/>
    <w:rsid w:val="00D51580"/>
    <w:rsid w:val="00D521CC"/>
    <w:rsid w:val="00D52E29"/>
    <w:rsid w:val="00D62399"/>
    <w:rsid w:val="00D62843"/>
    <w:rsid w:val="00D63CF0"/>
    <w:rsid w:val="00D64EA7"/>
    <w:rsid w:val="00D707C1"/>
    <w:rsid w:val="00D7348C"/>
    <w:rsid w:val="00D737B2"/>
    <w:rsid w:val="00D748AB"/>
    <w:rsid w:val="00D75F23"/>
    <w:rsid w:val="00D76EAB"/>
    <w:rsid w:val="00D77705"/>
    <w:rsid w:val="00D80B7B"/>
    <w:rsid w:val="00D80C0C"/>
    <w:rsid w:val="00D825EC"/>
    <w:rsid w:val="00D83BE6"/>
    <w:rsid w:val="00D84198"/>
    <w:rsid w:val="00D85901"/>
    <w:rsid w:val="00D86D9A"/>
    <w:rsid w:val="00D90197"/>
    <w:rsid w:val="00D90757"/>
    <w:rsid w:val="00D90D46"/>
    <w:rsid w:val="00D91915"/>
    <w:rsid w:val="00D94965"/>
    <w:rsid w:val="00DA161F"/>
    <w:rsid w:val="00DA32A4"/>
    <w:rsid w:val="00DA3D5B"/>
    <w:rsid w:val="00DA521D"/>
    <w:rsid w:val="00DA5858"/>
    <w:rsid w:val="00DB2147"/>
    <w:rsid w:val="00DB6A67"/>
    <w:rsid w:val="00DC1743"/>
    <w:rsid w:val="00DC27AB"/>
    <w:rsid w:val="00DC3C64"/>
    <w:rsid w:val="00DC4EB5"/>
    <w:rsid w:val="00DC7107"/>
    <w:rsid w:val="00DC7D3D"/>
    <w:rsid w:val="00DD06E2"/>
    <w:rsid w:val="00DD34D4"/>
    <w:rsid w:val="00DD395E"/>
    <w:rsid w:val="00DD3A74"/>
    <w:rsid w:val="00DD3AFA"/>
    <w:rsid w:val="00DE03FA"/>
    <w:rsid w:val="00DE131E"/>
    <w:rsid w:val="00DE44CC"/>
    <w:rsid w:val="00DF00EB"/>
    <w:rsid w:val="00DF459D"/>
    <w:rsid w:val="00DF48DC"/>
    <w:rsid w:val="00DF4B9A"/>
    <w:rsid w:val="00DF5D94"/>
    <w:rsid w:val="00E008FA"/>
    <w:rsid w:val="00E0170D"/>
    <w:rsid w:val="00E0171E"/>
    <w:rsid w:val="00E01B91"/>
    <w:rsid w:val="00E02214"/>
    <w:rsid w:val="00E02357"/>
    <w:rsid w:val="00E04DB2"/>
    <w:rsid w:val="00E063E0"/>
    <w:rsid w:val="00E0645C"/>
    <w:rsid w:val="00E06B0A"/>
    <w:rsid w:val="00E07C6F"/>
    <w:rsid w:val="00E10A4F"/>
    <w:rsid w:val="00E10E5E"/>
    <w:rsid w:val="00E168F1"/>
    <w:rsid w:val="00E20528"/>
    <w:rsid w:val="00E24323"/>
    <w:rsid w:val="00E260B4"/>
    <w:rsid w:val="00E27360"/>
    <w:rsid w:val="00E30319"/>
    <w:rsid w:val="00E31B42"/>
    <w:rsid w:val="00E32ED8"/>
    <w:rsid w:val="00E33EC3"/>
    <w:rsid w:val="00E3406E"/>
    <w:rsid w:val="00E355F4"/>
    <w:rsid w:val="00E35CF2"/>
    <w:rsid w:val="00E35CF4"/>
    <w:rsid w:val="00E3720B"/>
    <w:rsid w:val="00E4060A"/>
    <w:rsid w:val="00E41DE0"/>
    <w:rsid w:val="00E43798"/>
    <w:rsid w:val="00E45EBB"/>
    <w:rsid w:val="00E467E0"/>
    <w:rsid w:val="00E4735C"/>
    <w:rsid w:val="00E508B1"/>
    <w:rsid w:val="00E55298"/>
    <w:rsid w:val="00E61453"/>
    <w:rsid w:val="00E628C1"/>
    <w:rsid w:val="00E63DC1"/>
    <w:rsid w:val="00E668B3"/>
    <w:rsid w:val="00E715E8"/>
    <w:rsid w:val="00E7593D"/>
    <w:rsid w:val="00E76063"/>
    <w:rsid w:val="00E819CB"/>
    <w:rsid w:val="00E81F76"/>
    <w:rsid w:val="00E821AD"/>
    <w:rsid w:val="00E829A7"/>
    <w:rsid w:val="00E84EE8"/>
    <w:rsid w:val="00E852A9"/>
    <w:rsid w:val="00E859CB"/>
    <w:rsid w:val="00E92A70"/>
    <w:rsid w:val="00E93F4C"/>
    <w:rsid w:val="00E942F0"/>
    <w:rsid w:val="00E94722"/>
    <w:rsid w:val="00E94C85"/>
    <w:rsid w:val="00E95AB5"/>
    <w:rsid w:val="00E96A52"/>
    <w:rsid w:val="00EA0F64"/>
    <w:rsid w:val="00EA1AA6"/>
    <w:rsid w:val="00EA1CB9"/>
    <w:rsid w:val="00EA3F33"/>
    <w:rsid w:val="00EA48CE"/>
    <w:rsid w:val="00EB191D"/>
    <w:rsid w:val="00EB3480"/>
    <w:rsid w:val="00EB44E6"/>
    <w:rsid w:val="00EB5A4E"/>
    <w:rsid w:val="00EC1D11"/>
    <w:rsid w:val="00EC216C"/>
    <w:rsid w:val="00EC22DE"/>
    <w:rsid w:val="00EC276D"/>
    <w:rsid w:val="00EC2A37"/>
    <w:rsid w:val="00EC3692"/>
    <w:rsid w:val="00EC44B2"/>
    <w:rsid w:val="00EC55C2"/>
    <w:rsid w:val="00EC5B7E"/>
    <w:rsid w:val="00EC736A"/>
    <w:rsid w:val="00EC7FF6"/>
    <w:rsid w:val="00ED130E"/>
    <w:rsid w:val="00ED3586"/>
    <w:rsid w:val="00ED3ACB"/>
    <w:rsid w:val="00EE1429"/>
    <w:rsid w:val="00EE245F"/>
    <w:rsid w:val="00EE33FC"/>
    <w:rsid w:val="00EE7E27"/>
    <w:rsid w:val="00EF10F7"/>
    <w:rsid w:val="00EF12F5"/>
    <w:rsid w:val="00EF2C32"/>
    <w:rsid w:val="00EF2E1C"/>
    <w:rsid w:val="00F019D2"/>
    <w:rsid w:val="00F05EAF"/>
    <w:rsid w:val="00F06A89"/>
    <w:rsid w:val="00F10941"/>
    <w:rsid w:val="00F123F2"/>
    <w:rsid w:val="00F13B8D"/>
    <w:rsid w:val="00F15207"/>
    <w:rsid w:val="00F15E8C"/>
    <w:rsid w:val="00F17A73"/>
    <w:rsid w:val="00F20EED"/>
    <w:rsid w:val="00F21768"/>
    <w:rsid w:val="00F21F26"/>
    <w:rsid w:val="00F22114"/>
    <w:rsid w:val="00F24263"/>
    <w:rsid w:val="00F24B39"/>
    <w:rsid w:val="00F3525F"/>
    <w:rsid w:val="00F352EE"/>
    <w:rsid w:val="00F361F8"/>
    <w:rsid w:val="00F36E38"/>
    <w:rsid w:val="00F37D6C"/>
    <w:rsid w:val="00F42363"/>
    <w:rsid w:val="00F44F97"/>
    <w:rsid w:val="00F45568"/>
    <w:rsid w:val="00F45C7B"/>
    <w:rsid w:val="00F47588"/>
    <w:rsid w:val="00F50F98"/>
    <w:rsid w:val="00F5452D"/>
    <w:rsid w:val="00F55708"/>
    <w:rsid w:val="00F611E7"/>
    <w:rsid w:val="00F63499"/>
    <w:rsid w:val="00F635DC"/>
    <w:rsid w:val="00F67AFB"/>
    <w:rsid w:val="00F7112F"/>
    <w:rsid w:val="00F71949"/>
    <w:rsid w:val="00F727DF"/>
    <w:rsid w:val="00F74063"/>
    <w:rsid w:val="00F91A5B"/>
    <w:rsid w:val="00F944D0"/>
    <w:rsid w:val="00F95347"/>
    <w:rsid w:val="00F95AFA"/>
    <w:rsid w:val="00F95C6C"/>
    <w:rsid w:val="00FA1BB2"/>
    <w:rsid w:val="00FB1DDE"/>
    <w:rsid w:val="00FB2017"/>
    <w:rsid w:val="00FB3075"/>
    <w:rsid w:val="00FB4BF9"/>
    <w:rsid w:val="00FB78C8"/>
    <w:rsid w:val="00FC0B5B"/>
    <w:rsid w:val="00FC1680"/>
    <w:rsid w:val="00FC3836"/>
    <w:rsid w:val="00FC3D0A"/>
    <w:rsid w:val="00FC4501"/>
    <w:rsid w:val="00FC4730"/>
    <w:rsid w:val="00FC5D0E"/>
    <w:rsid w:val="00FC709A"/>
    <w:rsid w:val="00FC791F"/>
    <w:rsid w:val="00FC7A6A"/>
    <w:rsid w:val="00FD074B"/>
    <w:rsid w:val="00FD1E3F"/>
    <w:rsid w:val="00FD1F3F"/>
    <w:rsid w:val="00FD214D"/>
    <w:rsid w:val="00FD23BD"/>
    <w:rsid w:val="00FD748A"/>
    <w:rsid w:val="00FE17C1"/>
    <w:rsid w:val="00FE1838"/>
    <w:rsid w:val="00FE7D7E"/>
    <w:rsid w:val="00FF157E"/>
    <w:rsid w:val="00FF27B1"/>
    <w:rsid w:val="00FF3A2E"/>
    <w:rsid w:val="00FF73F3"/>
    <w:rsid w:val="00FF7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A4"/>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A32A4"/>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DA32A4"/>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DA32A4"/>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DA32A4"/>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rsid w:val="00DA32A4"/>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DA32A4"/>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
    <w:basedOn w:val="DefaultParagraphFont"/>
    <w:rsid w:val="00DA32A4"/>
    <w:rPr>
      <w:vertAlign w:val="superscript"/>
    </w:rPr>
  </w:style>
  <w:style w:type="paragraph" w:styleId="BalloonText">
    <w:name w:val="Balloon Text"/>
    <w:basedOn w:val="Normal"/>
    <w:link w:val="BalloonTextChar"/>
    <w:semiHidden/>
    <w:rsid w:val="00DA32A4"/>
    <w:rPr>
      <w:rFonts w:ascii="Tahoma" w:hAnsi="Tahoma" w:cs="Tahoma"/>
      <w:sz w:val="16"/>
      <w:szCs w:val="16"/>
    </w:rPr>
  </w:style>
  <w:style w:type="character" w:customStyle="1" w:styleId="BalloonTextChar">
    <w:name w:val="Balloon Text Char"/>
    <w:basedOn w:val="DefaultParagraphFont"/>
    <w:link w:val="BalloonText"/>
    <w:semiHidden/>
    <w:rsid w:val="00DA32A4"/>
    <w:rPr>
      <w:rFonts w:ascii="Tahoma" w:eastAsia="Times New Roman" w:hAnsi="Tahoma" w:cs="Tahoma"/>
      <w:sz w:val="16"/>
      <w:szCs w:val="16"/>
    </w:rPr>
  </w:style>
  <w:style w:type="paragraph" w:styleId="ListParagraph">
    <w:name w:val="List Paragraph"/>
    <w:basedOn w:val="Normal"/>
    <w:link w:val="ListParagraphChar"/>
    <w:uiPriority w:val="34"/>
    <w:qFormat/>
    <w:rsid w:val="00DA32A4"/>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DA32A4"/>
    <w:rPr>
      <w:color w:val="0000FF"/>
      <w:u w:val="single"/>
    </w:rPr>
  </w:style>
  <w:style w:type="table" w:styleId="TableGrid">
    <w:name w:val="Table Grid"/>
    <w:basedOn w:val="TableNormal"/>
    <w:rsid w:val="00DA32A4"/>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DA32A4"/>
    <w:pPr>
      <w:tabs>
        <w:tab w:val="center" w:pos="4320"/>
        <w:tab w:val="right" w:pos="8640"/>
      </w:tabs>
    </w:pPr>
  </w:style>
  <w:style w:type="character" w:customStyle="1" w:styleId="HeaderChar">
    <w:name w:val="Header Char"/>
    <w:basedOn w:val="DefaultParagraphFont"/>
    <w:link w:val="Header"/>
    <w:rsid w:val="00DA32A4"/>
    <w:rPr>
      <w:rFonts w:ascii="Times New Roman" w:eastAsia="Times New Roman" w:hAnsi="Times New Roman" w:cs="Times New Roman"/>
      <w:sz w:val="28"/>
      <w:szCs w:val="24"/>
    </w:rPr>
  </w:style>
  <w:style w:type="paragraph" w:styleId="Footer">
    <w:name w:val="footer"/>
    <w:basedOn w:val="Normal"/>
    <w:link w:val="FooterChar"/>
    <w:rsid w:val="00DA32A4"/>
    <w:pPr>
      <w:tabs>
        <w:tab w:val="center" w:pos="4320"/>
        <w:tab w:val="right" w:pos="8640"/>
      </w:tabs>
    </w:pPr>
  </w:style>
  <w:style w:type="character" w:customStyle="1" w:styleId="FooterChar">
    <w:name w:val="Footer Char"/>
    <w:basedOn w:val="DefaultParagraphFont"/>
    <w:link w:val="Footer"/>
    <w:rsid w:val="00DA32A4"/>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DA32A4"/>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DA32A4"/>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DA32A4"/>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DA32A4"/>
    <w:rPr>
      <w:rFonts w:ascii="Times New Roman" w:eastAsia="Times New Roman" w:hAnsi="Times New Roman" w:cs="Times New Roman"/>
      <w:bCs/>
      <w:i/>
      <w:sz w:val="28"/>
      <w:szCs w:val="28"/>
    </w:rPr>
  </w:style>
  <w:style w:type="paragraph" w:styleId="Title">
    <w:name w:val="Title"/>
    <w:basedOn w:val="Normal"/>
    <w:next w:val="Footer"/>
    <w:link w:val="TitleChar"/>
    <w:qFormat/>
    <w:rsid w:val="00DA32A4"/>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DA32A4"/>
    <w:rPr>
      <w:rFonts w:ascii="Times New Roman" w:eastAsia="Times New Roman" w:hAnsi="Times New Roman" w:cs="Arial"/>
      <w:b/>
      <w:bCs/>
      <w:kern w:val="28"/>
      <w:sz w:val="32"/>
      <w:szCs w:val="32"/>
    </w:rPr>
  </w:style>
  <w:style w:type="paragraph" w:styleId="BodyText">
    <w:name w:val="Body Text"/>
    <w:basedOn w:val="Normal"/>
    <w:link w:val="BodyTextChar"/>
    <w:rsid w:val="00DA32A4"/>
    <w:pPr>
      <w:spacing w:line="480" w:lineRule="auto"/>
      <w:ind w:firstLine="567"/>
    </w:pPr>
  </w:style>
  <w:style w:type="character" w:customStyle="1" w:styleId="BodyTextChar">
    <w:name w:val="Body Text Char"/>
    <w:basedOn w:val="DefaultParagraphFont"/>
    <w:link w:val="BodyText"/>
    <w:rsid w:val="00DA32A4"/>
    <w:rPr>
      <w:rFonts w:ascii="Times New Roman" w:eastAsia="Times New Roman" w:hAnsi="Times New Roman" w:cs="Times New Roman"/>
      <w:sz w:val="28"/>
      <w:szCs w:val="24"/>
    </w:rPr>
  </w:style>
  <w:style w:type="table" w:styleId="TableSimple1">
    <w:name w:val="Table Simple 1"/>
    <w:basedOn w:val="TableNormal"/>
    <w:rsid w:val="00DA32A4"/>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DA32A4"/>
    <w:pPr>
      <w:numPr>
        <w:numId w:val="1"/>
      </w:numPr>
      <w:spacing w:before="360" w:after="240"/>
      <w:jc w:val="center"/>
    </w:pPr>
  </w:style>
  <w:style w:type="paragraph" w:styleId="Caption">
    <w:name w:val="caption"/>
    <w:basedOn w:val="Normal"/>
    <w:next w:val="Normal"/>
    <w:link w:val="CaptionChar"/>
    <w:qFormat/>
    <w:rsid w:val="00DA32A4"/>
    <w:pPr>
      <w:spacing w:before="240"/>
      <w:ind w:firstLine="0"/>
      <w:jc w:val="center"/>
    </w:pPr>
    <w:rPr>
      <w:b/>
      <w:bCs/>
      <w:sz w:val="24"/>
      <w:szCs w:val="20"/>
    </w:rPr>
  </w:style>
  <w:style w:type="paragraph" w:customStyle="1" w:styleId="Equation">
    <w:name w:val="Equation"/>
    <w:basedOn w:val="Normal"/>
    <w:rsid w:val="00DA32A4"/>
    <w:pPr>
      <w:numPr>
        <w:numId w:val="2"/>
      </w:numPr>
      <w:spacing w:before="240" w:after="240" w:line="480" w:lineRule="auto"/>
    </w:pPr>
  </w:style>
  <w:style w:type="numbering" w:customStyle="1" w:styleId="StyleBulleted">
    <w:name w:val="Style Bulleted"/>
    <w:basedOn w:val="NoList"/>
    <w:rsid w:val="00DA32A4"/>
    <w:pPr>
      <w:numPr>
        <w:numId w:val="3"/>
      </w:numPr>
    </w:pPr>
  </w:style>
  <w:style w:type="character" w:customStyle="1" w:styleId="apple-style-span">
    <w:name w:val="apple-style-span"/>
    <w:basedOn w:val="DefaultParagraphFont"/>
    <w:rsid w:val="00DA32A4"/>
  </w:style>
  <w:style w:type="paragraph" w:customStyle="1" w:styleId="CharCharCharChar">
    <w:name w:val="Char Char Char Char"/>
    <w:basedOn w:val="Normal"/>
    <w:rsid w:val="00DA32A4"/>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DA32A4"/>
    <w:pPr>
      <w:numPr>
        <w:numId w:val="4"/>
      </w:numPr>
    </w:pPr>
  </w:style>
  <w:style w:type="paragraph" w:styleId="DocumentMap">
    <w:name w:val="Document Map"/>
    <w:basedOn w:val="Normal"/>
    <w:link w:val="DocumentMapChar"/>
    <w:semiHidden/>
    <w:rsid w:val="00DA32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A32A4"/>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DA32A4"/>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DA32A4"/>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DA32A4"/>
  </w:style>
  <w:style w:type="paragraph" w:customStyle="1" w:styleId="Char">
    <w:name w:val="Char"/>
    <w:basedOn w:val="Normal"/>
    <w:rsid w:val="00DA32A4"/>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DA32A4"/>
    <w:rPr>
      <w:sz w:val="20"/>
      <w:szCs w:val="20"/>
    </w:rPr>
  </w:style>
  <w:style w:type="character" w:customStyle="1" w:styleId="EndnoteTextChar">
    <w:name w:val="Endnote Text Char"/>
    <w:basedOn w:val="DefaultParagraphFont"/>
    <w:link w:val="EndnoteText"/>
    <w:semiHidden/>
    <w:rsid w:val="00DA32A4"/>
    <w:rPr>
      <w:rFonts w:ascii="Times New Roman" w:eastAsia="Times New Roman" w:hAnsi="Times New Roman" w:cs="Times New Roman"/>
      <w:sz w:val="20"/>
      <w:szCs w:val="20"/>
    </w:rPr>
  </w:style>
  <w:style w:type="character" w:styleId="EndnoteReference">
    <w:name w:val="endnote reference"/>
    <w:basedOn w:val="DefaultParagraphFont"/>
    <w:semiHidden/>
    <w:rsid w:val="00DA32A4"/>
    <w:rPr>
      <w:vertAlign w:val="superscript"/>
    </w:rPr>
  </w:style>
  <w:style w:type="numbering" w:customStyle="1" w:styleId="StyleBulletedSymbolsymbolLeft025Hanging025">
    <w:name w:val="Style Bulleted Symbol (symbol) Left:  0.25&quot; Hanging:  0.25&quot;"/>
    <w:basedOn w:val="NoList"/>
    <w:rsid w:val="00DA32A4"/>
    <w:pPr>
      <w:numPr>
        <w:numId w:val="5"/>
      </w:numPr>
    </w:pPr>
  </w:style>
  <w:style w:type="character" w:customStyle="1" w:styleId="CaptionChar">
    <w:name w:val="Caption Char"/>
    <w:basedOn w:val="DefaultParagraphFont"/>
    <w:link w:val="Caption"/>
    <w:rsid w:val="00DA32A4"/>
    <w:rPr>
      <w:rFonts w:ascii="Times New Roman" w:eastAsia="Times New Roman" w:hAnsi="Times New Roman" w:cs="Times New Roman"/>
      <w:b/>
      <w:bCs/>
      <w:sz w:val="24"/>
      <w:szCs w:val="20"/>
    </w:rPr>
  </w:style>
  <w:style w:type="paragraph" w:styleId="TOC1">
    <w:name w:val="toc 1"/>
    <w:basedOn w:val="Normal"/>
    <w:next w:val="Normal"/>
    <w:rsid w:val="00DA32A4"/>
    <w:pPr>
      <w:spacing w:after="0"/>
      <w:ind w:firstLine="0"/>
      <w:jc w:val="left"/>
    </w:pPr>
    <w:rPr>
      <w:bCs/>
      <w:caps/>
      <w:sz w:val="20"/>
      <w:szCs w:val="20"/>
    </w:rPr>
  </w:style>
  <w:style w:type="paragraph" w:styleId="TOC2">
    <w:name w:val="toc 2"/>
    <w:basedOn w:val="Normal"/>
    <w:next w:val="Normal"/>
    <w:autoRedefine/>
    <w:rsid w:val="00DA32A4"/>
    <w:pPr>
      <w:spacing w:after="0"/>
      <w:ind w:left="280"/>
      <w:jc w:val="left"/>
    </w:pPr>
    <w:rPr>
      <w:smallCaps/>
      <w:sz w:val="20"/>
      <w:szCs w:val="20"/>
    </w:rPr>
  </w:style>
  <w:style w:type="paragraph" w:styleId="TOC3">
    <w:name w:val="toc 3"/>
    <w:basedOn w:val="Normal"/>
    <w:next w:val="Normal"/>
    <w:autoRedefine/>
    <w:rsid w:val="00DA32A4"/>
    <w:pPr>
      <w:spacing w:after="0"/>
      <w:ind w:left="560"/>
      <w:jc w:val="left"/>
    </w:pPr>
    <w:rPr>
      <w:i/>
      <w:iCs/>
      <w:sz w:val="20"/>
      <w:szCs w:val="20"/>
    </w:rPr>
  </w:style>
  <w:style w:type="paragraph" w:styleId="TOC4">
    <w:name w:val="toc 4"/>
    <w:basedOn w:val="Normal"/>
    <w:next w:val="Normal"/>
    <w:autoRedefine/>
    <w:semiHidden/>
    <w:rsid w:val="00DA32A4"/>
    <w:pPr>
      <w:spacing w:after="0"/>
      <w:ind w:left="840"/>
      <w:jc w:val="left"/>
    </w:pPr>
    <w:rPr>
      <w:sz w:val="18"/>
      <w:szCs w:val="18"/>
    </w:rPr>
  </w:style>
  <w:style w:type="paragraph" w:styleId="TOC5">
    <w:name w:val="toc 5"/>
    <w:basedOn w:val="Normal"/>
    <w:next w:val="Normal"/>
    <w:autoRedefine/>
    <w:semiHidden/>
    <w:rsid w:val="00DA32A4"/>
    <w:pPr>
      <w:spacing w:after="0"/>
      <w:ind w:left="1120"/>
      <w:jc w:val="left"/>
    </w:pPr>
    <w:rPr>
      <w:sz w:val="18"/>
      <w:szCs w:val="18"/>
    </w:rPr>
  </w:style>
  <w:style w:type="paragraph" w:styleId="TOC6">
    <w:name w:val="toc 6"/>
    <w:basedOn w:val="Normal"/>
    <w:next w:val="Normal"/>
    <w:autoRedefine/>
    <w:semiHidden/>
    <w:rsid w:val="00DA32A4"/>
    <w:pPr>
      <w:spacing w:after="0"/>
      <w:ind w:left="1400"/>
      <w:jc w:val="left"/>
    </w:pPr>
    <w:rPr>
      <w:sz w:val="18"/>
      <w:szCs w:val="18"/>
    </w:rPr>
  </w:style>
  <w:style w:type="paragraph" w:styleId="TOC7">
    <w:name w:val="toc 7"/>
    <w:basedOn w:val="Normal"/>
    <w:next w:val="Normal"/>
    <w:autoRedefine/>
    <w:semiHidden/>
    <w:rsid w:val="00DA32A4"/>
    <w:pPr>
      <w:spacing w:after="0"/>
      <w:ind w:left="1680"/>
      <w:jc w:val="left"/>
    </w:pPr>
    <w:rPr>
      <w:sz w:val="18"/>
      <w:szCs w:val="18"/>
    </w:rPr>
  </w:style>
  <w:style w:type="paragraph" w:styleId="TOC8">
    <w:name w:val="toc 8"/>
    <w:basedOn w:val="Normal"/>
    <w:next w:val="Normal"/>
    <w:autoRedefine/>
    <w:semiHidden/>
    <w:rsid w:val="00DA32A4"/>
    <w:pPr>
      <w:spacing w:after="0"/>
      <w:ind w:left="1960"/>
      <w:jc w:val="left"/>
    </w:pPr>
    <w:rPr>
      <w:sz w:val="18"/>
      <w:szCs w:val="18"/>
    </w:rPr>
  </w:style>
  <w:style w:type="paragraph" w:styleId="TOC9">
    <w:name w:val="toc 9"/>
    <w:basedOn w:val="Normal"/>
    <w:next w:val="Normal"/>
    <w:autoRedefine/>
    <w:semiHidden/>
    <w:rsid w:val="00DA32A4"/>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DA32A4"/>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67AFB"/>
    <w:rPr>
      <w:rFonts w:ascii="Times New Roman" w:eastAsia="Times New Roman" w:hAnsi="Times New Roman" w:cs="Times New Roman"/>
      <w:sz w:val="28"/>
      <w:szCs w:val="24"/>
    </w:rPr>
  </w:style>
  <w:style w:type="table" w:styleId="LightShading-Accent6">
    <w:name w:val="Light Shading Accent 6"/>
    <w:basedOn w:val="TableNormal"/>
    <w:uiPriority w:val="60"/>
    <w:rsid w:val="00726F0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726F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6063857">
      <w:bodyDiv w:val="1"/>
      <w:marLeft w:val="0"/>
      <w:marRight w:val="0"/>
      <w:marTop w:val="0"/>
      <w:marBottom w:val="0"/>
      <w:divBdr>
        <w:top w:val="none" w:sz="0" w:space="0" w:color="auto"/>
        <w:left w:val="none" w:sz="0" w:space="0" w:color="auto"/>
        <w:bottom w:val="none" w:sz="0" w:space="0" w:color="auto"/>
        <w:right w:val="none" w:sz="0" w:space="0" w:color="auto"/>
      </w:divBdr>
    </w:div>
    <w:div w:id="1017655744">
      <w:bodyDiv w:val="1"/>
      <w:marLeft w:val="0"/>
      <w:marRight w:val="0"/>
      <w:marTop w:val="0"/>
      <w:marBottom w:val="0"/>
      <w:divBdr>
        <w:top w:val="none" w:sz="0" w:space="0" w:color="auto"/>
        <w:left w:val="none" w:sz="0" w:space="0" w:color="auto"/>
        <w:bottom w:val="none" w:sz="0" w:space="0" w:color="auto"/>
        <w:right w:val="none" w:sz="0" w:space="0" w:color="auto"/>
      </w:divBdr>
    </w:div>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cafef.vn/co-phan-hoa.html"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8"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IIP%20c&#244;ng%20nghi&#7879;p%20ch&#7871;%20bi&#7871;n%20ch&#7871;%20t&#7841;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so%20lieu%20vi%20mo%20theo%20tha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01\Downloads\&#273;&#7891;%20th&#7883;%20XNK%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FSC\Data%20t&#7893;ng%20h&#7907;p\T&#236;nh%20h&#236;nh%20ho&#7841;t%20&#273;&#7897;ng%20D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SOLIEU15.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so%20lieu%20vi%20mo%20theo%20tha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Nh&#243;m%20ch&#7881;%20ti&#234;u%20CPI%20update%2008.14\T&#237;nh%20to&#225;n%20l&#7841;m%20ph&#225;t%20c&#417;%20b&#7843;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417;\tai%20lieu%20bao%20cao\b&#225;o%20c&#225;o%20Ch&#237;nh%20ph&#7911;\N&#259;m%202015\9\&#272;&#7891;%20th&#7883;%20th&#225;ng%209.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Sheet3!$B$2</c:f>
              <c:strCache>
                <c:ptCount val="1"/>
                <c:pt idx="0">
                  <c:v>Toàn ngành</c:v>
                </c:pt>
              </c:strCache>
            </c:strRef>
          </c:tx>
          <c:spPr>
            <a:ln w="25400"/>
          </c:spPr>
          <c:marker>
            <c:symbol val="diamond"/>
            <c:size val="5"/>
          </c:marker>
          <c:cat>
            <c:strRef>
              <c:f>Sheet3!$A$25:$A$37</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Sheet3!$B$25:$B$37</c:f>
              <c:numCache>
                <c:formatCode>General</c:formatCode>
                <c:ptCount val="13"/>
                <c:pt idx="0">
                  <c:v>6.4</c:v>
                </c:pt>
                <c:pt idx="1">
                  <c:v>6.9</c:v>
                </c:pt>
                <c:pt idx="2">
                  <c:v>7.5</c:v>
                </c:pt>
                <c:pt idx="3">
                  <c:v>7.6</c:v>
                </c:pt>
                <c:pt idx="4">
                  <c:v>17.5</c:v>
                </c:pt>
                <c:pt idx="5">
                  <c:v>12</c:v>
                </c:pt>
                <c:pt idx="6">
                  <c:v>9.1</c:v>
                </c:pt>
                <c:pt idx="7">
                  <c:v>9.4</c:v>
                </c:pt>
                <c:pt idx="8">
                  <c:v>9.2000000000000011</c:v>
                </c:pt>
                <c:pt idx="9">
                  <c:v>9.6</c:v>
                </c:pt>
                <c:pt idx="10">
                  <c:v>9.9</c:v>
                </c:pt>
                <c:pt idx="11">
                  <c:v>9.9</c:v>
                </c:pt>
                <c:pt idx="12">
                  <c:v>9.8000000000000007</c:v>
                </c:pt>
              </c:numCache>
            </c:numRef>
          </c:val>
        </c:ser>
        <c:ser>
          <c:idx val="1"/>
          <c:order val="1"/>
          <c:tx>
            <c:strRef>
              <c:f>Sheet3!$C$2</c:f>
              <c:strCache>
                <c:ptCount val="1"/>
                <c:pt idx="0">
                  <c:v>CN Chế biến chế tạo</c:v>
                </c:pt>
              </c:strCache>
            </c:strRef>
          </c:tx>
          <c:spPr>
            <a:ln w="25400">
              <a:prstDash val="sysDot"/>
            </a:ln>
          </c:spPr>
          <c:marker>
            <c:symbol val="circle"/>
            <c:size val="5"/>
          </c:marker>
          <c:cat>
            <c:strRef>
              <c:f>Sheet3!$A$25:$A$37</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Sheet3!$C$25:$C$37</c:f>
              <c:numCache>
                <c:formatCode>General</c:formatCode>
                <c:ptCount val="13"/>
                <c:pt idx="0">
                  <c:v>8.2000000000000011</c:v>
                </c:pt>
                <c:pt idx="1">
                  <c:v>8.4</c:v>
                </c:pt>
                <c:pt idx="2">
                  <c:v>8.6</c:v>
                </c:pt>
                <c:pt idx="3">
                  <c:v>8.7000000000000011</c:v>
                </c:pt>
                <c:pt idx="4">
                  <c:v>19.399999999999999</c:v>
                </c:pt>
                <c:pt idx="5">
                  <c:v>12.9</c:v>
                </c:pt>
                <c:pt idx="6">
                  <c:v>9.6</c:v>
                </c:pt>
                <c:pt idx="7">
                  <c:v>10.1</c:v>
                </c:pt>
                <c:pt idx="8">
                  <c:v>9.9</c:v>
                </c:pt>
                <c:pt idx="9">
                  <c:v>10</c:v>
                </c:pt>
                <c:pt idx="10">
                  <c:v>10.1</c:v>
                </c:pt>
                <c:pt idx="11">
                  <c:v>10.4</c:v>
                </c:pt>
                <c:pt idx="12">
                  <c:v>10.200000000000001</c:v>
                </c:pt>
              </c:numCache>
            </c:numRef>
          </c:val>
        </c:ser>
        <c:marker val="1"/>
        <c:axId val="61985920"/>
        <c:axId val="68874240"/>
      </c:lineChart>
      <c:catAx>
        <c:axId val="61985920"/>
        <c:scaling>
          <c:orientation val="minMax"/>
        </c:scaling>
        <c:axPos val="b"/>
        <c:tickLblPos val="nextTo"/>
        <c:crossAx val="68874240"/>
        <c:crosses val="autoZero"/>
        <c:auto val="1"/>
        <c:lblAlgn val="ctr"/>
        <c:lblOffset val="100"/>
      </c:catAx>
      <c:valAx>
        <c:axId val="68874240"/>
        <c:scaling>
          <c:orientation val="minMax"/>
          <c:max val="20"/>
        </c:scaling>
        <c:axPos val="l"/>
        <c:majorGridlines>
          <c:spPr>
            <a:ln>
              <a:prstDash val="sysDot"/>
            </a:ln>
          </c:spPr>
        </c:majorGridlines>
        <c:numFmt formatCode="General" sourceLinked="1"/>
        <c:tickLblPos val="nextTo"/>
        <c:spPr>
          <a:ln>
            <a:noFill/>
          </a:ln>
        </c:spPr>
        <c:crossAx val="61985920"/>
        <c:crosses val="autoZero"/>
        <c:crossBetween val="between"/>
        <c:majorUnit val="5"/>
      </c:valAx>
    </c:plotArea>
    <c:legend>
      <c:legendPos val="b"/>
      <c:layout>
        <c:manualLayout>
          <c:xMode val="edge"/>
          <c:yMode val="edge"/>
          <c:x val="0"/>
          <c:y val="0.7915265988323702"/>
          <c:w val="1"/>
          <c:h val="0.16886566027960667"/>
        </c:manualLayout>
      </c:layout>
    </c:legend>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2091314322276998E-2"/>
          <c:y val="6.0185342280622695E-2"/>
          <c:w val="0.89580641758938129"/>
          <c:h val="0.67114530818044993"/>
        </c:manualLayout>
      </c:layout>
      <c:barChart>
        <c:barDir val="col"/>
        <c:grouping val="clustered"/>
        <c:ser>
          <c:idx val="0"/>
          <c:order val="0"/>
          <c:tx>
            <c:strRef>
              <c:f>PMI!$A$2</c:f>
              <c:strCache>
                <c:ptCount val="1"/>
                <c:pt idx="0">
                  <c:v>PMI</c:v>
                </c:pt>
              </c:strCache>
            </c:strRef>
          </c:tx>
          <c:spPr>
            <a:solidFill>
              <a:schemeClr val="tx1"/>
            </a:solidFill>
          </c:spPr>
          <c:dLbls>
            <c:numFmt formatCode="#,##0.0" sourceLinked="0"/>
            <c:showVal val="1"/>
          </c:dLbls>
          <c:cat>
            <c:strRef>
              <c:f>PMI!$AD$1:$AP$1</c:f>
              <c:strCache>
                <c:ptCount val="13"/>
                <c:pt idx="0">
                  <c:v>T8/14</c:v>
                </c:pt>
                <c:pt idx="1">
                  <c:v>T9/14</c:v>
                </c:pt>
                <c:pt idx="2">
                  <c:v>T10/14</c:v>
                </c:pt>
                <c:pt idx="3">
                  <c:v>T11/14</c:v>
                </c:pt>
                <c:pt idx="4">
                  <c:v>T12/14</c:v>
                </c:pt>
                <c:pt idx="5">
                  <c:v>T1/15</c:v>
                </c:pt>
                <c:pt idx="6">
                  <c:v>T2/15</c:v>
                </c:pt>
                <c:pt idx="7">
                  <c:v>T3/15</c:v>
                </c:pt>
                <c:pt idx="8">
                  <c:v>T4/15</c:v>
                </c:pt>
                <c:pt idx="9">
                  <c:v>T5/15</c:v>
                </c:pt>
                <c:pt idx="10">
                  <c:v>T6/15</c:v>
                </c:pt>
                <c:pt idx="11">
                  <c:v>T7/15</c:v>
                </c:pt>
                <c:pt idx="12">
                  <c:v>T8/15</c:v>
                </c:pt>
              </c:strCache>
            </c:strRef>
          </c:cat>
          <c:val>
            <c:numRef>
              <c:f>PMI!$AD$2:$AP$2</c:f>
              <c:numCache>
                <c:formatCode>General</c:formatCode>
                <c:ptCount val="13"/>
                <c:pt idx="0">
                  <c:v>50.3</c:v>
                </c:pt>
                <c:pt idx="1">
                  <c:v>51.7</c:v>
                </c:pt>
                <c:pt idx="2">
                  <c:v>51</c:v>
                </c:pt>
                <c:pt idx="3">
                  <c:v>52.1</c:v>
                </c:pt>
                <c:pt idx="4">
                  <c:v>52.7</c:v>
                </c:pt>
                <c:pt idx="5">
                  <c:v>51.5</c:v>
                </c:pt>
                <c:pt idx="6">
                  <c:v>51.7</c:v>
                </c:pt>
                <c:pt idx="7">
                  <c:v>50.7</c:v>
                </c:pt>
                <c:pt idx="8">
                  <c:v>53.5</c:v>
                </c:pt>
                <c:pt idx="9">
                  <c:v>54.8</c:v>
                </c:pt>
                <c:pt idx="10">
                  <c:v>52.2</c:v>
                </c:pt>
                <c:pt idx="11">
                  <c:v>52.6</c:v>
                </c:pt>
                <c:pt idx="12">
                  <c:v>51.3</c:v>
                </c:pt>
              </c:numCache>
            </c:numRef>
          </c:val>
        </c:ser>
        <c:axId val="69417216"/>
        <c:axId val="70991872"/>
      </c:barChart>
      <c:catAx>
        <c:axId val="69417216"/>
        <c:scaling>
          <c:orientation val="minMax"/>
        </c:scaling>
        <c:axPos val="b"/>
        <c:tickLblPos val="low"/>
        <c:txPr>
          <a:bodyPr/>
          <a:lstStyle/>
          <a:p>
            <a:pPr>
              <a:defRPr sz="700"/>
            </a:pPr>
            <a:endParaRPr lang="en-US"/>
          </a:p>
        </c:txPr>
        <c:crossAx val="70991872"/>
        <c:crossesAt val="50"/>
        <c:auto val="1"/>
        <c:lblAlgn val="ctr"/>
        <c:lblOffset val="100"/>
      </c:catAx>
      <c:valAx>
        <c:axId val="70991872"/>
        <c:scaling>
          <c:orientation val="minMax"/>
          <c:max val="55"/>
          <c:min val="50"/>
        </c:scaling>
        <c:delete val="1"/>
        <c:axPos val="l"/>
        <c:numFmt formatCode="General" sourceLinked="1"/>
        <c:tickLblPos val="none"/>
        <c:crossAx val="69417216"/>
        <c:crosses val="autoZero"/>
        <c:crossBetween val="between"/>
        <c:majorUnit val="1"/>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104371332059902"/>
          <c:y val="9.1851882210207028E-2"/>
          <c:w val="0.80887474901709089"/>
          <c:h val="0.60025687186481624"/>
        </c:manualLayout>
      </c:layout>
      <c:barChart>
        <c:barDir val="col"/>
        <c:grouping val="clustered"/>
        <c:ser>
          <c:idx val="0"/>
          <c:order val="0"/>
          <c:tx>
            <c:strRef>
              <c:f>Sheet1!$B$1</c:f>
              <c:strCache>
                <c:ptCount val="1"/>
                <c:pt idx="0">
                  <c:v>XK</c:v>
                </c:pt>
              </c:strCache>
            </c:strRef>
          </c:tx>
          <c:spPr>
            <a:solidFill>
              <a:schemeClr val="tx1">
                <a:lumMod val="50000"/>
                <a:lumOff val="50000"/>
              </a:schemeClr>
            </a:solidFill>
            <a:ln>
              <a:noFill/>
            </a:ln>
          </c:spPr>
          <c:cat>
            <c:strRef>
              <c:f>Sheet1!$A$2:$A$10</c:f>
              <c:strCache>
                <c:ptCount val="9"/>
                <c:pt idx="0">
                  <c:v>1T</c:v>
                </c:pt>
                <c:pt idx="1">
                  <c:v>2T</c:v>
                </c:pt>
                <c:pt idx="2">
                  <c:v>3T</c:v>
                </c:pt>
                <c:pt idx="3">
                  <c:v>4T</c:v>
                </c:pt>
                <c:pt idx="4">
                  <c:v>5T</c:v>
                </c:pt>
                <c:pt idx="5">
                  <c:v>6T</c:v>
                </c:pt>
                <c:pt idx="6">
                  <c:v>7T</c:v>
                </c:pt>
                <c:pt idx="7">
                  <c:v>8T</c:v>
                </c:pt>
                <c:pt idx="8">
                  <c:v>9T</c:v>
                </c:pt>
              </c:strCache>
            </c:strRef>
          </c:cat>
          <c:val>
            <c:numRef>
              <c:f>Sheet1!$B$2:$B$10</c:f>
              <c:numCache>
                <c:formatCode>General</c:formatCode>
                <c:ptCount val="9"/>
                <c:pt idx="0">
                  <c:v>12.9</c:v>
                </c:pt>
                <c:pt idx="1">
                  <c:v>23</c:v>
                </c:pt>
                <c:pt idx="2">
                  <c:v>35.700000000000003</c:v>
                </c:pt>
                <c:pt idx="3">
                  <c:v>50.1</c:v>
                </c:pt>
                <c:pt idx="4">
                  <c:v>63.2</c:v>
                </c:pt>
                <c:pt idx="5">
                  <c:v>77.7</c:v>
                </c:pt>
                <c:pt idx="6">
                  <c:v>92.3</c:v>
                </c:pt>
                <c:pt idx="7">
                  <c:v>106.3</c:v>
                </c:pt>
                <c:pt idx="8">
                  <c:v>120.7</c:v>
                </c:pt>
              </c:numCache>
            </c:numRef>
          </c:val>
        </c:ser>
        <c:ser>
          <c:idx val="1"/>
          <c:order val="1"/>
          <c:tx>
            <c:strRef>
              <c:f>Sheet1!$C$1</c:f>
              <c:strCache>
                <c:ptCount val="1"/>
                <c:pt idx="0">
                  <c:v>NK</c:v>
                </c:pt>
              </c:strCache>
            </c:strRef>
          </c:tx>
          <c:spPr>
            <a:solidFill>
              <a:schemeClr val="bg1">
                <a:lumMod val="85000"/>
              </a:schemeClr>
            </a:solidFill>
            <a:ln>
              <a:noFill/>
            </a:ln>
          </c:spPr>
          <c:cat>
            <c:strRef>
              <c:f>Sheet1!$A$2:$A$10</c:f>
              <c:strCache>
                <c:ptCount val="9"/>
                <c:pt idx="0">
                  <c:v>1T</c:v>
                </c:pt>
                <c:pt idx="1">
                  <c:v>2T</c:v>
                </c:pt>
                <c:pt idx="2">
                  <c:v>3T</c:v>
                </c:pt>
                <c:pt idx="3">
                  <c:v>4T</c:v>
                </c:pt>
                <c:pt idx="4">
                  <c:v>5T</c:v>
                </c:pt>
                <c:pt idx="5">
                  <c:v>6T</c:v>
                </c:pt>
                <c:pt idx="6">
                  <c:v>7T</c:v>
                </c:pt>
                <c:pt idx="7">
                  <c:v>8T</c:v>
                </c:pt>
                <c:pt idx="8">
                  <c:v>9T</c:v>
                </c:pt>
              </c:strCache>
            </c:strRef>
          </c:cat>
          <c:val>
            <c:numRef>
              <c:f>Sheet1!$C$2:$C$10</c:f>
              <c:numCache>
                <c:formatCode>General</c:formatCode>
                <c:ptCount val="9"/>
                <c:pt idx="0">
                  <c:v>13.4</c:v>
                </c:pt>
                <c:pt idx="1">
                  <c:v>23</c:v>
                </c:pt>
                <c:pt idx="2">
                  <c:v>37.5</c:v>
                </c:pt>
                <c:pt idx="3">
                  <c:v>53.1</c:v>
                </c:pt>
                <c:pt idx="4">
                  <c:v>66.2</c:v>
                </c:pt>
                <c:pt idx="5">
                  <c:v>81.5</c:v>
                </c:pt>
                <c:pt idx="6">
                  <c:v>95.6</c:v>
                </c:pt>
                <c:pt idx="7">
                  <c:v>109.9</c:v>
                </c:pt>
                <c:pt idx="8">
                  <c:v>124.6</c:v>
                </c:pt>
              </c:numCache>
            </c:numRef>
          </c:val>
        </c:ser>
        <c:axId val="78639104"/>
        <c:axId val="90743552"/>
      </c:barChart>
      <c:lineChart>
        <c:grouping val="standard"/>
        <c:ser>
          <c:idx val="2"/>
          <c:order val="2"/>
          <c:tx>
            <c:strRef>
              <c:f>Sheet1!$D$1</c:f>
              <c:strCache>
                <c:ptCount val="1"/>
                <c:pt idx="0">
                  <c:v>Xuất siêu</c:v>
                </c:pt>
              </c:strCache>
            </c:strRef>
          </c:tx>
          <c:spPr>
            <a:ln w="22225">
              <a:solidFill>
                <a:schemeClr val="tx1"/>
              </a:solidFill>
            </a:ln>
          </c:spPr>
          <c:marker>
            <c:symbol val="none"/>
          </c:marker>
          <c:cat>
            <c:strRef>
              <c:f>Sheet1!$A$2:$A$10</c:f>
              <c:strCache>
                <c:ptCount val="9"/>
                <c:pt idx="0">
                  <c:v>1T</c:v>
                </c:pt>
                <c:pt idx="1">
                  <c:v>2T</c:v>
                </c:pt>
                <c:pt idx="2">
                  <c:v>3T</c:v>
                </c:pt>
                <c:pt idx="3">
                  <c:v>4T</c:v>
                </c:pt>
                <c:pt idx="4">
                  <c:v>5T</c:v>
                </c:pt>
                <c:pt idx="5">
                  <c:v>6T</c:v>
                </c:pt>
                <c:pt idx="6">
                  <c:v>7T</c:v>
                </c:pt>
                <c:pt idx="7">
                  <c:v>8T</c:v>
                </c:pt>
                <c:pt idx="8">
                  <c:v>9T</c:v>
                </c:pt>
              </c:strCache>
            </c:strRef>
          </c:cat>
          <c:val>
            <c:numRef>
              <c:f>Sheet1!$D$2:$D$10</c:f>
              <c:numCache>
                <c:formatCode>General</c:formatCode>
                <c:ptCount val="9"/>
                <c:pt idx="0">
                  <c:v>-0.5</c:v>
                </c:pt>
                <c:pt idx="1">
                  <c:v>-6.1000000000000013E-2</c:v>
                </c:pt>
                <c:pt idx="2">
                  <c:v>-1.8</c:v>
                </c:pt>
                <c:pt idx="3">
                  <c:v>-3</c:v>
                </c:pt>
                <c:pt idx="4">
                  <c:v>-3</c:v>
                </c:pt>
                <c:pt idx="5">
                  <c:v>-3.7</c:v>
                </c:pt>
                <c:pt idx="6">
                  <c:v>-3.4</c:v>
                </c:pt>
                <c:pt idx="7">
                  <c:v>-3.6</c:v>
                </c:pt>
                <c:pt idx="8">
                  <c:v>-3.8999999999999857</c:v>
                </c:pt>
              </c:numCache>
            </c:numRef>
          </c:val>
        </c:ser>
        <c:marker val="1"/>
        <c:axId val="90763648"/>
        <c:axId val="90745472"/>
      </c:lineChart>
      <c:catAx>
        <c:axId val="78639104"/>
        <c:scaling>
          <c:orientation val="minMax"/>
        </c:scaling>
        <c:axPos val="b"/>
        <c:tickLblPos val="nextTo"/>
        <c:txPr>
          <a:bodyPr/>
          <a:lstStyle/>
          <a:p>
            <a:pPr>
              <a:defRPr b="0"/>
            </a:pPr>
            <a:endParaRPr lang="en-US"/>
          </a:p>
        </c:txPr>
        <c:crossAx val="90743552"/>
        <c:crosses val="autoZero"/>
        <c:auto val="1"/>
        <c:lblAlgn val="ctr"/>
        <c:lblOffset val="100"/>
      </c:catAx>
      <c:valAx>
        <c:axId val="90743552"/>
        <c:scaling>
          <c:orientation val="minMax"/>
          <c:max val="100"/>
        </c:scaling>
        <c:axPos val="l"/>
        <c:numFmt formatCode="General" sourceLinked="1"/>
        <c:tickLblPos val="nextTo"/>
        <c:txPr>
          <a:bodyPr/>
          <a:lstStyle/>
          <a:p>
            <a:pPr>
              <a:defRPr b="0"/>
            </a:pPr>
            <a:endParaRPr lang="en-US"/>
          </a:p>
        </c:txPr>
        <c:crossAx val="78639104"/>
        <c:crosses val="autoZero"/>
        <c:crossBetween val="between"/>
        <c:majorUnit val="20"/>
      </c:valAx>
      <c:valAx>
        <c:axId val="90745472"/>
        <c:scaling>
          <c:orientation val="minMax"/>
        </c:scaling>
        <c:axPos val="r"/>
        <c:numFmt formatCode="General" sourceLinked="1"/>
        <c:tickLblPos val="nextTo"/>
        <c:txPr>
          <a:bodyPr/>
          <a:lstStyle/>
          <a:p>
            <a:pPr>
              <a:defRPr b="0"/>
            </a:pPr>
            <a:endParaRPr lang="en-US"/>
          </a:p>
        </c:txPr>
        <c:crossAx val="90763648"/>
        <c:crosses val="max"/>
        <c:crossBetween val="between"/>
      </c:valAx>
      <c:catAx>
        <c:axId val="90763648"/>
        <c:scaling>
          <c:orientation val="minMax"/>
        </c:scaling>
        <c:delete val="1"/>
        <c:axPos val="b"/>
        <c:tickLblPos val="none"/>
        <c:crossAx val="90745472"/>
        <c:crosses val="autoZero"/>
        <c:auto val="1"/>
        <c:lblAlgn val="ctr"/>
        <c:lblOffset val="100"/>
      </c:catAx>
    </c:plotArea>
    <c:legend>
      <c:legendPos val="b"/>
      <c:layout>
        <c:manualLayout>
          <c:xMode val="edge"/>
          <c:yMode val="edge"/>
          <c:x val="6.1351673213854221E-2"/>
          <c:y val="0.89368438320209953"/>
          <c:w val="0.925199531620441"/>
          <c:h val="7.8537839020122513E-2"/>
        </c:manualLayout>
      </c:layout>
      <c:txPr>
        <a:bodyPr/>
        <a:lstStyle/>
        <a:p>
          <a:pPr>
            <a:defRPr b="0"/>
          </a:pPr>
          <a:endParaRPr lang="en-US"/>
        </a:p>
      </c:txPr>
    </c:legend>
    <c:plotVisOnly val="1"/>
    <c:dispBlanksAs val="gap"/>
  </c:chart>
  <c:spPr>
    <a:ln>
      <a:noFill/>
    </a:ln>
  </c:spPr>
  <c:txPr>
    <a:bodyPr/>
    <a:lstStyle/>
    <a:p>
      <a:pPr>
        <a:defRPr sz="800" b="1">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Sheet1!$A$19</c:f>
              <c:strCache>
                <c:ptCount val="1"/>
                <c:pt idx="0">
                  <c:v>Số DN thành lập mới</c:v>
                </c:pt>
              </c:strCache>
            </c:strRef>
          </c:tx>
          <c:spPr>
            <a:pattFill prst="pct30">
              <a:fgClr>
                <a:srgbClr val="538ED5"/>
              </a:fgClr>
              <a:bgClr>
                <a:srgbClr val="17375D"/>
              </a:bgClr>
            </a:pattFill>
          </c:spPr>
          <c:dLbls>
            <c:showVal val="1"/>
          </c:dLbls>
          <c:cat>
            <c:strRef>
              <c:f>Sheet1!$B$18:$D$18</c:f>
              <c:strCache>
                <c:ptCount val="3"/>
                <c:pt idx="0">
                  <c:v>9T/2013</c:v>
                </c:pt>
                <c:pt idx="1">
                  <c:v>9T/2014</c:v>
                </c:pt>
                <c:pt idx="2">
                  <c:v>9T/2015</c:v>
                </c:pt>
              </c:strCache>
            </c:strRef>
          </c:cat>
          <c:val>
            <c:numRef>
              <c:f>Sheet1!$B$19:$D$19</c:f>
              <c:numCache>
                <c:formatCode>_-* #,##0\ _₫_-;\-* #,##0\ _₫_-;_-* "-"??\ _₫_-;_-@_-</c:formatCode>
                <c:ptCount val="3"/>
                <c:pt idx="0">
                  <c:v>58.229000000000013</c:v>
                </c:pt>
                <c:pt idx="1">
                  <c:v>53.192000000000107</c:v>
                </c:pt>
                <c:pt idx="2">
                  <c:v>68.346999999999994</c:v>
                </c:pt>
              </c:numCache>
            </c:numRef>
          </c:val>
        </c:ser>
        <c:ser>
          <c:idx val="1"/>
          <c:order val="1"/>
          <c:tx>
            <c:strRef>
              <c:f>Sheet1!$A$20</c:f>
              <c:strCache>
                <c:ptCount val="1"/>
                <c:pt idx="0">
                  <c:v>Vốn thành lập mới</c:v>
                </c:pt>
              </c:strCache>
            </c:strRef>
          </c:tx>
          <c:cat>
            <c:strRef>
              <c:f>Sheet1!$B$18:$D$18</c:f>
              <c:strCache>
                <c:ptCount val="3"/>
                <c:pt idx="0">
                  <c:v>9T/2013</c:v>
                </c:pt>
                <c:pt idx="1">
                  <c:v>9T/2014</c:v>
                </c:pt>
                <c:pt idx="2">
                  <c:v>9T/2015</c:v>
                </c:pt>
              </c:strCache>
            </c:strRef>
          </c:cat>
          <c:val>
            <c:numRef>
              <c:f>Sheet1!$B$20:$D$20</c:f>
            </c:numRef>
          </c:val>
        </c:ser>
        <c:ser>
          <c:idx val="2"/>
          <c:order val="2"/>
          <c:tx>
            <c:strRef>
              <c:f>Sheet1!$A$21</c:f>
              <c:strCache>
                <c:ptCount val="1"/>
                <c:pt idx="0">
                  <c:v>Số DN giải thể, chấm dứt hoạt động</c:v>
                </c:pt>
              </c:strCache>
            </c:strRef>
          </c:tx>
          <c:spPr>
            <a:pattFill prst="wdDnDiag">
              <a:fgClr>
                <a:srgbClr val="9BBB59"/>
              </a:fgClr>
              <a:bgClr>
                <a:srgbClr val="FAC090"/>
              </a:bgClr>
            </a:pattFill>
          </c:spPr>
          <c:dLbls>
            <c:numFmt formatCode="#,##0.0" sourceLinked="0"/>
            <c:dLblPos val="outEnd"/>
            <c:showVal val="1"/>
          </c:dLbls>
          <c:cat>
            <c:strRef>
              <c:f>Sheet1!$B$18:$D$18</c:f>
              <c:strCache>
                <c:ptCount val="3"/>
                <c:pt idx="0">
                  <c:v>9T/2013</c:v>
                </c:pt>
                <c:pt idx="1">
                  <c:v>9T/2014</c:v>
                </c:pt>
                <c:pt idx="2">
                  <c:v>9T/2015</c:v>
                </c:pt>
              </c:strCache>
            </c:strRef>
          </c:cat>
          <c:val>
            <c:numRef>
              <c:f>Sheet1!$B$21:$D$21</c:f>
              <c:numCache>
                <c:formatCode>_-* #,##0.00\ _₫_-;\-* #,##0.00\ _₫_-;_-* "-"??\ _₫_-;_-@_-</c:formatCode>
                <c:ptCount val="3"/>
                <c:pt idx="0">
                  <c:v>6.742</c:v>
                </c:pt>
                <c:pt idx="1">
                  <c:v>7.0789999999999997</c:v>
                </c:pt>
                <c:pt idx="2">
                  <c:v>6.9020000000000001</c:v>
                </c:pt>
              </c:numCache>
            </c:numRef>
          </c:val>
        </c:ser>
        <c:axId val="68700800"/>
        <c:axId val="68706688"/>
      </c:barChart>
      <c:catAx>
        <c:axId val="68700800"/>
        <c:scaling>
          <c:orientation val="minMax"/>
        </c:scaling>
        <c:axPos val="b"/>
        <c:majorTickMark val="none"/>
        <c:tickLblPos val="nextTo"/>
        <c:crossAx val="68706688"/>
        <c:crosses val="autoZero"/>
        <c:auto val="1"/>
        <c:lblAlgn val="ctr"/>
        <c:lblOffset val="100"/>
      </c:catAx>
      <c:valAx>
        <c:axId val="68706688"/>
        <c:scaling>
          <c:orientation val="minMax"/>
          <c:max val="70"/>
        </c:scaling>
        <c:delete val="1"/>
        <c:axPos val="l"/>
        <c:numFmt formatCode="_-* #,##0\ _₫_-;\-* #,##0\ _₫_-;_-* &quot;-&quot;??\ _₫_-;_-@_-" sourceLinked="1"/>
        <c:majorTickMark val="none"/>
        <c:tickLblPos val="none"/>
        <c:crossAx val="68700800"/>
        <c:crosses val="autoZero"/>
        <c:crossBetween val="between"/>
        <c:minorUnit val="10"/>
      </c:valAx>
    </c:plotArea>
    <c:legend>
      <c:legendPos val="b"/>
    </c:legend>
    <c:plotVisOnly val="1"/>
  </c:chart>
  <c:spPr>
    <a:noFill/>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So với dự toán</c:v>
          </c:tx>
          <c:spPr>
            <a:solidFill>
              <a:schemeClr val="bg1">
                <a:lumMod val="85000"/>
              </a:schemeClr>
            </a:solidFill>
            <a:ln>
              <a:solidFill>
                <a:schemeClr val="tx2">
                  <a:lumMod val="75000"/>
                </a:schemeClr>
              </a:solidFill>
            </a:ln>
          </c:spPr>
          <c:dLbls>
            <c:dLbl>
              <c:idx val="2"/>
              <c:layout>
                <c:manualLayout>
                  <c:x val="4.280363830925683E-3"/>
                  <c:y val="-2.0856793569453401E-17"/>
                </c:manualLayout>
              </c:layout>
              <c:showVal val="1"/>
            </c:dLbl>
            <c:showVal val="1"/>
          </c:dLbls>
          <c:cat>
            <c:strRef>
              <c:f>'Thu chi NSNN 15 ngày'!$HR$27:$HR$30</c:f>
              <c:strCache>
                <c:ptCount val="4"/>
                <c:pt idx="0">
                  <c:v>Tổng thu NSNN</c:v>
                </c:pt>
                <c:pt idx="1">
                  <c:v>Thu nội địa (74.11%)</c:v>
                </c:pt>
                <c:pt idx="2">
                  <c:v>Thu từ dầu thô (7.74%)</c:v>
                </c:pt>
                <c:pt idx="3">
                  <c:v>Thu từ XNK (17.62%)</c:v>
                </c:pt>
              </c:strCache>
            </c:strRef>
          </c:cat>
          <c:val>
            <c:numRef>
              <c:f>'Thu chi NSNN 15 ngày'!$HS$27:$HS$30</c:f>
              <c:numCache>
                <c:formatCode>General</c:formatCode>
                <c:ptCount val="4"/>
                <c:pt idx="0">
                  <c:v>70.3</c:v>
                </c:pt>
                <c:pt idx="1">
                  <c:v>74.3</c:v>
                </c:pt>
                <c:pt idx="2">
                  <c:v>53.3</c:v>
                </c:pt>
                <c:pt idx="3">
                  <c:v>64.5</c:v>
                </c:pt>
              </c:numCache>
            </c:numRef>
          </c:val>
        </c:ser>
        <c:ser>
          <c:idx val="1"/>
          <c:order val="1"/>
          <c:tx>
            <c:v>So với cùng kỳ 2014</c:v>
          </c:tx>
          <c:spPr>
            <a:solidFill>
              <a:schemeClr val="tx1">
                <a:lumMod val="50000"/>
                <a:lumOff val="50000"/>
              </a:schemeClr>
            </a:solidFill>
            <a:ln>
              <a:solidFill>
                <a:schemeClr val="tx2">
                  <a:lumMod val="75000"/>
                </a:schemeClr>
              </a:solidFill>
            </a:ln>
          </c:spPr>
          <c:dLbls>
            <c:dLbl>
              <c:idx val="2"/>
              <c:layout>
                <c:manualLayout>
                  <c:x val="-2.1401819154628437E-3"/>
                  <c:y val="0"/>
                </c:manualLayout>
              </c:layout>
              <c:showVal val="1"/>
            </c:dLbl>
            <c:dLbl>
              <c:idx val="3"/>
              <c:layout>
                <c:manualLayout>
                  <c:x val="6.5895695622317134E-3"/>
                  <c:y val="0.11362912400455073"/>
                </c:manualLayout>
              </c:layout>
              <c:showVal val="1"/>
            </c:dLbl>
            <c:numFmt formatCode="#,##0.0" sourceLinked="0"/>
            <c:showVal val="1"/>
          </c:dLbls>
          <c:cat>
            <c:strRef>
              <c:f>'Thu chi NSNN 15 ngày'!$HR$27:$HR$30</c:f>
              <c:strCache>
                <c:ptCount val="4"/>
                <c:pt idx="0">
                  <c:v>Tổng thu NSNN</c:v>
                </c:pt>
                <c:pt idx="1">
                  <c:v>Thu nội địa (74.11%)</c:v>
                </c:pt>
                <c:pt idx="2">
                  <c:v>Thu từ dầu thô (7.74%)</c:v>
                </c:pt>
                <c:pt idx="3">
                  <c:v>Thu từ XNK (17.62%)</c:v>
                </c:pt>
              </c:strCache>
            </c:strRef>
          </c:cat>
          <c:val>
            <c:numRef>
              <c:f>'Thu chi NSNN 15 ngày'!$HT$27:$HT$30</c:f>
              <c:numCache>
                <c:formatCode>0.00</c:formatCode>
                <c:ptCount val="4"/>
                <c:pt idx="0">
                  <c:v>7.17</c:v>
                </c:pt>
                <c:pt idx="1">
                  <c:v>17.54</c:v>
                </c:pt>
                <c:pt idx="2">
                  <c:v>-33.160000000000011</c:v>
                </c:pt>
                <c:pt idx="3">
                  <c:v>-3.51</c:v>
                </c:pt>
              </c:numCache>
            </c:numRef>
          </c:val>
        </c:ser>
        <c:gapWidth val="75"/>
        <c:overlap val="-3"/>
        <c:axId val="68727936"/>
        <c:axId val="68729472"/>
      </c:barChart>
      <c:catAx>
        <c:axId val="68727936"/>
        <c:scaling>
          <c:orientation val="minMax"/>
        </c:scaling>
        <c:axPos val="b"/>
        <c:majorTickMark val="none"/>
        <c:tickLblPos val="low"/>
        <c:txPr>
          <a:bodyPr/>
          <a:lstStyle/>
          <a:p>
            <a:pPr>
              <a:defRPr b="1"/>
            </a:pPr>
            <a:endParaRPr lang="en-US"/>
          </a:p>
        </c:txPr>
        <c:crossAx val="68729472"/>
        <c:crosses val="autoZero"/>
        <c:auto val="1"/>
        <c:lblAlgn val="ctr"/>
        <c:lblOffset val="100"/>
      </c:catAx>
      <c:valAx>
        <c:axId val="68729472"/>
        <c:scaling>
          <c:orientation val="minMax"/>
        </c:scaling>
        <c:delete val="1"/>
        <c:axPos val="l"/>
        <c:numFmt formatCode="General" sourceLinked="1"/>
        <c:majorTickMark val="none"/>
        <c:tickLblPos val="none"/>
        <c:crossAx val="68727936"/>
        <c:crosses val="autoZero"/>
        <c:crossBetween val="between"/>
        <c:majorUnit val="30"/>
      </c:valAx>
    </c:plotArea>
    <c:legend>
      <c:legendPos val="b"/>
    </c:legend>
    <c:plotVisOnly val="1"/>
    <c:dispBlanksAs val="gap"/>
  </c:chart>
  <c:spPr>
    <a:ln>
      <a:noFill/>
    </a:ln>
  </c:spPr>
  <c:txPr>
    <a:bodyPr/>
    <a:lstStyle/>
    <a:p>
      <a:pPr>
        <a:defRPr sz="800" b="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numRef>
              <c:f>'Tong muc ban le'!$A$9:$A$13</c:f>
              <c:numCache>
                <c:formatCode>General</c:formatCode>
                <c:ptCount val="5"/>
                <c:pt idx="0">
                  <c:v>2011</c:v>
                </c:pt>
                <c:pt idx="1">
                  <c:v>2012</c:v>
                </c:pt>
                <c:pt idx="2">
                  <c:v>2013</c:v>
                </c:pt>
                <c:pt idx="3">
                  <c:v>2014</c:v>
                </c:pt>
                <c:pt idx="4">
                  <c:v>2015</c:v>
                </c:pt>
              </c:numCache>
            </c:numRef>
          </c:cat>
          <c:val>
            <c:numRef>
              <c:f>'Tong muc ban le'!$J$9:$J$13</c:f>
              <c:numCache>
                <c:formatCode>General</c:formatCode>
                <c:ptCount val="5"/>
                <c:pt idx="0">
                  <c:v>3.9</c:v>
                </c:pt>
                <c:pt idx="1">
                  <c:v>6.7</c:v>
                </c:pt>
                <c:pt idx="2">
                  <c:v>5.3</c:v>
                </c:pt>
                <c:pt idx="3">
                  <c:v>7.3</c:v>
                </c:pt>
                <c:pt idx="4">
                  <c:v>9.1</c:v>
                </c:pt>
              </c:numCache>
            </c:numRef>
          </c:val>
        </c:ser>
        <c:axId val="68741376"/>
        <c:axId val="68747264"/>
      </c:barChart>
      <c:catAx>
        <c:axId val="68741376"/>
        <c:scaling>
          <c:orientation val="minMax"/>
        </c:scaling>
        <c:axPos val="b"/>
        <c:numFmt formatCode="General" sourceLinked="1"/>
        <c:tickLblPos val="nextTo"/>
        <c:crossAx val="68747264"/>
        <c:crosses val="autoZero"/>
        <c:auto val="1"/>
        <c:lblAlgn val="ctr"/>
        <c:lblOffset val="100"/>
      </c:catAx>
      <c:valAx>
        <c:axId val="68747264"/>
        <c:scaling>
          <c:orientation val="minMax"/>
          <c:max val="10"/>
        </c:scaling>
        <c:delete val="1"/>
        <c:axPos val="l"/>
        <c:numFmt formatCode="General" sourceLinked="1"/>
        <c:tickLblPos val="none"/>
        <c:crossAx val="68741376"/>
        <c:crosses val="autoZero"/>
        <c:crossBetween val="between"/>
        <c:majorUnit val="2"/>
      </c:valAx>
      <c:spPr>
        <a:ln>
          <a:noFill/>
        </a:ln>
      </c:spPr>
    </c:plotArea>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v>lạm phát</c:v>
          </c:tx>
          <c:spPr>
            <a:ln w="25400">
              <a:solidFill>
                <a:schemeClr val="tx2">
                  <a:lumMod val="75000"/>
                </a:schemeClr>
              </a:solidFill>
            </a:ln>
          </c:spPr>
          <c:marker>
            <c:symbol val="diamond"/>
            <c:size val="5"/>
            <c:spPr>
              <a:solidFill>
                <a:schemeClr val="tx2">
                  <a:lumMod val="75000"/>
                </a:schemeClr>
              </a:solidFill>
              <a:ln>
                <a:solidFill>
                  <a:srgbClr val="1F497D">
                    <a:lumMod val="75000"/>
                  </a:srgbClr>
                </a:solidFill>
              </a:ln>
            </c:spPr>
          </c:marker>
          <c:cat>
            <c:strRef>
              <c:f>'Biểu đồ so cùng kỳ'!$V$4:$AH$4</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'Biểu đồ so cùng kỳ'!$V$5:$AH$5</c:f>
              <c:numCache>
                <c:formatCode>0.00</c:formatCode>
                <c:ptCount val="13"/>
                <c:pt idx="0">
                  <c:v>3.6200000000000045</c:v>
                </c:pt>
                <c:pt idx="1">
                  <c:v>3.2300000000000035</c:v>
                </c:pt>
                <c:pt idx="2">
                  <c:v>2.5999999999999943</c:v>
                </c:pt>
                <c:pt idx="3">
                  <c:v>1.8400000000000041</c:v>
                </c:pt>
                <c:pt idx="4">
                  <c:v>0.93999999999999773</c:v>
                </c:pt>
                <c:pt idx="5">
                  <c:v>0.34000000000000341</c:v>
                </c:pt>
                <c:pt idx="6">
                  <c:v>0.93000000000000682</c:v>
                </c:pt>
                <c:pt idx="7">
                  <c:v>0.98999999999999488</c:v>
                </c:pt>
                <c:pt idx="8">
                  <c:v>0.95000000000000295</c:v>
                </c:pt>
                <c:pt idx="9">
                  <c:v>1</c:v>
                </c:pt>
                <c:pt idx="10">
                  <c:v>0.85999999999999965</c:v>
                </c:pt>
                <c:pt idx="11">
                  <c:v>0.82999999999999863</c:v>
                </c:pt>
                <c:pt idx="12">
                  <c:v>0.73943618851212956</c:v>
                </c:pt>
              </c:numCache>
            </c:numRef>
          </c:val>
        </c:ser>
        <c:ser>
          <c:idx val="4"/>
          <c:order val="1"/>
          <c:cat>
            <c:strRef>
              <c:f>'Biểu đồ so cùng kỳ'!$V$4:$AH$4</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'Biểu đồ so cùng kỳ'!$V$6:$AH$6</c:f>
            </c:numRef>
          </c:val>
        </c:ser>
        <c:ser>
          <c:idx val="1"/>
          <c:order val="2"/>
          <c:cat>
            <c:strRef>
              <c:f>'Biểu đồ so cùng kỳ'!$V$4:$AH$4</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'Biểu đồ so cùng kỳ'!$V$7:$AH$7</c:f>
            </c:numRef>
          </c:val>
        </c:ser>
        <c:ser>
          <c:idx val="2"/>
          <c:order val="3"/>
          <c:cat>
            <c:strRef>
              <c:f>'Biểu đồ so cùng kỳ'!$V$4:$AH$4</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'Biểu đồ so cùng kỳ'!$V$8:$AH$8</c:f>
            </c:numRef>
          </c:val>
        </c:ser>
        <c:ser>
          <c:idx val="3"/>
          <c:order val="4"/>
          <c:tx>
            <c:v>lạm phát cơ bản</c:v>
          </c:tx>
          <c:spPr>
            <a:ln w="25400">
              <a:solidFill>
                <a:srgbClr val="FF0000"/>
              </a:solidFill>
              <a:prstDash val="sysDash"/>
            </a:ln>
          </c:spPr>
          <c:marker>
            <c:symbol val="triangle"/>
            <c:size val="5"/>
            <c:spPr>
              <a:solidFill>
                <a:srgbClr val="FF0000"/>
              </a:solidFill>
              <a:ln>
                <a:solidFill>
                  <a:srgbClr val="FF0000"/>
                </a:solidFill>
              </a:ln>
            </c:spPr>
          </c:marker>
          <c:cat>
            <c:strRef>
              <c:f>'Biểu đồ so cùng kỳ'!$V$4:$AH$4</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'Biểu đồ so cùng kỳ'!$V$9:$AH$9</c:f>
              <c:numCache>
                <c:formatCode>0.00</c:formatCode>
                <c:ptCount val="13"/>
                <c:pt idx="0">
                  <c:v>3.1240100316789916</c:v>
                </c:pt>
                <c:pt idx="1">
                  <c:v>3.0904382259767771</c:v>
                </c:pt>
                <c:pt idx="2">
                  <c:v>2.9752587117211977</c:v>
                </c:pt>
                <c:pt idx="3">
                  <c:v>2.900514783526948</c:v>
                </c:pt>
                <c:pt idx="4">
                  <c:v>2.5801293558606169</c:v>
                </c:pt>
                <c:pt idx="5">
                  <c:v>2.3081731784582962</c:v>
                </c:pt>
                <c:pt idx="6">
                  <c:v>2.4822676874340197</c:v>
                </c:pt>
                <c:pt idx="7">
                  <c:v>2.4190469904962719</c:v>
                </c:pt>
                <c:pt idx="8">
                  <c:v>2.4063727560718142</c:v>
                </c:pt>
                <c:pt idx="9">
                  <c:v>2.3668136219640927</c:v>
                </c:pt>
                <c:pt idx="10">
                  <c:v>2.4163727560718073</c:v>
                </c:pt>
                <c:pt idx="11">
                  <c:v>2.4131335797254452</c:v>
                </c:pt>
                <c:pt idx="12">
                  <c:v>2.3937551520987581</c:v>
                </c:pt>
              </c:numCache>
            </c:numRef>
          </c:val>
        </c:ser>
        <c:marker val="1"/>
        <c:axId val="68774144"/>
        <c:axId val="68780416"/>
      </c:lineChart>
      <c:catAx>
        <c:axId val="68774144"/>
        <c:scaling>
          <c:orientation val="minMax"/>
        </c:scaling>
        <c:axPos val="b"/>
        <c:numFmt formatCode="0.00" sourceLinked="1"/>
        <c:tickLblPos val="nextTo"/>
        <c:crossAx val="68780416"/>
        <c:crosses val="autoZero"/>
        <c:lblAlgn val="ctr"/>
        <c:lblOffset val="100"/>
      </c:catAx>
      <c:valAx>
        <c:axId val="68780416"/>
        <c:scaling>
          <c:orientation val="minMax"/>
        </c:scaling>
        <c:axPos val="l"/>
        <c:majorGridlines>
          <c:spPr>
            <a:ln>
              <a:prstDash val="sysDot"/>
            </a:ln>
          </c:spPr>
        </c:majorGridlines>
        <c:numFmt formatCode="0" sourceLinked="0"/>
        <c:tickLblPos val="nextTo"/>
        <c:spPr>
          <a:ln>
            <a:noFill/>
          </a:ln>
        </c:spPr>
        <c:crossAx val="68774144"/>
        <c:crosses val="autoZero"/>
        <c:crossBetween val="between"/>
        <c:majorUnit val="1"/>
      </c:valAx>
      <c:spPr>
        <a:noFill/>
        <a:ln w="25400">
          <a:noFill/>
        </a:ln>
      </c:spPr>
    </c:plotArea>
    <c:legend>
      <c:legendPos val="b"/>
    </c:legend>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374775521480868"/>
          <c:y val="4.4741907261592301E-2"/>
          <c:w val="0.87394217455101575"/>
          <c:h val="0.71327464275298924"/>
        </c:manualLayout>
      </c:layout>
      <c:lineChart>
        <c:grouping val="standard"/>
        <c:ser>
          <c:idx val="1"/>
          <c:order val="0"/>
          <c:tx>
            <c:strRef>
              <c:f>'chỉ số CDS'!$C$1</c:f>
              <c:strCache>
                <c:ptCount val="1"/>
                <c:pt idx="0">
                  <c:v>CDS.5Y</c:v>
                </c:pt>
              </c:strCache>
            </c:strRef>
          </c:tx>
          <c:spPr>
            <a:ln w="22225">
              <a:solidFill>
                <a:srgbClr val="FF0000"/>
              </a:solidFill>
              <a:prstDash val="solid"/>
            </a:ln>
          </c:spPr>
          <c:marker>
            <c:symbol val="none"/>
          </c:marker>
          <c:cat>
            <c:numRef>
              <c:f>'chỉ số CDS'!$A$2:$A$418</c:f>
              <c:numCache>
                <c:formatCode>m/d/yyyy</c:formatCode>
                <c:ptCount val="417"/>
                <c:pt idx="0">
                  <c:v>41641</c:v>
                </c:pt>
                <c:pt idx="1">
                  <c:v>41642</c:v>
                </c:pt>
                <c:pt idx="2">
                  <c:v>41645</c:v>
                </c:pt>
                <c:pt idx="3">
                  <c:v>41646</c:v>
                </c:pt>
                <c:pt idx="4">
                  <c:v>41647</c:v>
                </c:pt>
                <c:pt idx="5">
                  <c:v>41648</c:v>
                </c:pt>
                <c:pt idx="6">
                  <c:v>41649</c:v>
                </c:pt>
                <c:pt idx="7">
                  <c:v>41652</c:v>
                </c:pt>
                <c:pt idx="8">
                  <c:v>41653</c:v>
                </c:pt>
                <c:pt idx="9">
                  <c:v>41654</c:v>
                </c:pt>
                <c:pt idx="10">
                  <c:v>41655</c:v>
                </c:pt>
                <c:pt idx="11">
                  <c:v>41656</c:v>
                </c:pt>
                <c:pt idx="12">
                  <c:v>41659</c:v>
                </c:pt>
                <c:pt idx="13">
                  <c:v>41660</c:v>
                </c:pt>
                <c:pt idx="14">
                  <c:v>41661</c:v>
                </c:pt>
                <c:pt idx="15">
                  <c:v>41662</c:v>
                </c:pt>
                <c:pt idx="16">
                  <c:v>41663</c:v>
                </c:pt>
                <c:pt idx="17">
                  <c:v>41666</c:v>
                </c:pt>
                <c:pt idx="18">
                  <c:v>41676</c:v>
                </c:pt>
                <c:pt idx="19">
                  <c:v>41677</c:v>
                </c:pt>
                <c:pt idx="20">
                  <c:v>41680</c:v>
                </c:pt>
                <c:pt idx="21">
                  <c:v>41681</c:v>
                </c:pt>
                <c:pt idx="22">
                  <c:v>41682</c:v>
                </c:pt>
                <c:pt idx="23">
                  <c:v>41683</c:v>
                </c:pt>
                <c:pt idx="24">
                  <c:v>41684</c:v>
                </c:pt>
                <c:pt idx="25">
                  <c:v>41687</c:v>
                </c:pt>
                <c:pt idx="26">
                  <c:v>41688</c:v>
                </c:pt>
                <c:pt idx="27">
                  <c:v>41689</c:v>
                </c:pt>
                <c:pt idx="28">
                  <c:v>41690</c:v>
                </c:pt>
                <c:pt idx="29">
                  <c:v>41691</c:v>
                </c:pt>
                <c:pt idx="30">
                  <c:v>41694</c:v>
                </c:pt>
                <c:pt idx="31">
                  <c:v>41695</c:v>
                </c:pt>
                <c:pt idx="32">
                  <c:v>41696</c:v>
                </c:pt>
                <c:pt idx="33">
                  <c:v>41697</c:v>
                </c:pt>
                <c:pt idx="34">
                  <c:v>41698</c:v>
                </c:pt>
                <c:pt idx="35">
                  <c:v>41701</c:v>
                </c:pt>
                <c:pt idx="36">
                  <c:v>41702</c:v>
                </c:pt>
                <c:pt idx="37">
                  <c:v>41703</c:v>
                </c:pt>
                <c:pt idx="38">
                  <c:v>41704</c:v>
                </c:pt>
                <c:pt idx="39">
                  <c:v>41705</c:v>
                </c:pt>
                <c:pt idx="40">
                  <c:v>41708</c:v>
                </c:pt>
                <c:pt idx="41">
                  <c:v>41709</c:v>
                </c:pt>
                <c:pt idx="42">
                  <c:v>41710</c:v>
                </c:pt>
                <c:pt idx="43">
                  <c:v>41711</c:v>
                </c:pt>
                <c:pt idx="44">
                  <c:v>41712</c:v>
                </c:pt>
                <c:pt idx="45">
                  <c:v>41715</c:v>
                </c:pt>
                <c:pt idx="46">
                  <c:v>41716</c:v>
                </c:pt>
                <c:pt idx="47">
                  <c:v>41717</c:v>
                </c:pt>
                <c:pt idx="48">
                  <c:v>41718</c:v>
                </c:pt>
                <c:pt idx="49">
                  <c:v>41719</c:v>
                </c:pt>
                <c:pt idx="50">
                  <c:v>41722</c:v>
                </c:pt>
                <c:pt idx="51">
                  <c:v>41723</c:v>
                </c:pt>
                <c:pt idx="52">
                  <c:v>41724</c:v>
                </c:pt>
                <c:pt idx="53">
                  <c:v>41725</c:v>
                </c:pt>
                <c:pt idx="54">
                  <c:v>41726</c:v>
                </c:pt>
                <c:pt idx="55">
                  <c:v>41729</c:v>
                </c:pt>
                <c:pt idx="56">
                  <c:v>41730</c:v>
                </c:pt>
                <c:pt idx="57">
                  <c:v>41731</c:v>
                </c:pt>
                <c:pt idx="58">
                  <c:v>41732</c:v>
                </c:pt>
                <c:pt idx="59">
                  <c:v>41733</c:v>
                </c:pt>
                <c:pt idx="60">
                  <c:v>41736</c:v>
                </c:pt>
                <c:pt idx="61">
                  <c:v>41737</c:v>
                </c:pt>
                <c:pt idx="62">
                  <c:v>41739</c:v>
                </c:pt>
                <c:pt idx="63">
                  <c:v>41740</c:v>
                </c:pt>
                <c:pt idx="64">
                  <c:v>41743</c:v>
                </c:pt>
                <c:pt idx="65">
                  <c:v>41744</c:v>
                </c:pt>
                <c:pt idx="66">
                  <c:v>41745</c:v>
                </c:pt>
                <c:pt idx="67">
                  <c:v>41746</c:v>
                </c:pt>
                <c:pt idx="68">
                  <c:v>41747</c:v>
                </c:pt>
                <c:pt idx="69">
                  <c:v>41750</c:v>
                </c:pt>
                <c:pt idx="70">
                  <c:v>41751</c:v>
                </c:pt>
                <c:pt idx="71">
                  <c:v>41752</c:v>
                </c:pt>
                <c:pt idx="72">
                  <c:v>41753</c:v>
                </c:pt>
                <c:pt idx="73">
                  <c:v>41754</c:v>
                </c:pt>
                <c:pt idx="74">
                  <c:v>41757</c:v>
                </c:pt>
                <c:pt idx="75">
                  <c:v>41758</c:v>
                </c:pt>
                <c:pt idx="76">
                  <c:v>41764</c:v>
                </c:pt>
                <c:pt idx="77">
                  <c:v>41765</c:v>
                </c:pt>
                <c:pt idx="78">
                  <c:v>41766</c:v>
                </c:pt>
                <c:pt idx="79">
                  <c:v>41767</c:v>
                </c:pt>
                <c:pt idx="80">
                  <c:v>41768</c:v>
                </c:pt>
                <c:pt idx="81">
                  <c:v>41771</c:v>
                </c:pt>
                <c:pt idx="82">
                  <c:v>41772</c:v>
                </c:pt>
                <c:pt idx="83">
                  <c:v>41773</c:v>
                </c:pt>
                <c:pt idx="84">
                  <c:v>41774</c:v>
                </c:pt>
                <c:pt idx="85">
                  <c:v>41775</c:v>
                </c:pt>
                <c:pt idx="86">
                  <c:v>41778</c:v>
                </c:pt>
                <c:pt idx="87">
                  <c:v>41779</c:v>
                </c:pt>
                <c:pt idx="88">
                  <c:v>41780</c:v>
                </c:pt>
                <c:pt idx="89">
                  <c:v>41781</c:v>
                </c:pt>
                <c:pt idx="90">
                  <c:v>41782</c:v>
                </c:pt>
                <c:pt idx="91">
                  <c:v>41785</c:v>
                </c:pt>
                <c:pt idx="92">
                  <c:v>41786</c:v>
                </c:pt>
                <c:pt idx="93">
                  <c:v>41787</c:v>
                </c:pt>
                <c:pt idx="94">
                  <c:v>41788</c:v>
                </c:pt>
                <c:pt idx="95">
                  <c:v>41789</c:v>
                </c:pt>
                <c:pt idx="96">
                  <c:v>41792</c:v>
                </c:pt>
                <c:pt idx="97">
                  <c:v>41793</c:v>
                </c:pt>
                <c:pt idx="98">
                  <c:v>41794</c:v>
                </c:pt>
                <c:pt idx="99">
                  <c:v>41795</c:v>
                </c:pt>
                <c:pt idx="100">
                  <c:v>41796</c:v>
                </c:pt>
                <c:pt idx="101">
                  <c:v>41799</c:v>
                </c:pt>
                <c:pt idx="102">
                  <c:v>41800</c:v>
                </c:pt>
                <c:pt idx="103">
                  <c:v>41801</c:v>
                </c:pt>
                <c:pt idx="104">
                  <c:v>41802</c:v>
                </c:pt>
                <c:pt idx="105">
                  <c:v>41803</c:v>
                </c:pt>
                <c:pt idx="106">
                  <c:v>41806</c:v>
                </c:pt>
                <c:pt idx="107">
                  <c:v>41807</c:v>
                </c:pt>
                <c:pt idx="108">
                  <c:v>41808</c:v>
                </c:pt>
                <c:pt idx="109">
                  <c:v>41809</c:v>
                </c:pt>
                <c:pt idx="110">
                  <c:v>41810</c:v>
                </c:pt>
                <c:pt idx="111">
                  <c:v>41813</c:v>
                </c:pt>
                <c:pt idx="112">
                  <c:v>41814</c:v>
                </c:pt>
                <c:pt idx="113">
                  <c:v>41815</c:v>
                </c:pt>
                <c:pt idx="114">
                  <c:v>41816</c:v>
                </c:pt>
                <c:pt idx="115">
                  <c:v>41817</c:v>
                </c:pt>
                <c:pt idx="116">
                  <c:v>41820</c:v>
                </c:pt>
                <c:pt idx="117">
                  <c:v>41821</c:v>
                </c:pt>
                <c:pt idx="118">
                  <c:v>41822</c:v>
                </c:pt>
                <c:pt idx="119">
                  <c:v>41823</c:v>
                </c:pt>
                <c:pt idx="120">
                  <c:v>41824</c:v>
                </c:pt>
                <c:pt idx="121">
                  <c:v>41827</c:v>
                </c:pt>
                <c:pt idx="122">
                  <c:v>41828</c:v>
                </c:pt>
                <c:pt idx="123">
                  <c:v>41829</c:v>
                </c:pt>
                <c:pt idx="124">
                  <c:v>41830</c:v>
                </c:pt>
                <c:pt idx="125">
                  <c:v>41831</c:v>
                </c:pt>
                <c:pt idx="126">
                  <c:v>41834</c:v>
                </c:pt>
                <c:pt idx="127">
                  <c:v>41835</c:v>
                </c:pt>
                <c:pt idx="128">
                  <c:v>41836</c:v>
                </c:pt>
                <c:pt idx="129">
                  <c:v>41837</c:v>
                </c:pt>
                <c:pt idx="130">
                  <c:v>41838</c:v>
                </c:pt>
                <c:pt idx="131">
                  <c:v>41841</c:v>
                </c:pt>
                <c:pt idx="132">
                  <c:v>41842</c:v>
                </c:pt>
                <c:pt idx="133">
                  <c:v>41843</c:v>
                </c:pt>
                <c:pt idx="134">
                  <c:v>41844</c:v>
                </c:pt>
                <c:pt idx="135">
                  <c:v>41845</c:v>
                </c:pt>
                <c:pt idx="136">
                  <c:v>41848</c:v>
                </c:pt>
                <c:pt idx="137">
                  <c:v>41849</c:v>
                </c:pt>
                <c:pt idx="138">
                  <c:v>41850</c:v>
                </c:pt>
                <c:pt idx="139">
                  <c:v>41851</c:v>
                </c:pt>
                <c:pt idx="140">
                  <c:v>41852</c:v>
                </c:pt>
                <c:pt idx="141">
                  <c:v>41855</c:v>
                </c:pt>
                <c:pt idx="142">
                  <c:v>41856</c:v>
                </c:pt>
                <c:pt idx="143">
                  <c:v>41857</c:v>
                </c:pt>
                <c:pt idx="144">
                  <c:v>41858</c:v>
                </c:pt>
                <c:pt idx="145">
                  <c:v>41859</c:v>
                </c:pt>
                <c:pt idx="146">
                  <c:v>41862</c:v>
                </c:pt>
                <c:pt idx="147">
                  <c:v>41863</c:v>
                </c:pt>
                <c:pt idx="148">
                  <c:v>41864</c:v>
                </c:pt>
                <c:pt idx="149">
                  <c:v>41865</c:v>
                </c:pt>
                <c:pt idx="150">
                  <c:v>41866</c:v>
                </c:pt>
                <c:pt idx="151">
                  <c:v>41869</c:v>
                </c:pt>
                <c:pt idx="152">
                  <c:v>41870</c:v>
                </c:pt>
                <c:pt idx="153">
                  <c:v>41871</c:v>
                </c:pt>
                <c:pt idx="154">
                  <c:v>41872</c:v>
                </c:pt>
                <c:pt idx="155">
                  <c:v>41873</c:v>
                </c:pt>
                <c:pt idx="156">
                  <c:v>41876</c:v>
                </c:pt>
                <c:pt idx="157">
                  <c:v>41877</c:v>
                </c:pt>
                <c:pt idx="158">
                  <c:v>41878</c:v>
                </c:pt>
                <c:pt idx="159">
                  <c:v>41879</c:v>
                </c:pt>
                <c:pt idx="160">
                  <c:v>41880</c:v>
                </c:pt>
                <c:pt idx="161">
                  <c:v>41885</c:v>
                </c:pt>
                <c:pt idx="162">
                  <c:v>41886</c:v>
                </c:pt>
                <c:pt idx="163">
                  <c:v>41887</c:v>
                </c:pt>
                <c:pt idx="164">
                  <c:v>41890</c:v>
                </c:pt>
                <c:pt idx="165">
                  <c:v>41891</c:v>
                </c:pt>
                <c:pt idx="166">
                  <c:v>41892</c:v>
                </c:pt>
                <c:pt idx="167">
                  <c:v>41893</c:v>
                </c:pt>
                <c:pt idx="168">
                  <c:v>41894</c:v>
                </c:pt>
                <c:pt idx="169">
                  <c:v>41897</c:v>
                </c:pt>
                <c:pt idx="170">
                  <c:v>41898</c:v>
                </c:pt>
                <c:pt idx="171">
                  <c:v>41899</c:v>
                </c:pt>
                <c:pt idx="172">
                  <c:v>41900</c:v>
                </c:pt>
                <c:pt idx="173">
                  <c:v>41901</c:v>
                </c:pt>
                <c:pt idx="174">
                  <c:v>41904</c:v>
                </c:pt>
                <c:pt idx="175">
                  <c:v>41905</c:v>
                </c:pt>
                <c:pt idx="176">
                  <c:v>41906</c:v>
                </c:pt>
                <c:pt idx="177">
                  <c:v>41907</c:v>
                </c:pt>
                <c:pt idx="178">
                  <c:v>41908</c:v>
                </c:pt>
                <c:pt idx="179">
                  <c:v>41911</c:v>
                </c:pt>
                <c:pt idx="180">
                  <c:v>41912</c:v>
                </c:pt>
                <c:pt idx="181">
                  <c:v>41913</c:v>
                </c:pt>
                <c:pt idx="182">
                  <c:v>41914</c:v>
                </c:pt>
                <c:pt idx="183">
                  <c:v>41918</c:v>
                </c:pt>
                <c:pt idx="184">
                  <c:v>41919</c:v>
                </c:pt>
                <c:pt idx="185">
                  <c:v>41920</c:v>
                </c:pt>
                <c:pt idx="186">
                  <c:v>41921</c:v>
                </c:pt>
                <c:pt idx="187">
                  <c:v>41922</c:v>
                </c:pt>
                <c:pt idx="188">
                  <c:v>41925</c:v>
                </c:pt>
                <c:pt idx="189">
                  <c:v>41926</c:v>
                </c:pt>
                <c:pt idx="190">
                  <c:v>41927</c:v>
                </c:pt>
                <c:pt idx="191">
                  <c:v>41928</c:v>
                </c:pt>
                <c:pt idx="192">
                  <c:v>41929</c:v>
                </c:pt>
                <c:pt idx="193">
                  <c:v>41932</c:v>
                </c:pt>
                <c:pt idx="194">
                  <c:v>41933</c:v>
                </c:pt>
                <c:pt idx="195">
                  <c:v>41934</c:v>
                </c:pt>
                <c:pt idx="196">
                  <c:v>41935</c:v>
                </c:pt>
                <c:pt idx="197">
                  <c:v>41936</c:v>
                </c:pt>
                <c:pt idx="198">
                  <c:v>41939</c:v>
                </c:pt>
                <c:pt idx="199">
                  <c:v>41940</c:v>
                </c:pt>
                <c:pt idx="200">
                  <c:v>41941</c:v>
                </c:pt>
                <c:pt idx="201">
                  <c:v>41942</c:v>
                </c:pt>
                <c:pt idx="202">
                  <c:v>41943</c:v>
                </c:pt>
                <c:pt idx="203">
                  <c:v>41946</c:v>
                </c:pt>
                <c:pt idx="204">
                  <c:v>41947</c:v>
                </c:pt>
                <c:pt idx="205">
                  <c:v>41948</c:v>
                </c:pt>
                <c:pt idx="206">
                  <c:v>41949</c:v>
                </c:pt>
                <c:pt idx="207">
                  <c:v>41950</c:v>
                </c:pt>
                <c:pt idx="208">
                  <c:v>41953</c:v>
                </c:pt>
                <c:pt idx="209">
                  <c:v>41954</c:v>
                </c:pt>
                <c:pt idx="210">
                  <c:v>41955</c:v>
                </c:pt>
                <c:pt idx="211">
                  <c:v>41956</c:v>
                </c:pt>
                <c:pt idx="212">
                  <c:v>41957</c:v>
                </c:pt>
                <c:pt idx="213">
                  <c:v>41960</c:v>
                </c:pt>
                <c:pt idx="214">
                  <c:v>41961</c:v>
                </c:pt>
                <c:pt idx="215">
                  <c:v>41962</c:v>
                </c:pt>
                <c:pt idx="216">
                  <c:v>41963</c:v>
                </c:pt>
                <c:pt idx="217">
                  <c:v>41964</c:v>
                </c:pt>
                <c:pt idx="218">
                  <c:v>41967</c:v>
                </c:pt>
                <c:pt idx="219">
                  <c:v>41968</c:v>
                </c:pt>
                <c:pt idx="220">
                  <c:v>41969</c:v>
                </c:pt>
                <c:pt idx="221">
                  <c:v>41970</c:v>
                </c:pt>
                <c:pt idx="222">
                  <c:v>41971</c:v>
                </c:pt>
                <c:pt idx="223">
                  <c:v>41974</c:v>
                </c:pt>
                <c:pt idx="224">
                  <c:v>41975</c:v>
                </c:pt>
                <c:pt idx="225">
                  <c:v>41976</c:v>
                </c:pt>
                <c:pt idx="226">
                  <c:v>41977</c:v>
                </c:pt>
                <c:pt idx="227">
                  <c:v>41978</c:v>
                </c:pt>
                <c:pt idx="228">
                  <c:v>41981</c:v>
                </c:pt>
                <c:pt idx="229">
                  <c:v>41982</c:v>
                </c:pt>
                <c:pt idx="230">
                  <c:v>41983</c:v>
                </c:pt>
                <c:pt idx="231">
                  <c:v>41984</c:v>
                </c:pt>
                <c:pt idx="232">
                  <c:v>41985</c:v>
                </c:pt>
                <c:pt idx="233">
                  <c:v>41988</c:v>
                </c:pt>
                <c:pt idx="234">
                  <c:v>41989</c:v>
                </c:pt>
                <c:pt idx="235">
                  <c:v>41990</c:v>
                </c:pt>
                <c:pt idx="236">
                  <c:v>41991</c:v>
                </c:pt>
                <c:pt idx="237">
                  <c:v>41992</c:v>
                </c:pt>
                <c:pt idx="238">
                  <c:v>41995</c:v>
                </c:pt>
                <c:pt idx="239">
                  <c:v>41996</c:v>
                </c:pt>
                <c:pt idx="240">
                  <c:v>41997</c:v>
                </c:pt>
                <c:pt idx="241">
                  <c:v>41998</c:v>
                </c:pt>
                <c:pt idx="242">
                  <c:v>41999</c:v>
                </c:pt>
                <c:pt idx="243">
                  <c:v>42003</c:v>
                </c:pt>
                <c:pt idx="244">
                  <c:v>42004</c:v>
                </c:pt>
                <c:pt idx="245">
                  <c:v>42009</c:v>
                </c:pt>
                <c:pt idx="246">
                  <c:v>42010</c:v>
                </c:pt>
                <c:pt idx="247">
                  <c:v>42011</c:v>
                </c:pt>
                <c:pt idx="248">
                  <c:v>42012</c:v>
                </c:pt>
                <c:pt idx="249">
                  <c:v>42013</c:v>
                </c:pt>
                <c:pt idx="250">
                  <c:v>42016</c:v>
                </c:pt>
                <c:pt idx="251">
                  <c:v>42017</c:v>
                </c:pt>
                <c:pt idx="252">
                  <c:v>42018</c:v>
                </c:pt>
                <c:pt idx="253">
                  <c:v>42019</c:v>
                </c:pt>
                <c:pt idx="254">
                  <c:v>42020</c:v>
                </c:pt>
                <c:pt idx="255">
                  <c:v>42023</c:v>
                </c:pt>
                <c:pt idx="256">
                  <c:v>42024</c:v>
                </c:pt>
                <c:pt idx="257">
                  <c:v>42025</c:v>
                </c:pt>
                <c:pt idx="258">
                  <c:v>42026</c:v>
                </c:pt>
                <c:pt idx="259">
                  <c:v>42027</c:v>
                </c:pt>
                <c:pt idx="260">
                  <c:v>42030</c:v>
                </c:pt>
                <c:pt idx="261">
                  <c:v>42031</c:v>
                </c:pt>
                <c:pt idx="262">
                  <c:v>42032</c:v>
                </c:pt>
                <c:pt idx="263">
                  <c:v>42033</c:v>
                </c:pt>
                <c:pt idx="264">
                  <c:v>42034</c:v>
                </c:pt>
                <c:pt idx="265">
                  <c:v>42037</c:v>
                </c:pt>
                <c:pt idx="266">
                  <c:v>42038</c:v>
                </c:pt>
                <c:pt idx="267">
                  <c:v>42039</c:v>
                </c:pt>
                <c:pt idx="268">
                  <c:v>42040</c:v>
                </c:pt>
                <c:pt idx="269">
                  <c:v>42041</c:v>
                </c:pt>
                <c:pt idx="270">
                  <c:v>42044</c:v>
                </c:pt>
                <c:pt idx="271">
                  <c:v>42045</c:v>
                </c:pt>
                <c:pt idx="272">
                  <c:v>42046</c:v>
                </c:pt>
                <c:pt idx="273">
                  <c:v>42047</c:v>
                </c:pt>
                <c:pt idx="274">
                  <c:v>42048</c:v>
                </c:pt>
                <c:pt idx="275">
                  <c:v>42059</c:v>
                </c:pt>
                <c:pt idx="276">
                  <c:v>42061</c:v>
                </c:pt>
                <c:pt idx="277">
                  <c:v>42062</c:v>
                </c:pt>
                <c:pt idx="278">
                  <c:v>42065</c:v>
                </c:pt>
                <c:pt idx="279">
                  <c:v>42066</c:v>
                </c:pt>
                <c:pt idx="280">
                  <c:v>42067</c:v>
                </c:pt>
                <c:pt idx="281">
                  <c:v>42068</c:v>
                </c:pt>
                <c:pt idx="282">
                  <c:v>42069</c:v>
                </c:pt>
                <c:pt idx="283">
                  <c:v>42072</c:v>
                </c:pt>
                <c:pt idx="284">
                  <c:v>42073</c:v>
                </c:pt>
                <c:pt idx="285">
                  <c:v>42074</c:v>
                </c:pt>
                <c:pt idx="286">
                  <c:v>42075</c:v>
                </c:pt>
                <c:pt idx="287">
                  <c:v>42076</c:v>
                </c:pt>
                <c:pt idx="288">
                  <c:v>42079</c:v>
                </c:pt>
                <c:pt idx="289">
                  <c:v>42080</c:v>
                </c:pt>
                <c:pt idx="290">
                  <c:v>42081</c:v>
                </c:pt>
                <c:pt idx="291">
                  <c:v>42082</c:v>
                </c:pt>
                <c:pt idx="292">
                  <c:v>42083</c:v>
                </c:pt>
                <c:pt idx="293">
                  <c:v>42086</c:v>
                </c:pt>
                <c:pt idx="294">
                  <c:v>42087</c:v>
                </c:pt>
                <c:pt idx="295">
                  <c:v>42088</c:v>
                </c:pt>
                <c:pt idx="296">
                  <c:v>42089</c:v>
                </c:pt>
                <c:pt idx="297">
                  <c:v>42090</c:v>
                </c:pt>
                <c:pt idx="298">
                  <c:v>42093</c:v>
                </c:pt>
                <c:pt idx="299">
                  <c:v>42094</c:v>
                </c:pt>
                <c:pt idx="300">
                  <c:v>42095</c:v>
                </c:pt>
                <c:pt idx="301">
                  <c:v>42096</c:v>
                </c:pt>
                <c:pt idx="302">
                  <c:v>42097</c:v>
                </c:pt>
                <c:pt idx="303">
                  <c:v>42100</c:v>
                </c:pt>
                <c:pt idx="304">
                  <c:v>42101</c:v>
                </c:pt>
                <c:pt idx="305">
                  <c:v>42102</c:v>
                </c:pt>
                <c:pt idx="306">
                  <c:v>42103</c:v>
                </c:pt>
                <c:pt idx="307">
                  <c:v>42104</c:v>
                </c:pt>
                <c:pt idx="308">
                  <c:v>42107</c:v>
                </c:pt>
                <c:pt idx="309">
                  <c:v>42108</c:v>
                </c:pt>
                <c:pt idx="310">
                  <c:v>42109</c:v>
                </c:pt>
                <c:pt idx="311">
                  <c:v>42110</c:v>
                </c:pt>
                <c:pt idx="312">
                  <c:v>42111</c:v>
                </c:pt>
                <c:pt idx="313">
                  <c:v>42114</c:v>
                </c:pt>
                <c:pt idx="314">
                  <c:v>42115</c:v>
                </c:pt>
                <c:pt idx="315">
                  <c:v>42116</c:v>
                </c:pt>
                <c:pt idx="316">
                  <c:v>42117</c:v>
                </c:pt>
                <c:pt idx="317">
                  <c:v>42118</c:v>
                </c:pt>
                <c:pt idx="318">
                  <c:v>42121</c:v>
                </c:pt>
                <c:pt idx="319">
                  <c:v>42128</c:v>
                </c:pt>
                <c:pt idx="320">
                  <c:v>42129</c:v>
                </c:pt>
                <c:pt idx="321">
                  <c:v>42130</c:v>
                </c:pt>
                <c:pt idx="322">
                  <c:v>42131</c:v>
                </c:pt>
                <c:pt idx="323">
                  <c:v>42132</c:v>
                </c:pt>
                <c:pt idx="324">
                  <c:v>42135</c:v>
                </c:pt>
                <c:pt idx="325">
                  <c:v>42136</c:v>
                </c:pt>
                <c:pt idx="326">
                  <c:v>42137</c:v>
                </c:pt>
                <c:pt idx="327">
                  <c:v>42138</c:v>
                </c:pt>
                <c:pt idx="328">
                  <c:v>42139</c:v>
                </c:pt>
                <c:pt idx="329">
                  <c:v>42142</c:v>
                </c:pt>
                <c:pt idx="330">
                  <c:v>42143</c:v>
                </c:pt>
                <c:pt idx="331">
                  <c:v>42144</c:v>
                </c:pt>
                <c:pt idx="332">
                  <c:v>42145</c:v>
                </c:pt>
                <c:pt idx="333">
                  <c:v>42146</c:v>
                </c:pt>
                <c:pt idx="334">
                  <c:v>42149</c:v>
                </c:pt>
                <c:pt idx="335">
                  <c:v>42150</c:v>
                </c:pt>
                <c:pt idx="336">
                  <c:v>42151</c:v>
                </c:pt>
                <c:pt idx="337">
                  <c:v>42152</c:v>
                </c:pt>
                <c:pt idx="338">
                  <c:v>42153</c:v>
                </c:pt>
                <c:pt idx="339">
                  <c:v>42156</c:v>
                </c:pt>
                <c:pt idx="340">
                  <c:v>42157</c:v>
                </c:pt>
                <c:pt idx="341">
                  <c:v>42158</c:v>
                </c:pt>
                <c:pt idx="342">
                  <c:v>42159</c:v>
                </c:pt>
                <c:pt idx="343">
                  <c:v>42160</c:v>
                </c:pt>
                <c:pt idx="344">
                  <c:v>42163</c:v>
                </c:pt>
                <c:pt idx="345">
                  <c:v>42164</c:v>
                </c:pt>
                <c:pt idx="346">
                  <c:v>42165</c:v>
                </c:pt>
                <c:pt idx="347">
                  <c:v>42166</c:v>
                </c:pt>
                <c:pt idx="348">
                  <c:v>42167</c:v>
                </c:pt>
                <c:pt idx="349">
                  <c:v>42170</c:v>
                </c:pt>
                <c:pt idx="350">
                  <c:v>42171</c:v>
                </c:pt>
                <c:pt idx="351">
                  <c:v>42172</c:v>
                </c:pt>
                <c:pt idx="352">
                  <c:v>42173</c:v>
                </c:pt>
                <c:pt idx="353">
                  <c:v>42174</c:v>
                </c:pt>
                <c:pt idx="354">
                  <c:v>42177</c:v>
                </c:pt>
                <c:pt idx="355">
                  <c:v>42178</c:v>
                </c:pt>
                <c:pt idx="356">
                  <c:v>42179</c:v>
                </c:pt>
                <c:pt idx="357">
                  <c:v>42180</c:v>
                </c:pt>
                <c:pt idx="358">
                  <c:v>42181</c:v>
                </c:pt>
                <c:pt idx="359">
                  <c:v>42184</c:v>
                </c:pt>
                <c:pt idx="360">
                  <c:v>42185</c:v>
                </c:pt>
                <c:pt idx="361">
                  <c:v>42186</c:v>
                </c:pt>
                <c:pt idx="362">
                  <c:v>42187</c:v>
                </c:pt>
                <c:pt idx="363">
                  <c:v>42188</c:v>
                </c:pt>
                <c:pt idx="364">
                  <c:v>42191</c:v>
                </c:pt>
                <c:pt idx="365">
                  <c:v>42192</c:v>
                </c:pt>
                <c:pt idx="366">
                  <c:v>42193</c:v>
                </c:pt>
                <c:pt idx="367">
                  <c:v>42194</c:v>
                </c:pt>
                <c:pt idx="368">
                  <c:v>42195</c:v>
                </c:pt>
                <c:pt idx="369">
                  <c:v>42198</c:v>
                </c:pt>
                <c:pt idx="370">
                  <c:v>42199</c:v>
                </c:pt>
                <c:pt idx="371">
                  <c:v>42200</c:v>
                </c:pt>
                <c:pt idx="372">
                  <c:v>42201</c:v>
                </c:pt>
                <c:pt idx="373">
                  <c:v>42202</c:v>
                </c:pt>
                <c:pt idx="374">
                  <c:v>42205</c:v>
                </c:pt>
                <c:pt idx="375">
                  <c:v>42206</c:v>
                </c:pt>
                <c:pt idx="376">
                  <c:v>42207</c:v>
                </c:pt>
                <c:pt idx="377">
                  <c:v>42208</c:v>
                </c:pt>
                <c:pt idx="378">
                  <c:v>42209</c:v>
                </c:pt>
                <c:pt idx="379">
                  <c:v>42212</c:v>
                </c:pt>
                <c:pt idx="380">
                  <c:v>42213</c:v>
                </c:pt>
                <c:pt idx="381">
                  <c:v>42214</c:v>
                </c:pt>
                <c:pt idx="382">
                  <c:v>42215</c:v>
                </c:pt>
                <c:pt idx="383">
                  <c:v>42216</c:v>
                </c:pt>
                <c:pt idx="384">
                  <c:v>42219</c:v>
                </c:pt>
                <c:pt idx="385">
                  <c:v>42220</c:v>
                </c:pt>
                <c:pt idx="386">
                  <c:v>42221</c:v>
                </c:pt>
                <c:pt idx="387">
                  <c:v>42222</c:v>
                </c:pt>
                <c:pt idx="388">
                  <c:v>42223</c:v>
                </c:pt>
                <c:pt idx="389">
                  <c:v>42226</c:v>
                </c:pt>
                <c:pt idx="390">
                  <c:v>42227</c:v>
                </c:pt>
                <c:pt idx="391">
                  <c:v>42228</c:v>
                </c:pt>
                <c:pt idx="392">
                  <c:v>42229</c:v>
                </c:pt>
                <c:pt idx="393">
                  <c:v>42230</c:v>
                </c:pt>
                <c:pt idx="394">
                  <c:v>42233</c:v>
                </c:pt>
                <c:pt idx="395">
                  <c:v>42234</c:v>
                </c:pt>
                <c:pt idx="396">
                  <c:v>42235</c:v>
                </c:pt>
                <c:pt idx="397">
                  <c:v>42236</c:v>
                </c:pt>
                <c:pt idx="398">
                  <c:v>42237</c:v>
                </c:pt>
                <c:pt idx="399">
                  <c:v>42240</c:v>
                </c:pt>
                <c:pt idx="400">
                  <c:v>42241</c:v>
                </c:pt>
                <c:pt idx="401">
                  <c:v>42242</c:v>
                </c:pt>
                <c:pt idx="402">
                  <c:v>42243</c:v>
                </c:pt>
                <c:pt idx="403">
                  <c:v>42244</c:v>
                </c:pt>
                <c:pt idx="404">
                  <c:v>42247</c:v>
                </c:pt>
                <c:pt idx="405">
                  <c:v>42248</c:v>
                </c:pt>
                <c:pt idx="406">
                  <c:v>42250</c:v>
                </c:pt>
                <c:pt idx="407">
                  <c:v>42251</c:v>
                </c:pt>
                <c:pt idx="408">
                  <c:v>42254</c:v>
                </c:pt>
                <c:pt idx="409">
                  <c:v>42255</c:v>
                </c:pt>
                <c:pt idx="410">
                  <c:v>42256</c:v>
                </c:pt>
                <c:pt idx="411">
                  <c:v>42257</c:v>
                </c:pt>
                <c:pt idx="412">
                  <c:v>42258</c:v>
                </c:pt>
                <c:pt idx="413">
                  <c:v>42261</c:v>
                </c:pt>
                <c:pt idx="414">
                  <c:v>42262</c:v>
                </c:pt>
                <c:pt idx="415">
                  <c:v>42263</c:v>
                </c:pt>
                <c:pt idx="416">
                  <c:v>42264</c:v>
                </c:pt>
              </c:numCache>
            </c:numRef>
          </c:cat>
          <c:val>
            <c:numRef>
              <c:f>'chỉ số CDS'!$C$2:$C$418</c:f>
              <c:numCache>
                <c:formatCode>General</c:formatCode>
                <c:ptCount val="417"/>
                <c:pt idx="0">
                  <c:v>259.82</c:v>
                </c:pt>
                <c:pt idx="1">
                  <c:v>262.20999999999964</c:v>
                </c:pt>
                <c:pt idx="2">
                  <c:v>264.61</c:v>
                </c:pt>
                <c:pt idx="3">
                  <c:v>264.61</c:v>
                </c:pt>
                <c:pt idx="4">
                  <c:v>262.33999999999969</c:v>
                </c:pt>
                <c:pt idx="5">
                  <c:v>262.38</c:v>
                </c:pt>
                <c:pt idx="6">
                  <c:v>262.36</c:v>
                </c:pt>
                <c:pt idx="7">
                  <c:v>260.26</c:v>
                </c:pt>
                <c:pt idx="8">
                  <c:v>260.08999999999969</c:v>
                </c:pt>
                <c:pt idx="9">
                  <c:v>260.14000000000038</c:v>
                </c:pt>
                <c:pt idx="10">
                  <c:v>255.25</c:v>
                </c:pt>
                <c:pt idx="11">
                  <c:v>255.26</c:v>
                </c:pt>
                <c:pt idx="12">
                  <c:v>255.292</c:v>
                </c:pt>
                <c:pt idx="13">
                  <c:v>257.69499999999999</c:v>
                </c:pt>
                <c:pt idx="14">
                  <c:v>257.71099999999899</c:v>
                </c:pt>
                <c:pt idx="15">
                  <c:v>256.28199999999748</c:v>
                </c:pt>
                <c:pt idx="16">
                  <c:v>258.5269999999976</c:v>
                </c:pt>
                <c:pt idx="17">
                  <c:v>258.613</c:v>
                </c:pt>
                <c:pt idx="18">
                  <c:v>259.08</c:v>
                </c:pt>
                <c:pt idx="19">
                  <c:v>255.36</c:v>
                </c:pt>
                <c:pt idx="20">
                  <c:v>253.96</c:v>
                </c:pt>
                <c:pt idx="21">
                  <c:v>252.14</c:v>
                </c:pt>
                <c:pt idx="22">
                  <c:v>250.76</c:v>
                </c:pt>
                <c:pt idx="23">
                  <c:v>250.75</c:v>
                </c:pt>
                <c:pt idx="24">
                  <c:v>248.42000000000004</c:v>
                </c:pt>
                <c:pt idx="25">
                  <c:v>248.42000000000004</c:v>
                </c:pt>
                <c:pt idx="26">
                  <c:v>247.03</c:v>
                </c:pt>
                <c:pt idx="27">
                  <c:v>247.06</c:v>
                </c:pt>
                <c:pt idx="28">
                  <c:v>245.57</c:v>
                </c:pt>
                <c:pt idx="29">
                  <c:v>245.56</c:v>
                </c:pt>
                <c:pt idx="30">
                  <c:v>246.12</c:v>
                </c:pt>
                <c:pt idx="31">
                  <c:v>244.7</c:v>
                </c:pt>
                <c:pt idx="32">
                  <c:v>243.33</c:v>
                </c:pt>
                <c:pt idx="33">
                  <c:v>232.92000000000004</c:v>
                </c:pt>
                <c:pt idx="34">
                  <c:v>231.05</c:v>
                </c:pt>
                <c:pt idx="35">
                  <c:v>231.92000000000004</c:v>
                </c:pt>
                <c:pt idx="36">
                  <c:v>230.53</c:v>
                </c:pt>
                <c:pt idx="37">
                  <c:v>227.23999999999998</c:v>
                </c:pt>
                <c:pt idx="38">
                  <c:v>227.25</c:v>
                </c:pt>
                <c:pt idx="39">
                  <c:v>225.88000000000099</c:v>
                </c:pt>
                <c:pt idx="40">
                  <c:v>227.25</c:v>
                </c:pt>
                <c:pt idx="41">
                  <c:v>228.2</c:v>
                </c:pt>
                <c:pt idx="42">
                  <c:v>226.82000000000087</c:v>
                </c:pt>
                <c:pt idx="43">
                  <c:v>224.37</c:v>
                </c:pt>
                <c:pt idx="44">
                  <c:v>225.33</c:v>
                </c:pt>
                <c:pt idx="45">
                  <c:v>223.01</c:v>
                </c:pt>
                <c:pt idx="46">
                  <c:v>223.03</c:v>
                </c:pt>
                <c:pt idx="47">
                  <c:v>222.98000000000027</c:v>
                </c:pt>
                <c:pt idx="48">
                  <c:v>232.64</c:v>
                </c:pt>
                <c:pt idx="49">
                  <c:v>231.23999999999998</c:v>
                </c:pt>
                <c:pt idx="50">
                  <c:v>228.49</c:v>
                </c:pt>
                <c:pt idx="51">
                  <c:v>228.5</c:v>
                </c:pt>
                <c:pt idx="52">
                  <c:v>226.02</c:v>
                </c:pt>
                <c:pt idx="53">
                  <c:v>225.58</c:v>
                </c:pt>
                <c:pt idx="54">
                  <c:v>225.64</c:v>
                </c:pt>
                <c:pt idx="55">
                  <c:v>219.37</c:v>
                </c:pt>
                <c:pt idx="56">
                  <c:v>218.01</c:v>
                </c:pt>
                <c:pt idx="57">
                  <c:v>222.99</c:v>
                </c:pt>
                <c:pt idx="58">
                  <c:v>215.65</c:v>
                </c:pt>
                <c:pt idx="59">
                  <c:v>215.63</c:v>
                </c:pt>
                <c:pt idx="60">
                  <c:v>216.18</c:v>
                </c:pt>
                <c:pt idx="61">
                  <c:v>215.15</c:v>
                </c:pt>
                <c:pt idx="62">
                  <c:v>211.87</c:v>
                </c:pt>
                <c:pt idx="63">
                  <c:v>211.91</c:v>
                </c:pt>
                <c:pt idx="64">
                  <c:v>207.05</c:v>
                </c:pt>
                <c:pt idx="65">
                  <c:v>207.07</c:v>
                </c:pt>
                <c:pt idx="66">
                  <c:v>207.08</c:v>
                </c:pt>
                <c:pt idx="67">
                  <c:v>207.09</c:v>
                </c:pt>
                <c:pt idx="68">
                  <c:v>207.07</c:v>
                </c:pt>
                <c:pt idx="69">
                  <c:v>207.09</c:v>
                </c:pt>
                <c:pt idx="70">
                  <c:v>207.07</c:v>
                </c:pt>
                <c:pt idx="71">
                  <c:v>207.09</c:v>
                </c:pt>
                <c:pt idx="72">
                  <c:v>208.99</c:v>
                </c:pt>
                <c:pt idx="73">
                  <c:v>211.34</c:v>
                </c:pt>
                <c:pt idx="74">
                  <c:v>211.83</c:v>
                </c:pt>
                <c:pt idx="75">
                  <c:v>214.3</c:v>
                </c:pt>
                <c:pt idx="76">
                  <c:v>212.88000000000099</c:v>
                </c:pt>
                <c:pt idx="77">
                  <c:v>212.86</c:v>
                </c:pt>
                <c:pt idx="78">
                  <c:v>215.6</c:v>
                </c:pt>
                <c:pt idx="79">
                  <c:v>215.56</c:v>
                </c:pt>
                <c:pt idx="80">
                  <c:v>212.89000000000001</c:v>
                </c:pt>
                <c:pt idx="81">
                  <c:v>215.60999999999999</c:v>
                </c:pt>
                <c:pt idx="82">
                  <c:v>215.66</c:v>
                </c:pt>
                <c:pt idx="83">
                  <c:v>215.63</c:v>
                </c:pt>
                <c:pt idx="84">
                  <c:v>210.88000000000099</c:v>
                </c:pt>
                <c:pt idx="85">
                  <c:v>210.79</c:v>
                </c:pt>
                <c:pt idx="86">
                  <c:v>210.73999999999998</c:v>
                </c:pt>
                <c:pt idx="87">
                  <c:v>213.70999999999998</c:v>
                </c:pt>
                <c:pt idx="88">
                  <c:v>213.70999999999998</c:v>
                </c:pt>
                <c:pt idx="89">
                  <c:v>213.73000000000002</c:v>
                </c:pt>
                <c:pt idx="90">
                  <c:v>213.73000000000002</c:v>
                </c:pt>
                <c:pt idx="91">
                  <c:v>213.73000000000002</c:v>
                </c:pt>
                <c:pt idx="92">
                  <c:v>211.81</c:v>
                </c:pt>
                <c:pt idx="93">
                  <c:v>211.79</c:v>
                </c:pt>
                <c:pt idx="94">
                  <c:v>210.93</c:v>
                </c:pt>
                <c:pt idx="95">
                  <c:v>207.91</c:v>
                </c:pt>
                <c:pt idx="96">
                  <c:v>207.91</c:v>
                </c:pt>
                <c:pt idx="97">
                  <c:v>209.86</c:v>
                </c:pt>
                <c:pt idx="98">
                  <c:v>209.85000000000099</c:v>
                </c:pt>
                <c:pt idx="99">
                  <c:v>209.83</c:v>
                </c:pt>
                <c:pt idx="100">
                  <c:v>203.07</c:v>
                </c:pt>
                <c:pt idx="101">
                  <c:v>201.20999999999998</c:v>
                </c:pt>
                <c:pt idx="102">
                  <c:v>201.14</c:v>
                </c:pt>
                <c:pt idx="103">
                  <c:v>201.14</c:v>
                </c:pt>
                <c:pt idx="104">
                  <c:v>201.15</c:v>
                </c:pt>
                <c:pt idx="105">
                  <c:v>201.19</c:v>
                </c:pt>
                <c:pt idx="106">
                  <c:v>201.19</c:v>
                </c:pt>
                <c:pt idx="107">
                  <c:v>200.69</c:v>
                </c:pt>
                <c:pt idx="108">
                  <c:v>200.69</c:v>
                </c:pt>
                <c:pt idx="109">
                  <c:v>199.70999999999998</c:v>
                </c:pt>
                <c:pt idx="110">
                  <c:v>207.6</c:v>
                </c:pt>
                <c:pt idx="111">
                  <c:v>207.62</c:v>
                </c:pt>
                <c:pt idx="112">
                  <c:v>203.34</c:v>
                </c:pt>
                <c:pt idx="113">
                  <c:v>204.28</c:v>
                </c:pt>
                <c:pt idx="114">
                  <c:v>204.28</c:v>
                </c:pt>
                <c:pt idx="115">
                  <c:v>205.70000000000002</c:v>
                </c:pt>
                <c:pt idx="116">
                  <c:v>205.70999999999998</c:v>
                </c:pt>
                <c:pt idx="117">
                  <c:v>205.70000000000002</c:v>
                </c:pt>
                <c:pt idx="118">
                  <c:v>204.3</c:v>
                </c:pt>
                <c:pt idx="119">
                  <c:v>204.31</c:v>
                </c:pt>
                <c:pt idx="120">
                  <c:v>202.43</c:v>
                </c:pt>
                <c:pt idx="121">
                  <c:v>202.44</c:v>
                </c:pt>
                <c:pt idx="122">
                  <c:v>203.38000000000099</c:v>
                </c:pt>
                <c:pt idx="123">
                  <c:v>205.79</c:v>
                </c:pt>
                <c:pt idx="124">
                  <c:v>206.68</c:v>
                </c:pt>
                <c:pt idx="125">
                  <c:v>206.65</c:v>
                </c:pt>
                <c:pt idx="126">
                  <c:v>208.56</c:v>
                </c:pt>
                <c:pt idx="127">
                  <c:v>208.57</c:v>
                </c:pt>
                <c:pt idx="128">
                  <c:v>209.5</c:v>
                </c:pt>
                <c:pt idx="129">
                  <c:v>209.48000000000027</c:v>
                </c:pt>
                <c:pt idx="130">
                  <c:v>211.47</c:v>
                </c:pt>
                <c:pt idx="131">
                  <c:v>210.44</c:v>
                </c:pt>
                <c:pt idx="132">
                  <c:v>210.49</c:v>
                </c:pt>
                <c:pt idx="133">
                  <c:v>210.01</c:v>
                </c:pt>
                <c:pt idx="134">
                  <c:v>208.13</c:v>
                </c:pt>
                <c:pt idx="135">
                  <c:v>208.16</c:v>
                </c:pt>
                <c:pt idx="136">
                  <c:v>208.18</c:v>
                </c:pt>
                <c:pt idx="137">
                  <c:v>208.6</c:v>
                </c:pt>
                <c:pt idx="138">
                  <c:v>209.76999999999998</c:v>
                </c:pt>
                <c:pt idx="139">
                  <c:v>208.64</c:v>
                </c:pt>
                <c:pt idx="140">
                  <c:v>209.67000000000002</c:v>
                </c:pt>
                <c:pt idx="141">
                  <c:v>210.15</c:v>
                </c:pt>
                <c:pt idx="142">
                  <c:v>209.56</c:v>
                </c:pt>
                <c:pt idx="143">
                  <c:v>210.57</c:v>
                </c:pt>
                <c:pt idx="144">
                  <c:v>210.54</c:v>
                </c:pt>
                <c:pt idx="145">
                  <c:v>218.44</c:v>
                </c:pt>
                <c:pt idx="146">
                  <c:v>214.86</c:v>
                </c:pt>
                <c:pt idx="147">
                  <c:v>213.98000000000027</c:v>
                </c:pt>
                <c:pt idx="148">
                  <c:v>213.97</c:v>
                </c:pt>
                <c:pt idx="149">
                  <c:v>212.58</c:v>
                </c:pt>
                <c:pt idx="150">
                  <c:v>205.84</c:v>
                </c:pt>
                <c:pt idx="151">
                  <c:v>205.88000000000099</c:v>
                </c:pt>
                <c:pt idx="152">
                  <c:v>204.44</c:v>
                </c:pt>
                <c:pt idx="153">
                  <c:v>204.42000000000004</c:v>
                </c:pt>
                <c:pt idx="154">
                  <c:v>204.45000000000007</c:v>
                </c:pt>
                <c:pt idx="155">
                  <c:v>203.02</c:v>
                </c:pt>
                <c:pt idx="156">
                  <c:v>202.99</c:v>
                </c:pt>
                <c:pt idx="157">
                  <c:v>196.73999999999998</c:v>
                </c:pt>
                <c:pt idx="158">
                  <c:v>196.73000000000002</c:v>
                </c:pt>
                <c:pt idx="159">
                  <c:v>196.73999999999998</c:v>
                </c:pt>
                <c:pt idx="160">
                  <c:v>194.92000000000004</c:v>
                </c:pt>
                <c:pt idx="161">
                  <c:v>194.92000000000004</c:v>
                </c:pt>
                <c:pt idx="162">
                  <c:v>193.47</c:v>
                </c:pt>
                <c:pt idx="163">
                  <c:v>189.70999999999998</c:v>
                </c:pt>
                <c:pt idx="164">
                  <c:v>189.73999999999998</c:v>
                </c:pt>
                <c:pt idx="165">
                  <c:v>189.72</c:v>
                </c:pt>
                <c:pt idx="166">
                  <c:v>189.69</c:v>
                </c:pt>
                <c:pt idx="167">
                  <c:v>189.70000000000002</c:v>
                </c:pt>
                <c:pt idx="168">
                  <c:v>187.98000000000027</c:v>
                </c:pt>
                <c:pt idx="169">
                  <c:v>189.25</c:v>
                </c:pt>
                <c:pt idx="170">
                  <c:v>189.25</c:v>
                </c:pt>
                <c:pt idx="171">
                  <c:v>189.23</c:v>
                </c:pt>
                <c:pt idx="172">
                  <c:v>188.8</c:v>
                </c:pt>
                <c:pt idx="173">
                  <c:v>188.35000000000099</c:v>
                </c:pt>
                <c:pt idx="174">
                  <c:v>196.34</c:v>
                </c:pt>
                <c:pt idx="175">
                  <c:v>196.34</c:v>
                </c:pt>
                <c:pt idx="176">
                  <c:v>196.70000000000002</c:v>
                </c:pt>
                <c:pt idx="177">
                  <c:v>193.29</c:v>
                </c:pt>
                <c:pt idx="178">
                  <c:v>194.73000000000002</c:v>
                </c:pt>
                <c:pt idx="179">
                  <c:v>202.93</c:v>
                </c:pt>
                <c:pt idx="180">
                  <c:v>203.88000000000099</c:v>
                </c:pt>
                <c:pt idx="181">
                  <c:v>203.83</c:v>
                </c:pt>
                <c:pt idx="182">
                  <c:v>203.83</c:v>
                </c:pt>
                <c:pt idx="183">
                  <c:v>201.9</c:v>
                </c:pt>
                <c:pt idx="184">
                  <c:v>199.93</c:v>
                </c:pt>
                <c:pt idx="185">
                  <c:v>202.87</c:v>
                </c:pt>
                <c:pt idx="186">
                  <c:v>202.42000000000004</c:v>
                </c:pt>
                <c:pt idx="187">
                  <c:v>203.82000000000087</c:v>
                </c:pt>
                <c:pt idx="188">
                  <c:v>205.75</c:v>
                </c:pt>
                <c:pt idx="189">
                  <c:v>205.73000000000002</c:v>
                </c:pt>
                <c:pt idx="190">
                  <c:v>207.52</c:v>
                </c:pt>
                <c:pt idx="191">
                  <c:v>209.38000000000099</c:v>
                </c:pt>
                <c:pt idx="192">
                  <c:v>210.34</c:v>
                </c:pt>
                <c:pt idx="193">
                  <c:v>205.6</c:v>
                </c:pt>
                <c:pt idx="194">
                  <c:v>205.63</c:v>
                </c:pt>
                <c:pt idx="195">
                  <c:v>204.72</c:v>
                </c:pt>
                <c:pt idx="196">
                  <c:v>205.70000000000002</c:v>
                </c:pt>
                <c:pt idx="197">
                  <c:v>205.73999999999998</c:v>
                </c:pt>
                <c:pt idx="198">
                  <c:v>203.6</c:v>
                </c:pt>
                <c:pt idx="199">
                  <c:v>199.76999999999998</c:v>
                </c:pt>
                <c:pt idx="200">
                  <c:v>198.31</c:v>
                </c:pt>
                <c:pt idx="201">
                  <c:v>199.31</c:v>
                </c:pt>
                <c:pt idx="202">
                  <c:v>187.92000000000004</c:v>
                </c:pt>
                <c:pt idx="203">
                  <c:v>187.92000000000004</c:v>
                </c:pt>
                <c:pt idx="204">
                  <c:v>187.49</c:v>
                </c:pt>
                <c:pt idx="205">
                  <c:v>187.99</c:v>
                </c:pt>
                <c:pt idx="206">
                  <c:v>186.55</c:v>
                </c:pt>
                <c:pt idx="207">
                  <c:v>187.23999999999998</c:v>
                </c:pt>
                <c:pt idx="208">
                  <c:v>189.23</c:v>
                </c:pt>
                <c:pt idx="209">
                  <c:v>188.76999999999998</c:v>
                </c:pt>
                <c:pt idx="210">
                  <c:v>187.29</c:v>
                </c:pt>
                <c:pt idx="211">
                  <c:v>188.20999999999998</c:v>
                </c:pt>
                <c:pt idx="212">
                  <c:v>187.8</c:v>
                </c:pt>
                <c:pt idx="213">
                  <c:v>187.34</c:v>
                </c:pt>
                <c:pt idx="214">
                  <c:v>185.89000000000001</c:v>
                </c:pt>
                <c:pt idx="215">
                  <c:v>185.39000000000001</c:v>
                </c:pt>
                <c:pt idx="216">
                  <c:v>184.41</c:v>
                </c:pt>
                <c:pt idx="217">
                  <c:v>185.41</c:v>
                </c:pt>
                <c:pt idx="218">
                  <c:v>183.96</c:v>
                </c:pt>
                <c:pt idx="219">
                  <c:v>182</c:v>
                </c:pt>
                <c:pt idx="220">
                  <c:v>182.46</c:v>
                </c:pt>
                <c:pt idx="221">
                  <c:v>182.46</c:v>
                </c:pt>
                <c:pt idx="222">
                  <c:v>182.47</c:v>
                </c:pt>
                <c:pt idx="223">
                  <c:v>184.94</c:v>
                </c:pt>
                <c:pt idx="224">
                  <c:v>184.44</c:v>
                </c:pt>
                <c:pt idx="225">
                  <c:v>183.45000000000007</c:v>
                </c:pt>
                <c:pt idx="226">
                  <c:v>181.51</c:v>
                </c:pt>
                <c:pt idx="227">
                  <c:v>181.06</c:v>
                </c:pt>
                <c:pt idx="228">
                  <c:v>179.67</c:v>
                </c:pt>
                <c:pt idx="229">
                  <c:v>182.09</c:v>
                </c:pt>
                <c:pt idx="230">
                  <c:v>186.42000000000004</c:v>
                </c:pt>
                <c:pt idx="231">
                  <c:v>188.44</c:v>
                </c:pt>
                <c:pt idx="232">
                  <c:v>189.33</c:v>
                </c:pt>
                <c:pt idx="233">
                  <c:v>203.88000000000099</c:v>
                </c:pt>
                <c:pt idx="234">
                  <c:v>204.76</c:v>
                </c:pt>
                <c:pt idx="235">
                  <c:v>204.91</c:v>
                </c:pt>
                <c:pt idx="236">
                  <c:v>193.73000000000002</c:v>
                </c:pt>
                <c:pt idx="237">
                  <c:v>193.73000000000002</c:v>
                </c:pt>
                <c:pt idx="238">
                  <c:v>194.87</c:v>
                </c:pt>
                <c:pt idx="239">
                  <c:v>193.01</c:v>
                </c:pt>
                <c:pt idx="240">
                  <c:v>193.01</c:v>
                </c:pt>
                <c:pt idx="241">
                  <c:v>193.01</c:v>
                </c:pt>
                <c:pt idx="242">
                  <c:v>194.95000000000007</c:v>
                </c:pt>
                <c:pt idx="243">
                  <c:v>194.47</c:v>
                </c:pt>
                <c:pt idx="244">
                  <c:v>199.28</c:v>
                </c:pt>
                <c:pt idx="245">
                  <c:v>200.70999999999998</c:v>
                </c:pt>
                <c:pt idx="246">
                  <c:v>205.02</c:v>
                </c:pt>
                <c:pt idx="247">
                  <c:v>201.66</c:v>
                </c:pt>
                <c:pt idx="248">
                  <c:v>199.82000000000087</c:v>
                </c:pt>
                <c:pt idx="249">
                  <c:v>202.67000000000002</c:v>
                </c:pt>
                <c:pt idx="250">
                  <c:v>203.62</c:v>
                </c:pt>
                <c:pt idx="251">
                  <c:v>206.48000000000027</c:v>
                </c:pt>
                <c:pt idx="252">
                  <c:v>205.53</c:v>
                </c:pt>
                <c:pt idx="253">
                  <c:v>202.76999999999998</c:v>
                </c:pt>
                <c:pt idx="254">
                  <c:v>202.76999999999998</c:v>
                </c:pt>
                <c:pt idx="255">
                  <c:v>205.07</c:v>
                </c:pt>
                <c:pt idx="256">
                  <c:v>204.55</c:v>
                </c:pt>
                <c:pt idx="257">
                  <c:v>199.75</c:v>
                </c:pt>
                <c:pt idx="258">
                  <c:v>193.99</c:v>
                </c:pt>
                <c:pt idx="259">
                  <c:v>191.97</c:v>
                </c:pt>
                <c:pt idx="260">
                  <c:v>194.47</c:v>
                </c:pt>
                <c:pt idx="261">
                  <c:v>193.55</c:v>
                </c:pt>
                <c:pt idx="262">
                  <c:v>194.03700000000001</c:v>
                </c:pt>
                <c:pt idx="263">
                  <c:v>197.48800000000099</c:v>
                </c:pt>
                <c:pt idx="264">
                  <c:v>195</c:v>
                </c:pt>
                <c:pt idx="265">
                  <c:v>198.92000000000004</c:v>
                </c:pt>
                <c:pt idx="266">
                  <c:v>195.98000000000027</c:v>
                </c:pt>
                <c:pt idx="267">
                  <c:v>191.65</c:v>
                </c:pt>
                <c:pt idx="268">
                  <c:v>194.99</c:v>
                </c:pt>
                <c:pt idx="269">
                  <c:v>192.56</c:v>
                </c:pt>
                <c:pt idx="270">
                  <c:v>194.55</c:v>
                </c:pt>
                <c:pt idx="271">
                  <c:v>195.04</c:v>
                </c:pt>
                <c:pt idx="272">
                  <c:v>195.04</c:v>
                </c:pt>
                <c:pt idx="273">
                  <c:v>195.06</c:v>
                </c:pt>
                <c:pt idx="274">
                  <c:v>187.88000000000099</c:v>
                </c:pt>
                <c:pt idx="275">
                  <c:v>186.94</c:v>
                </c:pt>
                <c:pt idx="276">
                  <c:v>186.44</c:v>
                </c:pt>
                <c:pt idx="277">
                  <c:v>184.49</c:v>
                </c:pt>
                <c:pt idx="278">
                  <c:v>180.65</c:v>
                </c:pt>
                <c:pt idx="279">
                  <c:v>180.68</c:v>
                </c:pt>
                <c:pt idx="280">
                  <c:v>183.14</c:v>
                </c:pt>
                <c:pt idx="281">
                  <c:v>183.14</c:v>
                </c:pt>
                <c:pt idx="282">
                  <c:v>183.16</c:v>
                </c:pt>
                <c:pt idx="283">
                  <c:v>188.49</c:v>
                </c:pt>
                <c:pt idx="284">
                  <c:v>190.9</c:v>
                </c:pt>
                <c:pt idx="285">
                  <c:v>195.23999999999998</c:v>
                </c:pt>
                <c:pt idx="286">
                  <c:v>191.9</c:v>
                </c:pt>
                <c:pt idx="287">
                  <c:v>189.95000000000007</c:v>
                </c:pt>
                <c:pt idx="288">
                  <c:v>193.79</c:v>
                </c:pt>
                <c:pt idx="289">
                  <c:v>192.37</c:v>
                </c:pt>
                <c:pt idx="290">
                  <c:v>192.39000000000001</c:v>
                </c:pt>
                <c:pt idx="291">
                  <c:v>187.04</c:v>
                </c:pt>
                <c:pt idx="292">
                  <c:v>196.45000000000007</c:v>
                </c:pt>
                <c:pt idx="293">
                  <c:v>191.76999999999998</c:v>
                </c:pt>
                <c:pt idx="294">
                  <c:v>193.06</c:v>
                </c:pt>
                <c:pt idx="295">
                  <c:v>195.49</c:v>
                </c:pt>
                <c:pt idx="296">
                  <c:v>195.49</c:v>
                </c:pt>
                <c:pt idx="297">
                  <c:v>195.48000000000027</c:v>
                </c:pt>
                <c:pt idx="298">
                  <c:v>194.05</c:v>
                </c:pt>
                <c:pt idx="299">
                  <c:v>192.13</c:v>
                </c:pt>
                <c:pt idx="300">
                  <c:v>191.22</c:v>
                </c:pt>
                <c:pt idx="301">
                  <c:v>190.22</c:v>
                </c:pt>
                <c:pt idx="302">
                  <c:v>190.22</c:v>
                </c:pt>
                <c:pt idx="303">
                  <c:v>190.23</c:v>
                </c:pt>
                <c:pt idx="304">
                  <c:v>190.22</c:v>
                </c:pt>
                <c:pt idx="305">
                  <c:v>186.37</c:v>
                </c:pt>
                <c:pt idx="306">
                  <c:v>185.46</c:v>
                </c:pt>
                <c:pt idx="307">
                  <c:v>185.91</c:v>
                </c:pt>
                <c:pt idx="308">
                  <c:v>185.9</c:v>
                </c:pt>
                <c:pt idx="309">
                  <c:v>186.86</c:v>
                </c:pt>
                <c:pt idx="310">
                  <c:v>186.85000000000099</c:v>
                </c:pt>
                <c:pt idx="311">
                  <c:v>186.4</c:v>
                </c:pt>
                <c:pt idx="312">
                  <c:v>187.36</c:v>
                </c:pt>
                <c:pt idx="313">
                  <c:v>189.79</c:v>
                </c:pt>
                <c:pt idx="314">
                  <c:v>190.26</c:v>
                </c:pt>
                <c:pt idx="315">
                  <c:v>190.73999999999998</c:v>
                </c:pt>
                <c:pt idx="316">
                  <c:v>190.32000000000087</c:v>
                </c:pt>
                <c:pt idx="317">
                  <c:v>190.32000000000087</c:v>
                </c:pt>
                <c:pt idx="318">
                  <c:v>190.8</c:v>
                </c:pt>
                <c:pt idx="319">
                  <c:v>190.76999999999998</c:v>
                </c:pt>
                <c:pt idx="320">
                  <c:v>189.86</c:v>
                </c:pt>
                <c:pt idx="321">
                  <c:v>190.32000000000087</c:v>
                </c:pt>
                <c:pt idx="322">
                  <c:v>189.86</c:v>
                </c:pt>
                <c:pt idx="323">
                  <c:v>189.87</c:v>
                </c:pt>
                <c:pt idx="324">
                  <c:v>188.4</c:v>
                </c:pt>
                <c:pt idx="325">
                  <c:v>190.36</c:v>
                </c:pt>
                <c:pt idx="326">
                  <c:v>190.83</c:v>
                </c:pt>
                <c:pt idx="327">
                  <c:v>190.83</c:v>
                </c:pt>
                <c:pt idx="328">
                  <c:v>189.86</c:v>
                </c:pt>
                <c:pt idx="329">
                  <c:v>189.86</c:v>
                </c:pt>
                <c:pt idx="330">
                  <c:v>189.86</c:v>
                </c:pt>
                <c:pt idx="331">
                  <c:v>189.35000000000099</c:v>
                </c:pt>
                <c:pt idx="332">
                  <c:v>189.34</c:v>
                </c:pt>
                <c:pt idx="333">
                  <c:v>189.34</c:v>
                </c:pt>
                <c:pt idx="334">
                  <c:v>189.37</c:v>
                </c:pt>
                <c:pt idx="335">
                  <c:v>188.39000000000001</c:v>
                </c:pt>
                <c:pt idx="336">
                  <c:v>188.39000000000001</c:v>
                </c:pt>
                <c:pt idx="337">
                  <c:v>190.31</c:v>
                </c:pt>
                <c:pt idx="338">
                  <c:v>189.82000000000087</c:v>
                </c:pt>
                <c:pt idx="339">
                  <c:v>188.92000000000004</c:v>
                </c:pt>
                <c:pt idx="340">
                  <c:v>190.36</c:v>
                </c:pt>
                <c:pt idx="341">
                  <c:v>190.33</c:v>
                </c:pt>
                <c:pt idx="342">
                  <c:v>191.79</c:v>
                </c:pt>
                <c:pt idx="343">
                  <c:v>192.35000000000099</c:v>
                </c:pt>
                <c:pt idx="344">
                  <c:v>193.8</c:v>
                </c:pt>
                <c:pt idx="345">
                  <c:v>196.19</c:v>
                </c:pt>
                <c:pt idx="346">
                  <c:v>195.72</c:v>
                </c:pt>
                <c:pt idx="347">
                  <c:v>195.22</c:v>
                </c:pt>
                <c:pt idx="348">
                  <c:v>195.23999999999998</c:v>
                </c:pt>
                <c:pt idx="349">
                  <c:v>196.17000000000002</c:v>
                </c:pt>
                <c:pt idx="350">
                  <c:v>199.08</c:v>
                </c:pt>
                <c:pt idx="351">
                  <c:v>200.03</c:v>
                </c:pt>
                <c:pt idx="352">
                  <c:v>199.96</c:v>
                </c:pt>
                <c:pt idx="353">
                  <c:v>197.56</c:v>
                </c:pt>
                <c:pt idx="354">
                  <c:v>200.72</c:v>
                </c:pt>
                <c:pt idx="355">
                  <c:v>201.68</c:v>
                </c:pt>
                <c:pt idx="356">
                  <c:v>200.22</c:v>
                </c:pt>
                <c:pt idx="357">
                  <c:v>200.23999999999998</c:v>
                </c:pt>
                <c:pt idx="358">
                  <c:v>200.25</c:v>
                </c:pt>
                <c:pt idx="359">
                  <c:v>202.91</c:v>
                </c:pt>
                <c:pt idx="360">
                  <c:v>203.15</c:v>
                </c:pt>
                <c:pt idx="361">
                  <c:v>202.20999999999998</c:v>
                </c:pt>
                <c:pt idx="362">
                  <c:v>201.73000000000002</c:v>
                </c:pt>
                <c:pt idx="363">
                  <c:v>201.73000000000002</c:v>
                </c:pt>
                <c:pt idx="364">
                  <c:v>204.54</c:v>
                </c:pt>
                <c:pt idx="365">
                  <c:v>205.1</c:v>
                </c:pt>
                <c:pt idx="366">
                  <c:v>207.45000000000007</c:v>
                </c:pt>
                <c:pt idx="367">
                  <c:v>206.57</c:v>
                </c:pt>
                <c:pt idx="368">
                  <c:v>204.15</c:v>
                </c:pt>
                <c:pt idx="369">
                  <c:v>202.64</c:v>
                </c:pt>
                <c:pt idx="370">
                  <c:v>202.20000000000002</c:v>
                </c:pt>
                <c:pt idx="371">
                  <c:v>202.20999999999998</c:v>
                </c:pt>
                <c:pt idx="372">
                  <c:v>202.75</c:v>
                </c:pt>
                <c:pt idx="373">
                  <c:v>200.31</c:v>
                </c:pt>
                <c:pt idx="374">
                  <c:v>201.25</c:v>
                </c:pt>
                <c:pt idx="375">
                  <c:v>200.89000000000001</c:v>
                </c:pt>
                <c:pt idx="376">
                  <c:v>203.59</c:v>
                </c:pt>
                <c:pt idx="377">
                  <c:v>204.26999999999998</c:v>
                </c:pt>
                <c:pt idx="378">
                  <c:v>206.13</c:v>
                </c:pt>
                <c:pt idx="379">
                  <c:v>209.02</c:v>
                </c:pt>
                <c:pt idx="380">
                  <c:v>209.52</c:v>
                </c:pt>
                <c:pt idx="381">
                  <c:v>206.16</c:v>
                </c:pt>
                <c:pt idx="382">
                  <c:v>204.81</c:v>
                </c:pt>
                <c:pt idx="383">
                  <c:v>207.14</c:v>
                </c:pt>
                <c:pt idx="384">
                  <c:v>206.79</c:v>
                </c:pt>
                <c:pt idx="385">
                  <c:v>210.03</c:v>
                </c:pt>
                <c:pt idx="386">
                  <c:v>208.18</c:v>
                </c:pt>
                <c:pt idx="387">
                  <c:v>208.13</c:v>
                </c:pt>
                <c:pt idx="388">
                  <c:v>208.64</c:v>
                </c:pt>
                <c:pt idx="389">
                  <c:v>209.63</c:v>
                </c:pt>
                <c:pt idx="390">
                  <c:v>212.01</c:v>
                </c:pt>
                <c:pt idx="391">
                  <c:v>224.41</c:v>
                </c:pt>
                <c:pt idx="392">
                  <c:v>218.75</c:v>
                </c:pt>
                <c:pt idx="393">
                  <c:v>219.78</c:v>
                </c:pt>
                <c:pt idx="394">
                  <c:v>221.67000000000002</c:v>
                </c:pt>
                <c:pt idx="395">
                  <c:v>224.94</c:v>
                </c:pt>
                <c:pt idx="396">
                  <c:v>232.23000000000002</c:v>
                </c:pt>
                <c:pt idx="397">
                  <c:v>238.04</c:v>
                </c:pt>
                <c:pt idx="398">
                  <c:v>245.16</c:v>
                </c:pt>
                <c:pt idx="399">
                  <c:v>259.02</c:v>
                </c:pt>
                <c:pt idx="400">
                  <c:v>256.57</c:v>
                </c:pt>
                <c:pt idx="401">
                  <c:v>257.55</c:v>
                </c:pt>
                <c:pt idx="402">
                  <c:v>250.70000000000002</c:v>
                </c:pt>
                <c:pt idx="403">
                  <c:v>245.01</c:v>
                </c:pt>
                <c:pt idx="404">
                  <c:v>247.91</c:v>
                </c:pt>
                <c:pt idx="405">
                  <c:v>260.83</c:v>
                </c:pt>
                <c:pt idx="406">
                  <c:v>260.83</c:v>
                </c:pt>
                <c:pt idx="407">
                  <c:v>260.37</c:v>
                </c:pt>
                <c:pt idx="408">
                  <c:v>260.37</c:v>
                </c:pt>
                <c:pt idx="409" formatCode="0.0">
                  <c:v>267.51</c:v>
                </c:pt>
                <c:pt idx="410" formatCode="0.0">
                  <c:v>267.51</c:v>
                </c:pt>
                <c:pt idx="411" formatCode="0.0">
                  <c:v>267.89</c:v>
                </c:pt>
                <c:pt idx="412">
                  <c:v>266.45999999999964</c:v>
                </c:pt>
                <c:pt idx="413">
                  <c:v>266.45999999999964</c:v>
                </c:pt>
                <c:pt idx="414">
                  <c:v>266.45999999999964</c:v>
                </c:pt>
                <c:pt idx="415">
                  <c:v>256.19</c:v>
                </c:pt>
                <c:pt idx="416">
                  <c:v>256.19</c:v>
                </c:pt>
              </c:numCache>
            </c:numRef>
          </c:val>
        </c:ser>
        <c:marker val="1"/>
        <c:axId val="68786816"/>
        <c:axId val="68841856"/>
      </c:lineChart>
      <c:dateAx>
        <c:axId val="68786816"/>
        <c:scaling>
          <c:orientation val="minMax"/>
        </c:scaling>
        <c:axPos val="b"/>
        <c:numFmt formatCode="mm/yyyy" sourceLinked="0"/>
        <c:tickLblPos val="nextTo"/>
        <c:crossAx val="68841856"/>
        <c:crosses val="autoZero"/>
        <c:auto val="1"/>
        <c:lblOffset val="100"/>
      </c:dateAx>
      <c:valAx>
        <c:axId val="68841856"/>
        <c:scaling>
          <c:orientation val="minMax"/>
          <c:max val="270"/>
          <c:min val="170"/>
        </c:scaling>
        <c:axPos val="l"/>
        <c:majorGridlines>
          <c:spPr>
            <a:ln>
              <a:prstDash val="sysDot"/>
            </a:ln>
          </c:spPr>
        </c:majorGridlines>
        <c:numFmt formatCode="0" sourceLinked="0"/>
        <c:tickLblPos val="nextTo"/>
        <c:spPr>
          <a:ln>
            <a:noFill/>
          </a:ln>
        </c:spPr>
        <c:crossAx val="68786816"/>
        <c:crosses val="autoZero"/>
        <c:crossBetween val="between"/>
        <c:majorUnit val="20"/>
      </c:valAx>
      <c:spPr>
        <a:ln>
          <a:noFill/>
        </a:ln>
      </c:spPr>
    </c:plotArea>
    <c:plotVisOnly val="1"/>
  </c:chart>
  <c:spPr>
    <a:ln>
      <a:noFill/>
    </a:ln>
  </c:spPr>
  <c:txPr>
    <a:bodyPr/>
    <a:lstStyle/>
    <a:p>
      <a:pPr>
        <a:defRPr sz="800" b="0">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338929332316705"/>
          <c:y val="3.7055567874992056E-2"/>
          <c:w val="0.87571524676893564"/>
          <c:h val="0.77565978031000826"/>
        </c:manualLayout>
      </c:layout>
      <c:barChart>
        <c:barDir val="col"/>
        <c:grouping val="clustered"/>
        <c:ser>
          <c:idx val="2"/>
          <c:order val="0"/>
          <c:val>
            <c:numRef>
              <c:f>'Tổng hợp theo tháng'!$E$5:$E$13</c:f>
              <c:numCache>
                <c:formatCode>0.0</c:formatCode>
                <c:ptCount val="9"/>
                <c:pt idx="0">
                  <c:v>91.578947368420259</c:v>
                </c:pt>
                <c:pt idx="1">
                  <c:v>91.897280000000023</c:v>
                </c:pt>
                <c:pt idx="2">
                  <c:v>51.207213114754111</c:v>
                </c:pt>
                <c:pt idx="3">
                  <c:v>41.577512195122011</c:v>
                </c:pt>
                <c:pt idx="4">
                  <c:v>18.421621621621622</c:v>
                </c:pt>
                <c:pt idx="5">
                  <c:v>43.418823529411746</c:v>
                </c:pt>
                <c:pt idx="6">
                  <c:v>60.191621632653046</c:v>
                </c:pt>
                <c:pt idx="7">
                  <c:v>30.039589285714229</c:v>
                </c:pt>
                <c:pt idx="8">
                  <c:v>20.7</c:v>
                </c:pt>
              </c:numCache>
            </c:numRef>
          </c:val>
        </c:ser>
        <c:axId val="60402688"/>
        <c:axId val="60416768"/>
      </c:barChart>
      <c:catAx>
        <c:axId val="60402688"/>
        <c:scaling>
          <c:orientation val="minMax"/>
        </c:scaling>
        <c:axPos val="b"/>
        <c:numFmt formatCode="General" sourceLinked="0"/>
        <c:tickLblPos val="nextTo"/>
        <c:crossAx val="60416768"/>
        <c:crosses val="autoZero"/>
        <c:auto val="1"/>
        <c:lblAlgn val="ctr"/>
        <c:lblOffset val="100"/>
      </c:catAx>
      <c:valAx>
        <c:axId val="60416768"/>
        <c:scaling>
          <c:orientation val="minMax"/>
          <c:max val="100"/>
        </c:scaling>
        <c:axPos val="l"/>
        <c:majorGridlines>
          <c:spPr>
            <a:ln>
              <a:prstDash val="sysDot"/>
            </a:ln>
          </c:spPr>
        </c:majorGridlines>
        <c:numFmt formatCode="0" sourceLinked="0"/>
        <c:tickLblPos val="nextTo"/>
        <c:spPr>
          <a:ln>
            <a:noFill/>
          </a:ln>
        </c:spPr>
        <c:crossAx val="60402688"/>
        <c:crosses val="autoZero"/>
        <c:crossBetween val="between"/>
        <c:majorUnit val="20"/>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93E6-6E99-4813-800C-E1AEC3B7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20</TotalTime>
  <Pages>9</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thanhnx</cp:lastModifiedBy>
  <cp:revision>3</cp:revision>
  <cp:lastPrinted>2015-09-29T06:38:00Z</cp:lastPrinted>
  <dcterms:created xsi:type="dcterms:W3CDTF">2015-10-01T02:55:00Z</dcterms:created>
  <dcterms:modified xsi:type="dcterms:W3CDTF">2015-10-01T03:24:00Z</dcterms:modified>
</cp:coreProperties>
</file>