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ook w:val="01E0"/>
      </w:tblPr>
      <w:tblGrid>
        <w:gridCol w:w="3556"/>
        <w:gridCol w:w="6488"/>
      </w:tblGrid>
      <w:tr w:rsidR="00900767" w:rsidRPr="005C6A26" w:rsidTr="00B0278F">
        <w:trPr>
          <w:jc w:val="center"/>
        </w:trPr>
        <w:tc>
          <w:tcPr>
            <w:tcW w:w="3556" w:type="dxa"/>
          </w:tcPr>
          <w:p w:rsidR="00900767" w:rsidRPr="005C6A26" w:rsidRDefault="00900767" w:rsidP="00910F80">
            <w:pPr>
              <w:widowControl w:val="0"/>
              <w:spacing w:after="0" w:line="288" w:lineRule="auto"/>
              <w:ind w:firstLine="0"/>
              <w:jc w:val="center"/>
              <w:rPr>
                <w:b/>
                <w:bCs/>
                <w:sz w:val="26"/>
                <w:szCs w:val="26"/>
                <w:lang w:val="vi-VN"/>
              </w:rPr>
            </w:pPr>
            <w:r w:rsidRPr="005C6A26">
              <w:rPr>
                <w:b/>
                <w:bCs/>
                <w:sz w:val="26"/>
                <w:szCs w:val="26"/>
                <w:lang w:val="vi-VN"/>
              </w:rPr>
              <w:t xml:space="preserve">ỦY BAN GIÁM SÁT </w:t>
            </w:r>
          </w:p>
          <w:p w:rsidR="00900767" w:rsidRPr="005C6A26" w:rsidRDefault="00900767" w:rsidP="00910F80">
            <w:pPr>
              <w:widowControl w:val="0"/>
              <w:spacing w:after="0" w:line="288" w:lineRule="auto"/>
              <w:ind w:firstLine="0"/>
              <w:jc w:val="center"/>
              <w:rPr>
                <w:b/>
                <w:bCs/>
                <w:sz w:val="26"/>
                <w:szCs w:val="26"/>
                <w:lang w:val="vi-VN"/>
              </w:rPr>
            </w:pPr>
            <w:r w:rsidRPr="005C6A26">
              <w:rPr>
                <w:b/>
                <w:bCs/>
                <w:sz w:val="26"/>
                <w:szCs w:val="26"/>
                <w:lang w:val="vi-VN"/>
              </w:rPr>
              <w:t>TÀI CHÍNH QUỐC GIA</w:t>
            </w:r>
          </w:p>
          <w:p w:rsidR="00900767" w:rsidRPr="005C6A26" w:rsidRDefault="00D854D7" w:rsidP="00910F80">
            <w:pPr>
              <w:widowControl w:val="0"/>
              <w:spacing w:after="0" w:line="288" w:lineRule="auto"/>
              <w:ind w:firstLine="0"/>
              <w:jc w:val="center"/>
              <w:rPr>
                <w:sz w:val="26"/>
                <w:szCs w:val="26"/>
                <w:lang w:val="vi-VN"/>
              </w:rPr>
            </w:pPr>
            <w:r>
              <w:rPr>
                <w:noProof/>
                <w:sz w:val="26"/>
                <w:szCs w:val="26"/>
              </w:rPr>
              <w:pict>
                <v:line id="Line 2" o:spid="_x0000_s1026" style="position:absolute;left:0;text-align:left;z-index:251656192;visibility:visible;mso-wrap-distance-top:-8e-5mm;mso-wrap-distance-bottom:-8e-5mm"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CK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0IYwig8CAAAn&#10;BAAADgAAAAAAAAAAAAAAAAAuAgAAZHJzL2Uyb0RvYy54bWxQSwECLQAUAAYACAAAACEAqGCNOtoA&#10;AAAHAQAADwAAAAAAAAAAAAAAAABpBAAAZHJzL2Rvd25yZXYueG1sUEsFBgAAAAAEAAQA8wAAAHAF&#10;AAAAAA==&#10;"/>
              </w:pict>
            </w:r>
          </w:p>
          <w:p w:rsidR="00900767" w:rsidRPr="005C6A26" w:rsidRDefault="00900767" w:rsidP="00910F80">
            <w:pPr>
              <w:widowControl w:val="0"/>
              <w:spacing w:after="0" w:line="288" w:lineRule="auto"/>
              <w:ind w:firstLine="0"/>
              <w:jc w:val="center"/>
              <w:rPr>
                <w:sz w:val="26"/>
                <w:szCs w:val="26"/>
                <w:lang w:val="vi-VN"/>
              </w:rPr>
            </w:pPr>
            <w:r w:rsidRPr="005C6A26">
              <w:rPr>
                <w:sz w:val="26"/>
                <w:szCs w:val="26"/>
                <w:lang w:val="vi-VN"/>
              </w:rPr>
              <w:t>Số:        /</w:t>
            </w:r>
            <w:r w:rsidR="000E5F9F" w:rsidRPr="005C6A26">
              <w:rPr>
                <w:sz w:val="26"/>
                <w:szCs w:val="26"/>
              </w:rPr>
              <w:t>BC-</w:t>
            </w:r>
            <w:r w:rsidRPr="005C6A26">
              <w:rPr>
                <w:sz w:val="26"/>
                <w:szCs w:val="26"/>
                <w:lang w:val="vi-VN"/>
              </w:rPr>
              <w:t>UBGSTCQG</w:t>
            </w:r>
          </w:p>
        </w:tc>
        <w:tc>
          <w:tcPr>
            <w:tcW w:w="6488" w:type="dxa"/>
          </w:tcPr>
          <w:p w:rsidR="00900767" w:rsidRPr="005C6A26" w:rsidRDefault="00900767" w:rsidP="00910F80">
            <w:pPr>
              <w:widowControl w:val="0"/>
              <w:spacing w:after="0" w:line="288" w:lineRule="auto"/>
              <w:jc w:val="center"/>
              <w:rPr>
                <w:b/>
                <w:bCs/>
                <w:sz w:val="26"/>
                <w:szCs w:val="26"/>
                <w:lang w:val="vi-VN"/>
              </w:rPr>
            </w:pPr>
            <w:r w:rsidRPr="005C6A26">
              <w:rPr>
                <w:b/>
                <w:bCs/>
                <w:sz w:val="26"/>
                <w:szCs w:val="26"/>
                <w:lang w:val="vi-VN"/>
              </w:rPr>
              <w:t>CỘNG HÒA XÃ HỘI CHỦ NGHĨA VIỆT NAM</w:t>
            </w:r>
          </w:p>
          <w:p w:rsidR="00900767" w:rsidRPr="005C6A26" w:rsidRDefault="00900767" w:rsidP="00910F80">
            <w:pPr>
              <w:widowControl w:val="0"/>
              <w:spacing w:after="0" w:line="288" w:lineRule="auto"/>
              <w:jc w:val="center"/>
              <w:rPr>
                <w:b/>
                <w:bCs/>
                <w:sz w:val="26"/>
                <w:szCs w:val="26"/>
                <w:lang w:val="vi-VN"/>
              </w:rPr>
            </w:pPr>
            <w:r w:rsidRPr="005C6A26">
              <w:rPr>
                <w:b/>
                <w:bCs/>
                <w:sz w:val="26"/>
                <w:szCs w:val="26"/>
                <w:lang w:val="vi-VN"/>
              </w:rPr>
              <w:t>Độc lập - Tự do - Hạnh phúc</w:t>
            </w:r>
          </w:p>
          <w:p w:rsidR="00900767" w:rsidRPr="005C6A26" w:rsidRDefault="00D854D7" w:rsidP="00910F80">
            <w:pPr>
              <w:widowControl w:val="0"/>
              <w:spacing w:after="0" w:line="288" w:lineRule="auto"/>
              <w:ind w:left="397"/>
              <w:jc w:val="right"/>
              <w:rPr>
                <w:i/>
                <w:iCs/>
                <w:sz w:val="26"/>
                <w:szCs w:val="26"/>
              </w:rPr>
            </w:pPr>
            <w:r w:rsidRPr="00D854D7">
              <w:rPr>
                <w:noProof/>
                <w:sz w:val="26"/>
                <w:szCs w:val="26"/>
              </w:rPr>
              <w:pict>
                <v:line id="Line 3" o:spid="_x0000_s1029" style="position:absolute;left:0;text-align:left;z-index:251657216;visibility:visible;mso-wrap-distance-top:-8e-5mm;mso-wrap-distance-bottom:-8e-5mm"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"/>
              </w:pict>
            </w:r>
            <w:r w:rsidR="00900767" w:rsidRPr="005C6A26">
              <w:rPr>
                <w:i/>
                <w:iCs/>
                <w:sz w:val="26"/>
                <w:szCs w:val="26"/>
                <w:lang w:val="vi-VN"/>
              </w:rPr>
              <w:t xml:space="preserve">      </w:t>
            </w:r>
          </w:p>
          <w:p w:rsidR="00900767" w:rsidRPr="005C6A26" w:rsidRDefault="00900767" w:rsidP="008D56AC">
            <w:pPr>
              <w:widowControl w:val="0"/>
              <w:spacing w:after="0" w:line="288" w:lineRule="auto"/>
              <w:ind w:firstLine="0"/>
              <w:jc w:val="right"/>
              <w:rPr>
                <w:i/>
                <w:iCs/>
                <w:sz w:val="26"/>
                <w:szCs w:val="26"/>
              </w:rPr>
            </w:pPr>
            <w:r w:rsidRPr="005C6A26">
              <w:rPr>
                <w:i/>
                <w:iCs/>
                <w:sz w:val="26"/>
                <w:szCs w:val="26"/>
                <w:lang w:val="vi-VN"/>
              </w:rPr>
              <w:t>Hà Nội, ngày</w:t>
            </w:r>
            <w:r w:rsidR="00B0278F" w:rsidRPr="005C6A26">
              <w:rPr>
                <w:i/>
                <w:iCs/>
                <w:sz w:val="26"/>
                <w:szCs w:val="26"/>
              </w:rPr>
              <w:t xml:space="preserve"> </w:t>
            </w:r>
            <w:r w:rsidR="00823999" w:rsidRPr="005C6A26">
              <w:rPr>
                <w:i/>
                <w:iCs/>
                <w:sz w:val="26"/>
                <w:szCs w:val="26"/>
              </w:rPr>
              <w:t>2</w:t>
            </w:r>
            <w:r w:rsidR="008D56AC">
              <w:rPr>
                <w:i/>
                <w:iCs/>
                <w:sz w:val="26"/>
                <w:szCs w:val="26"/>
              </w:rPr>
              <w:t xml:space="preserve">7 </w:t>
            </w:r>
            <w:r w:rsidRPr="005C6A26">
              <w:rPr>
                <w:i/>
                <w:iCs/>
                <w:sz w:val="26"/>
                <w:szCs w:val="26"/>
                <w:lang w:val="vi-VN"/>
              </w:rPr>
              <w:t>tháng</w:t>
            </w:r>
            <w:r w:rsidRPr="005C6A26">
              <w:rPr>
                <w:i/>
                <w:iCs/>
                <w:sz w:val="26"/>
                <w:szCs w:val="26"/>
              </w:rPr>
              <w:t xml:space="preserve"> </w:t>
            </w:r>
            <w:r w:rsidR="009B012C" w:rsidRPr="005C6A26">
              <w:rPr>
                <w:i/>
                <w:iCs/>
                <w:sz w:val="26"/>
                <w:szCs w:val="26"/>
              </w:rPr>
              <w:t>10</w:t>
            </w:r>
            <w:r w:rsidR="00D63CF0" w:rsidRPr="005C6A26">
              <w:rPr>
                <w:i/>
                <w:iCs/>
                <w:sz w:val="26"/>
                <w:szCs w:val="26"/>
              </w:rPr>
              <w:t xml:space="preserve"> </w:t>
            </w:r>
            <w:r w:rsidRPr="005C6A26">
              <w:rPr>
                <w:i/>
                <w:iCs/>
                <w:sz w:val="26"/>
                <w:szCs w:val="26"/>
                <w:lang w:val="vi-VN"/>
              </w:rPr>
              <w:t>năm 201</w:t>
            </w:r>
            <w:r w:rsidR="00547EF8" w:rsidRPr="005C6A26">
              <w:rPr>
                <w:i/>
                <w:iCs/>
                <w:sz w:val="26"/>
                <w:szCs w:val="26"/>
              </w:rPr>
              <w:t>5</w:t>
            </w:r>
          </w:p>
        </w:tc>
      </w:tr>
    </w:tbl>
    <w:p w:rsidR="00900767" w:rsidRPr="005C6A26" w:rsidRDefault="00900767" w:rsidP="00910F80">
      <w:pPr>
        <w:spacing w:line="288" w:lineRule="auto"/>
        <w:rPr>
          <w:sz w:val="26"/>
          <w:szCs w:val="26"/>
        </w:rPr>
      </w:pPr>
    </w:p>
    <w:p w:rsidR="00900767" w:rsidRPr="005C6A26" w:rsidRDefault="00900767" w:rsidP="00910F80">
      <w:pPr>
        <w:spacing w:line="288" w:lineRule="auto"/>
        <w:ind w:firstLine="0"/>
        <w:jc w:val="center"/>
        <w:rPr>
          <w:b/>
          <w:sz w:val="26"/>
          <w:szCs w:val="26"/>
        </w:rPr>
      </w:pPr>
    </w:p>
    <w:p w:rsidR="00F22114" w:rsidRPr="005C6A26" w:rsidRDefault="00F22114" w:rsidP="00910F80">
      <w:pPr>
        <w:spacing w:before="120" w:line="288" w:lineRule="auto"/>
        <w:ind w:firstLine="0"/>
        <w:jc w:val="center"/>
        <w:rPr>
          <w:b/>
          <w:sz w:val="26"/>
          <w:szCs w:val="26"/>
        </w:rPr>
      </w:pPr>
      <w:r w:rsidRPr="005C6A26">
        <w:rPr>
          <w:b/>
          <w:sz w:val="26"/>
          <w:szCs w:val="26"/>
          <w:lang w:val="vi-VN"/>
        </w:rPr>
        <w:t>BÁO CÁO</w:t>
      </w:r>
    </w:p>
    <w:p w:rsidR="00F22114" w:rsidRPr="005C6A26" w:rsidRDefault="00F22114" w:rsidP="00910F80">
      <w:pPr>
        <w:spacing w:before="120" w:line="288" w:lineRule="auto"/>
        <w:ind w:firstLine="0"/>
        <w:jc w:val="center"/>
        <w:rPr>
          <w:b/>
          <w:sz w:val="26"/>
          <w:szCs w:val="26"/>
        </w:rPr>
      </w:pPr>
      <w:r w:rsidRPr="005C6A26">
        <w:rPr>
          <w:b/>
          <w:sz w:val="26"/>
          <w:szCs w:val="26"/>
        </w:rPr>
        <w:t xml:space="preserve">TÌNH HÌNH KINH TẾ THÁNG </w:t>
      </w:r>
      <w:r w:rsidR="009B012C" w:rsidRPr="005C6A26">
        <w:rPr>
          <w:b/>
          <w:sz w:val="26"/>
          <w:szCs w:val="26"/>
        </w:rPr>
        <w:t>10 VÀ 10</w:t>
      </w:r>
      <w:r w:rsidRPr="005C6A26">
        <w:rPr>
          <w:b/>
          <w:sz w:val="26"/>
          <w:szCs w:val="26"/>
        </w:rPr>
        <w:t xml:space="preserve"> THÁNG ĐẦU NĂM 2015</w:t>
      </w:r>
    </w:p>
    <w:p w:rsidR="00F22114" w:rsidRPr="005C6A26" w:rsidRDefault="00F22114" w:rsidP="00910F80">
      <w:pPr>
        <w:pStyle w:val="Footer"/>
        <w:spacing w:before="120" w:line="288" w:lineRule="auto"/>
        <w:ind w:firstLine="0"/>
        <w:jc w:val="center"/>
        <w:rPr>
          <w:i/>
          <w:sz w:val="26"/>
          <w:szCs w:val="26"/>
        </w:rPr>
      </w:pPr>
      <w:r w:rsidRPr="005C6A26">
        <w:rPr>
          <w:i/>
          <w:sz w:val="26"/>
          <w:szCs w:val="26"/>
          <w:lang w:val="vi-VN"/>
        </w:rPr>
        <w:t xml:space="preserve">(Tài liệu phục vụ </w:t>
      </w:r>
      <w:r w:rsidRPr="005C6A26">
        <w:rPr>
          <w:i/>
          <w:sz w:val="26"/>
          <w:szCs w:val="26"/>
        </w:rPr>
        <w:t>phiên họp</w:t>
      </w:r>
      <w:r w:rsidR="00D63CF0" w:rsidRPr="005C6A26">
        <w:rPr>
          <w:i/>
          <w:sz w:val="26"/>
          <w:szCs w:val="26"/>
        </w:rPr>
        <w:t xml:space="preserve"> Chính phủ tháng </w:t>
      </w:r>
      <w:r w:rsidR="009B012C" w:rsidRPr="005C6A26">
        <w:rPr>
          <w:i/>
          <w:sz w:val="26"/>
          <w:szCs w:val="26"/>
        </w:rPr>
        <w:t>10</w:t>
      </w:r>
      <w:r w:rsidRPr="005C6A26">
        <w:rPr>
          <w:i/>
          <w:sz w:val="26"/>
          <w:szCs w:val="26"/>
        </w:rPr>
        <w:t>/2015</w:t>
      </w:r>
      <w:r w:rsidRPr="005C6A26">
        <w:rPr>
          <w:i/>
          <w:sz w:val="26"/>
          <w:szCs w:val="26"/>
          <w:lang w:val="vi-VN"/>
        </w:rPr>
        <w:t>)</w:t>
      </w:r>
    </w:p>
    <w:p w:rsidR="00900767" w:rsidRPr="005C6A26" w:rsidRDefault="006B6BEA" w:rsidP="006B6BEA">
      <w:pPr>
        <w:pStyle w:val="Footer"/>
        <w:tabs>
          <w:tab w:val="left" w:pos="4180"/>
        </w:tabs>
        <w:spacing w:before="120" w:line="288" w:lineRule="auto"/>
        <w:ind w:firstLine="0"/>
        <w:rPr>
          <w:i/>
          <w:sz w:val="26"/>
          <w:szCs w:val="26"/>
        </w:rPr>
      </w:pPr>
      <w:r>
        <w:rPr>
          <w:i/>
          <w:sz w:val="26"/>
          <w:szCs w:val="26"/>
        </w:rPr>
        <w:tab/>
      </w:r>
      <w:r>
        <w:rPr>
          <w:i/>
          <w:sz w:val="26"/>
          <w:szCs w:val="26"/>
        </w:rPr>
        <w:tab/>
      </w:r>
    </w:p>
    <w:p w:rsidR="009B012C" w:rsidRPr="005C6A26" w:rsidRDefault="00304D2C" w:rsidP="001731AA">
      <w:pPr>
        <w:pStyle w:val="Footer"/>
        <w:numPr>
          <w:ilvl w:val="0"/>
          <w:numId w:val="13"/>
        </w:numPr>
        <w:spacing w:before="120" w:line="288" w:lineRule="auto"/>
        <w:ind w:left="851" w:hanging="567"/>
        <w:rPr>
          <w:i/>
          <w:sz w:val="26"/>
          <w:szCs w:val="26"/>
        </w:rPr>
      </w:pPr>
      <w:r>
        <w:rPr>
          <w:i/>
          <w:sz w:val="26"/>
          <w:szCs w:val="26"/>
        </w:rPr>
        <w:t xml:space="preserve">Kinh tế thế giới nhiều khó khăn và bất định trong năm 2015, IMF cũng hạ dự báo tăng trưởng 2016 so với các dự báo trước đó, trao đổi thương mại toàn cầu suy giảm và ở mức thấp. Ngoại trừ Mỹ và EU, tăng trưởng của các nền kinh tế phát triển còn yếu, khối BRICS nhiều rủi ro với các bất cân đối vĩ mô ngày một lớn. Giá hàng hóa thế giới giảm sâu, đặc biệt là giá nhiên liệu và thực phẩm. </w:t>
      </w:r>
    </w:p>
    <w:p w:rsidR="009B012C" w:rsidRDefault="00810830" w:rsidP="001731AA">
      <w:pPr>
        <w:pStyle w:val="Footer"/>
        <w:numPr>
          <w:ilvl w:val="0"/>
          <w:numId w:val="13"/>
        </w:numPr>
        <w:spacing w:before="120" w:line="288" w:lineRule="auto"/>
        <w:ind w:left="851" w:hanging="567"/>
        <w:rPr>
          <w:i/>
          <w:sz w:val="26"/>
          <w:szCs w:val="26"/>
        </w:rPr>
      </w:pPr>
      <w:r>
        <w:rPr>
          <w:i/>
          <w:sz w:val="26"/>
          <w:szCs w:val="26"/>
        </w:rPr>
        <w:t>Trong nước, tăng trưởng khả quan nhờ đóng góp tích cực của khu vực công nghiệp, đặc biệt là công nghiệp chế biến chế tạo. Khu vực doa</w:t>
      </w:r>
      <w:r w:rsidR="008B54E3">
        <w:rPr>
          <w:i/>
          <w:sz w:val="26"/>
          <w:szCs w:val="26"/>
        </w:rPr>
        <w:t>n</w:t>
      </w:r>
      <w:r>
        <w:rPr>
          <w:i/>
          <w:sz w:val="26"/>
          <w:szCs w:val="26"/>
        </w:rPr>
        <w:t xml:space="preserve">h nghiệp có chuyển biến tích cực. Đầu tư tư nhân và tiêu dùng phục hồi khá. Tuy nhiên, cầu của khu vực và thế giới yếu tác động phần nào tới sản xuất trong nước. </w:t>
      </w:r>
    </w:p>
    <w:p w:rsidR="00810830" w:rsidRPr="008B54E3" w:rsidRDefault="00810830" w:rsidP="001731AA">
      <w:pPr>
        <w:pStyle w:val="Footer"/>
        <w:numPr>
          <w:ilvl w:val="0"/>
          <w:numId w:val="13"/>
        </w:numPr>
        <w:spacing w:before="120" w:line="288" w:lineRule="auto"/>
        <w:ind w:left="851" w:hanging="567"/>
        <w:rPr>
          <w:i/>
          <w:spacing w:val="-2"/>
          <w:sz w:val="26"/>
          <w:szCs w:val="26"/>
        </w:rPr>
      </w:pPr>
      <w:r w:rsidRPr="008B54E3">
        <w:rPr>
          <w:i/>
          <w:spacing w:val="-2"/>
          <w:sz w:val="26"/>
          <w:szCs w:val="26"/>
        </w:rPr>
        <w:t>Ổn định vĩ mô được duy trì. Lạm phát thấp và ổn định. Áp lực tăng tỷ giá giảm dần. Lạ</w:t>
      </w:r>
      <w:r w:rsidR="00BF65AB">
        <w:rPr>
          <w:i/>
          <w:spacing w:val="-2"/>
          <w:sz w:val="26"/>
          <w:szCs w:val="26"/>
        </w:rPr>
        <w:t>m</w:t>
      </w:r>
      <w:r w:rsidRPr="008B54E3">
        <w:rPr>
          <w:i/>
          <w:spacing w:val="-2"/>
          <w:sz w:val="26"/>
          <w:szCs w:val="26"/>
        </w:rPr>
        <w:t xml:space="preserve"> phát thấp tạo cơ sở tốt để duy trì mặt bằng lãi suất hợp lý trong năm 2015.</w:t>
      </w:r>
    </w:p>
    <w:p w:rsidR="00810830" w:rsidRPr="005C6A26" w:rsidRDefault="00810830" w:rsidP="001731AA">
      <w:pPr>
        <w:pStyle w:val="Footer"/>
        <w:numPr>
          <w:ilvl w:val="0"/>
          <w:numId w:val="13"/>
        </w:numPr>
        <w:spacing w:before="120" w:line="288" w:lineRule="auto"/>
        <w:ind w:left="851" w:hanging="567"/>
        <w:rPr>
          <w:i/>
          <w:sz w:val="26"/>
          <w:szCs w:val="26"/>
        </w:rPr>
      </w:pPr>
      <w:r>
        <w:rPr>
          <w:i/>
          <w:sz w:val="26"/>
          <w:szCs w:val="26"/>
        </w:rPr>
        <w:t xml:space="preserve">Hệ thống tài chính ổn định, thanh khoản tốt </w:t>
      </w:r>
      <w:r w:rsidR="00CE5473">
        <w:rPr>
          <w:i/>
          <w:sz w:val="26"/>
          <w:szCs w:val="26"/>
        </w:rPr>
        <w:t>đối với cả đồng nội và ngoại tệ, cơ cấu tín dụng th</w:t>
      </w:r>
      <w:r w:rsidR="00C27741">
        <w:rPr>
          <w:i/>
          <w:sz w:val="26"/>
          <w:szCs w:val="26"/>
        </w:rPr>
        <w:t xml:space="preserve">eo kỳ hạn chuyển dịch tích cực, </w:t>
      </w:r>
      <w:r w:rsidR="00CE5473">
        <w:rPr>
          <w:i/>
          <w:sz w:val="26"/>
          <w:szCs w:val="26"/>
        </w:rPr>
        <w:t>trích lập DPRR</w:t>
      </w:r>
      <w:r w:rsidR="00C27741">
        <w:rPr>
          <w:i/>
          <w:sz w:val="26"/>
          <w:szCs w:val="26"/>
        </w:rPr>
        <w:t xml:space="preserve"> tăng</w:t>
      </w:r>
      <w:r w:rsidR="00CE5473">
        <w:rPr>
          <w:i/>
          <w:sz w:val="26"/>
          <w:szCs w:val="26"/>
        </w:rPr>
        <w:t xml:space="preserve">. Thị trường cổ phiếu tăng trưởng khá nhờ kinh tế vĩ mô ổn định và tác động bởi TPP. Mặc dù vậy, kế hoạch phát hành TPCP khó khả thi nếu không có điều chỉnh kịp thời về kỳ hạn và cơ chế lãi suất phù hợp hơn với nhu cầu thị trường. </w:t>
      </w:r>
    </w:p>
    <w:p w:rsidR="00D13B1D" w:rsidRPr="005C6A26" w:rsidRDefault="00D13B1D" w:rsidP="001731AA">
      <w:pPr>
        <w:pStyle w:val="Footer"/>
        <w:spacing w:before="120" w:line="288" w:lineRule="auto"/>
        <w:ind w:left="851" w:hanging="567"/>
        <w:rPr>
          <w:i/>
          <w:sz w:val="26"/>
          <w:szCs w:val="26"/>
        </w:rPr>
      </w:pPr>
    </w:p>
    <w:p w:rsidR="00F7112F" w:rsidRPr="005C6A26" w:rsidRDefault="00F7112F" w:rsidP="00910F80">
      <w:pPr>
        <w:pStyle w:val="Footer"/>
        <w:spacing w:before="120" w:line="288" w:lineRule="auto"/>
        <w:ind w:firstLine="0"/>
        <w:rPr>
          <w:i/>
          <w:sz w:val="26"/>
          <w:szCs w:val="26"/>
        </w:rPr>
      </w:pPr>
    </w:p>
    <w:p w:rsidR="00F22114" w:rsidRPr="005C6A26" w:rsidRDefault="00F22114" w:rsidP="00910F80">
      <w:pPr>
        <w:spacing w:after="200" w:line="288" w:lineRule="auto"/>
        <w:ind w:firstLine="0"/>
        <w:jc w:val="left"/>
        <w:rPr>
          <w:b/>
          <w:sz w:val="26"/>
          <w:szCs w:val="26"/>
        </w:rPr>
      </w:pPr>
      <w:r w:rsidRPr="005C6A26">
        <w:rPr>
          <w:b/>
          <w:sz w:val="26"/>
          <w:szCs w:val="26"/>
        </w:rPr>
        <w:br w:type="page"/>
      </w:r>
    </w:p>
    <w:p w:rsidR="005926AC" w:rsidRPr="005C6A26" w:rsidRDefault="005926AC" w:rsidP="005C6A26">
      <w:pPr>
        <w:pStyle w:val="Footer"/>
        <w:numPr>
          <w:ilvl w:val="0"/>
          <w:numId w:val="12"/>
        </w:numPr>
        <w:tabs>
          <w:tab w:val="left" w:pos="284"/>
          <w:tab w:val="left" w:pos="567"/>
        </w:tabs>
        <w:spacing w:before="120" w:line="288" w:lineRule="auto"/>
        <w:ind w:hanging="1080"/>
        <w:rPr>
          <w:b/>
          <w:sz w:val="26"/>
          <w:szCs w:val="26"/>
        </w:rPr>
      </w:pPr>
      <w:r w:rsidRPr="005C6A26">
        <w:rPr>
          <w:b/>
          <w:sz w:val="26"/>
          <w:szCs w:val="26"/>
        </w:rPr>
        <w:lastRenderedPageBreak/>
        <w:t>KINH TẾ THẾ GIỚI</w:t>
      </w:r>
      <w:r w:rsidR="008D2284" w:rsidRPr="005C6A26">
        <w:rPr>
          <w:b/>
          <w:sz w:val="26"/>
          <w:szCs w:val="26"/>
        </w:rPr>
        <w:t xml:space="preserve"> </w:t>
      </w:r>
    </w:p>
    <w:p w:rsidR="006C6556" w:rsidRPr="005C6A26" w:rsidRDefault="00604F9C" w:rsidP="005C6A26">
      <w:pPr>
        <w:spacing w:before="120" w:line="288" w:lineRule="auto"/>
        <w:ind w:firstLine="0"/>
        <w:rPr>
          <w:b/>
          <w:i/>
          <w:sz w:val="26"/>
          <w:szCs w:val="26"/>
        </w:rPr>
      </w:pPr>
      <w:r w:rsidRPr="005C6A26">
        <w:rPr>
          <w:b/>
          <w:i/>
          <w:sz w:val="26"/>
          <w:szCs w:val="26"/>
        </w:rPr>
        <w:t xml:space="preserve">1. </w:t>
      </w:r>
      <w:r w:rsidR="006C6556" w:rsidRPr="005C6A26">
        <w:rPr>
          <w:b/>
          <w:i/>
          <w:sz w:val="26"/>
          <w:szCs w:val="26"/>
        </w:rPr>
        <w:t>Tăng trưởng k</w:t>
      </w:r>
      <w:r w:rsidRPr="005C6A26">
        <w:rPr>
          <w:b/>
          <w:i/>
          <w:sz w:val="26"/>
          <w:szCs w:val="26"/>
        </w:rPr>
        <w:t xml:space="preserve">inh tế thế giới </w:t>
      </w:r>
    </w:p>
    <w:p w:rsidR="00705A43" w:rsidRDefault="008E774C" w:rsidP="005C6A26">
      <w:pPr>
        <w:spacing w:before="120" w:line="288" w:lineRule="auto"/>
        <w:ind w:firstLine="709"/>
        <w:rPr>
          <w:sz w:val="26"/>
          <w:szCs w:val="26"/>
        </w:rPr>
      </w:pPr>
      <w:r w:rsidRPr="005C6A26">
        <w:rPr>
          <w:sz w:val="26"/>
          <w:szCs w:val="26"/>
        </w:rPr>
        <w:t>K</w:t>
      </w:r>
      <w:r w:rsidR="002C63CA" w:rsidRPr="005C6A26">
        <w:rPr>
          <w:sz w:val="26"/>
          <w:szCs w:val="26"/>
        </w:rPr>
        <w:t xml:space="preserve">inh tế thế giới </w:t>
      </w:r>
      <w:r w:rsidRPr="005C6A26">
        <w:rPr>
          <w:sz w:val="26"/>
          <w:szCs w:val="26"/>
        </w:rPr>
        <w:t>còn nhiều khó khăn và bất định năm 2015, IMF</w:t>
      </w:r>
      <w:r w:rsidR="00D86252" w:rsidRPr="005C6A26">
        <w:rPr>
          <w:rStyle w:val="FootnoteReference"/>
          <w:sz w:val="26"/>
          <w:szCs w:val="26"/>
        </w:rPr>
        <w:footnoteReference w:id="1"/>
      </w:r>
      <w:r w:rsidRPr="005C6A26">
        <w:rPr>
          <w:sz w:val="26"/>
          <w:szCs w:val="26"/>
        </w:rPr>
        <w:t xml:space="preserve"> đã </w:t>
      </w:r>
      <w:r w:rsidR="00820B53" w:rsidRPr="005C6A26">
        <w:rPr>
          <w:sz w:val="26"/>
          <w:szCs w:val="26"/>
        </w:rPr>
        <w:t>h</w:t>
      </w:r>
      <w:r w:rsidR="002C63CA" w:rsidRPr="005C6A26">
        <w:rPr>
          <w:sz w:val="26"/>
          <w:szCs w:val="26"/>
        </w:rPr>
        <w:t>ạ dự b</w:t>
      </w:r>
      <w:r w:rsidR="00303A5A">
        <w:rPr>
          <w:sz w:val="26"/>
          <w:szCs w:val="26"/>
        </w:rPr>
        <w:t>áo tăng trưởng toàn cầu xuống 3,</w:t>
      </w:r>
      <w:r w:rsidR="00D86252" w:rsidRPr="005C6A26">
        <w:rPr>
          <w:sz w:val="26"/>
          <w:szCs w:val="26"/>
        </w:rPr>
        <w:t>1</w:t>
      </w:r>
      <w:r w:rsidR="002C63CA" w:rsidRPr="005C6A26">
        <w:rPr>
          <w:sz w:val="26"/>
          <w:szCs w:val="26"/>
        </w:rPr>
        <w:t>%, giảm so với mức dự báo 3,</w:t>
      </w:r>
      <w:r w:rsidR="00D86252" w:rsidRPr="005C6A26">
        <w:rPr>
          <w:sz w:val="26"/>
          <w:szCs w:val="26"/>
        </w:rPr>
        <w:t>4</w:t>
      </w:r>
      <w:r w:rsidR="002C63CA" w:rsidRPr="005C6A26">
        <w:rPr>
          <w:sz w:val="26"/>
          <w:szCs w:val="26"/>
        </w:rPr>
        <w:t xml:space="preserve">% hồi tháng </w:t>
      </w:r>
      <w:r w:rsidR="00D86252" w:rsidRPr="005C6A26">
        <w:rPr>
          <w:sz w:val="26"/>
          <w:szCs w:val="26"/>
        </w:rPr>
        <w:t>7</w:t>
      </w:r>
      <w:r w:rsidR="002C63CA" w:rsidRPr="005C6A26">
        <w:rPr>
          <w:sz w:val="26"/>
          <w:szCs w:val="26"/>
        </w:rPr>
        <w:t xml:space="preserve"> </w:t>
      </w:r>
      <w:r w:rsidR="00705A43">
        <w:rPr>
          <w:sz w:val="26"/>
          <w:szCs w:val="26"/>
        </w:rPr>
        <w:t xml:space="preserve">và </w:t>
      </w:r>
      <w:r w:rsidR="00D86252" w:rsidRPr="005C6A26">
        <w:rPr>
          <w:sz w:val="26"/>
          <w:szCs w:val="26"/>
        </w:rPr>
        <w:t>giảm</w:t>
      </w:r>
      <w:r w:rsidR="00705A43">
        <w:rPr>
          <w:sz w:val="26"/>
          <w:szCs w:val="26"/>
        </w:rPr>
        <w:t xml:space="preserve"> </w:t>
      </w:r>
      <w:r w:rsidR="00D86252" w:rsidRPr="005C6A26">
        <w:rPr>
          <w:sz w:val="26"/>
          <w:szCs w:val="26"/>
        </w:rPr>
        <w:t xml:space="preserve">sâu hơn so với báo cáo đưa ra </w:t>
      </w:r>
      <w:r w:rsidR="00303A5A">
        <w:rPr>
          <w:sz w:val="26"/>
          <w:szCs w:val="26"/>
        </w:rPr>
        <w:t xml:space="preserve">vào </w:t>
      </w:r>
      <w:r w:rsidR="00D86252" w:rsidRPr="005C6A26">
        <w:rPr>
          <w:sz w:val="26"/>
          <w:szCs w:val="26"/>
        </w:rPr>
        <w:t>tháng 4</w:t>
      </w:r>
      <w:r w:rsidR="002C63CA" w:rsidRPr="005C6A26">
        <w:rPr>
          <w:sz w:val="26"/>
          <w:szCs w:val="26"/>
        </w:rPr>
        <w:t xml:space="preserve">. </w:t>
      </w:r>
      <w:r w:rsidR="00D86252" w:rsidRPr="005C6A26">
        <w:rPr>
          <w:sz w:val="26"/>
          <w:szCs w:val="26"/>
        </w:rPr>
        <w:t>T</w:t>
      </w:r>
      <w:r w:rsidR="002C63CA" w:rsidRPr="005C6A26">
        <w:rPr>
          <w:sz w:val="26"/>
          <w:szCs w:val="26"/>
        </w:rPr>
        <w:t xml:space="preserve">riển vọng tăng trưởng năm 2016 </w:t>
      </w:r>
      <w:r w:rsidR="00D86252" w:rsidRPr="005C6A26">
        <w:rPr>
          <w:sz w:val="26"/>
          <w:szCs w:val="26"/>
        </w:rPr>
        <w:t xml:space="preserve">mặc dù </w:t>
      </w:r>
      <w:r w:rsidR="00303A5A">
        <w:rPr>
          <w:sz w:val="26"/>
          <w:szCs w:val="26"/>
        </w:rPr>
        <w:t xml:space="preserve">dự báo </w:t>
      </w:r>
      <w:r w:rsidRPr="005C6A26">
        <w:rPr>
          <w:sz w:val="26"/>
          <w:szCs w:val="26"/>
        </w:rPr>
        <w:t xml:space="preserve">tích cực hơn </w:t>
      </w:r>
      <w:r w:rsidR="00D86252" w:rsidRPr="005C6A26">
        <w:rPr>
          <w:sz w:val="26"/>
          <w:szCs w:val="26"/>
        </w:rPr>
        <w:t>so với năm 2015 nhưng cũng bị xuống còn 3,6% so với mức 3,8% của báo cáo trước đó.</w:t>
      </w:r>
      <w:r w:rsidR="001579F5" w:rsidRPr="005C6A26">
        <w:rPr>
          <w:sz w:val="26"/>
          <w:szCs w:val="26"/>
        </w:rPr>
        <w:t xml:space="preserve"> Tăng trưởng thương mại thế giới </w:t>
      </w:r>
      <w:r w:rsidR="00C27741">
        <w:rPr>
          <w:sz w:val="26"/>
          <w:szCs w:val="26"/>
        </w:rPr>
        <w:t>dự báo ở mức</w:t>
      </w:r>
      <w:r w:rsidR="001579F5" w:rsidRPr="005C6A26">
        <w:rPr>
          <w:sz w:val="26"/>
          <w:szCs w:val="26"/>
        </w:rPr>
        <w:t xml:space="preserve"> 2,8% năm 2015 và 3,9% năm</w:t>
      </w:r>
      <w:r w:rsidR="00705A43">
        <w:rPr>
          <w:sz w:val="26"/>
          <w:szCs w:val="26"/>
        </w:rPr>
        <w:t xml:space="preserve"> 2016; </w:t>
      </w:r>
      <w:r w:rsidR="001579F5" w:rsidRPr="005C6A26">
        <w:rPr>
          <w:sz w:val="26"/>
          <w:szCs w:val="26"/>
        </w:rPr>
        <w:t>trao đổi thương mại toàn cầu giảm 0,7% trong hai quý đầu năm 2015</w:t>
      </w:r>
      <w:r w:rsidR="001579F5" w:rsidRPr="005C6A26">
        <w:rPr>
          <w:rStyle w:val="FootnoteReference"/>
          <w:sz w:val="26"/>
          <w:szCs w:val="26"/>
        </w:rPr>
        <w:footnoteReference w:id="2"/>
      </w:r>
      <w:r w:rsidR="001579F5" w:rsidRPr="005C6A26">
        <w:rPr>
          <w:sz w:val="26"/>
          <w:szCs w:val="26"/>
        </w:rPr>
        <w:t>. Tăng trưởng kim ngạch nhập khẩu và xuất khẩu của châu Á trong năm 2015 xuống còn 2,6% và 3,1%, từ các mức ước tính 5,1% và 5% đưa ra hồi tháng 4/2015.</w:t>
      </w:r>
    </w:p>
    <w:p w:rsidR="006C6556" w:rsidRPr="005C6A26" w:rsidRDefault="006C6556" w:rsidP="005C6A26">
      <w:pPr>
        <w:spacing w:before="120" w:line="288" w:lineRule="auto"/>
        <w:ind w:firstLine="709"/>
        <w:rPr>
          <w:sz w:val="26"/>
          <w:szCs w:val="26"/>
        </w:rPr>
      </w:pPr>
      <w:r w:rsidRPr="005C6A26">
        <w:rPr>
          <w:i/>
          <w:sz w:val="26"/>
          <w:szCs w:val="26"/>
        </w:rPr>
        <w:t>Tăng trưởng của các quốc gia phát triển</w:t>
      </w:r>
    </w:p>
    <w:p w:rsidR="00C719AB" w:rsidRPr="005C6A26" w:rsidRDefault="002C63CA" w:rsidP="005C6A26">
      <w:pPr>
        <w:spacing w:before="120" w:line="288" w:lineRule="auto"/>
        <w:ind w:firstLine="709"/>
        <w:rPr>
          <w:sz w:val="26"/>
          <w:szCs w:val="26"/>
        </w:rPr>
      </w:pPr>
      <w:r w:rsidRPr="005C6A26">
        <w:rPr>
          <w:b/>
          <w:i/>
          <w:sz w:val="26"/>
          <w:szCs w:val="26"/>
        </w:rPr>
        <w:t>Mỹ,</w:t>
      </w:r>
      <w:r w:rsidRPr="005C6A26">
        <w:rPr>
          <w:i/>
          <w:sz w:val="26"/>
          <w:szCs w:val="26"/>
        </w:rPr>
        <w:t xml:space="preserve"> </w:t>
      </w:r>
      <w:r w:rsidRPr="005C6A26">
        <w:rPr>
          <w:sz w:val="26"/>
          <w:szCs w:val="26"/>
        </w:rPr>
        <w:t>tiếp tục là</w:t>
      </w:r>
      <w:r w:rsidRPr="005C6A26">
        <w:rPr>
          <w:i/>
          <w:sz w:val="26"/>
          <w:szCs w:val="26"/>
        </w:rPr>
        <w:t xml:space="preserve"> </w:t>
      </w:r>
      <w:r w:rsidRPr="005C6A26">
        <w:rPr>
          <w:sz w:val="26"/>
          <w:szCs w:val="26"/>
        </w:rPr>
        <w:t>điểm sáng của kinh tế thế giới khi</w:t>
      </w:r>
      <w:r w:rsidR="006C4F21" w:rsidRPr="005C6A26">
        <w:rPr>
          <w:sz w:val="26"/>
          <w:szCs w:val="26"/>
        </w:rPr>
        <w:t xml:space="preserve"> là một trong số ít các quốc gia được IMF nâng dự báo tăng trưởng kinh tế trong năm 2015 lên 2,6% từ mức 2,4% của </w:t>
      </w:r>
      <w:r w:rsidR="00AD48D7" w:rsidRPr="005C6A26">
        <w:rPr>
          <w:sz w:val="26"/>
          <w:szCs w:val="26"/>
        </w:rPr>
        <w:t>báo cáo tháng 7</w:t>
      </w:r>
      <w:r w:rsidRPr="005C6A26">
        <w:rPr>
          <w:sz w:val="26"/>
          <w:szCs w:val="26"/>
        </w:rPr>
        <w:t xml:space="preserve">. </w:t>
      </w:r>
      <w:r w:rsidR="000D2B9E" w:rsidRPr="005C6A26">
        <w:rPr>
          <w:sz w:val="26"/>
          <w:szCs w:val="26"/>
        </w:rPr>
        <w:t>Thâm hụt ngân s</w:t>
      </w:r>
      <w:r w:rsidR="00705A43">
        <w:rPr>
          <w:sz w:val="26"/>
          <w:szCs w:val="26"/>
        </w:rPr>
        <w:t xml:space="preserve">ách Mỹ trong năm tài khóa 2015 </w:t>
      </w:r>
      <w:r w:rsidR="000D2B9E" w:rsidRPr="005C6A26">
        <w:rPr>
          <w:sz w:val="26"/>
          <w:szCs w:val="26"/>
        </w:rPr>
        <w:t>(kết thúc vào tháng 9/2015) giảm xuống mức thấp nhất trong vòng 7 năm qua khi tổng thu ngân sách đạt 3.249 tỷ USD, tăng 8% trong khi chi tiêu ngân sách tăng 5%, lên 3.688 tỷ USD</w:t>
      </w:r>
      <w:r w:rsidR="000D2B9E" w:rsidRPr="005C6A26">
        <w:rPr>
          <w:rStyle w:val="FootnoteReference"/>
          <w:sz w:val="26"/>
          <w:szCs w:val="26"/>
        </w:rPr>
        <w:footnoteReference w:id="3"/>
      </w:r>
      <w:r w:rsidR="000D2B9E" w:rsidRPr="005C6A26">
        <w:rPr>
          <w:sz w:val="26"/>
          <w:szCs w:val="26"/>
        </w:rPr>
        <w:t>.</w:t>
      </w:r>
      <w:r w:rsidR="001D3061" w:rsidRPr="005C6A26">
        <w:rPr>
          <w:sz w:val="26"/>
          <w:szCs w:val="26"/>
        </w:rPr>
        <w:t>Trong tháng 9, Chỉ số PMI đạt 53,1 điểm tăng 0,1 điểm so với tháng trước; tỷ lệ thất nghiệp tiếp tục duy trì mức 5,1% và lạm phát về mức 0%.</w:t>
      </w:r>
    </w:p>
    <w:p w:rsidR="001F3DAC" w:rsidRPr="005C6A26" w:rsidRDefault="002C63CA" w:rsidP="005C6A26">
      <w:pPr>
        <w:spacing w:before="120" w:line="288" w:lineRule="auto"/>
        <w:ind w:firstLine="709"/>
        <w:rPr>
          <w:sz w:val="26"/>
          <w:szCs w:val="26"/>
        </w:rPr>
      </w:pPr>
      <w:r w:rsidRPr="005C6A26">
        <w:rPr>
          <w:b/>
          <w:i/>
          <w:sz w:val="26"/>
          <w:szCs w:val="26"/>
        </w:rPr>
        <w:t xml:space="preserve">Châu Âu, </w:t>
      </w:r>
      <w:r w:rsidR="000F06A7" w:rsidRPr="005C6A26">
        <w:rPr>
          <w:sz w:val="26"/>
          <w:szCs w:val="26"/>
        </w:rPr>
        <w:t>tăng trưởng năm 2015 được IMF giữ nguyên mức 1,5% tuy nhiên khu vực này tiếp tục đối mặt khó khăn khi chỉ số giá tiêu dùng ở Eurozone giảm 0,1% trong tháng 9</w:t>
      </w:r>
      <w:r w:rsidR="000F06A7" w:rsidRPr="005C6A26">
        <w:rPr>
          <w:rStyle w:val="FootnoteReference"/>
          <w:sz w:val="26"/>
          <w:szCs w:val="26"/>
        </w:rPr>
        <w:footnoteReference w:id="4"/>
      </w:r>
      <w:r w:rsidR="000F06A7" w:rsidRPr="005C6A26">
        <w:rPr>
          <w:sz w:val="26"/>
          <w:szCs w:val="26"/>
        </w:rPr>
        <w:t xml:space="preserve">. Chỉ số PMI tháng 9 đạt 52 điểm, giảm nhẹ so với mức 52,3 điểm trong tháng 8. </w:t>
      </w:r>
      <w:r w:rsidR="00153B23" w:rsidRPr="005C6A26">
        <w:rPr>
          <w:sz w:val="26"/>
          <w:szCs w:val="26"/>
        </w:rPr>
        <w:t xml:space="preserve">Tỷ lệ thất nghiệp tiếp tục duy trì ở mức 11%. </w:t>
      </w:r>
      <w:r w:rsidR="001F3DAC" w:rsidRPr="005C6A26">
        <w:rPr>
          <w:sz w:val="26"/>
          <w:szCs w:val="26"/>
        </w:rPr>
        <w:t>Do những tín hiệu phục hồi của Châu Âu chưa đủ mạnh mẽ cùng với những rủi ro đi kèm như giá tiêu dùng giảm, đồng Euro mạnh nê</w:t>
      </w:r>
      <w:r w:rsidR="00C27741">
        <w:rPr>
          <w:sz w:val="26"/>
          <w:szCs w:val="26"/>
        </w:rPr>
        <w:t xml:space="preserve">n Ngân hàng trung ương Châu Âu </w:t>
      </w:r>
      <w:r w:rsidR="001F3DAC" w:rsidRPr="005C6A26">
        <w:rPr>
          <w:sz w:val="26"/>
          <w:szCs w:val="26"/>
        </w:rPr>
        <w:t>quyết định giữ nguyên lãi suất tái cấp vốn cơ bản ở mức thấp kỷ lục 0,05%/năm.</w:t>
      </w:r>
    </w:p>
    <w:p w:rsidR="00770D3B" w:rsidRPr="005C6A26" w:rsidRDefault="001F3DAC" w:rsidP="005C6A26">
      <w:pPr>
        <w:spacing w:before="120" w:line="288" w:lineRule="auto"/>
        <w:ind w:firstLine="709"/>
        <w:rPr>
          <w:sz w:val="26"/>
          <w:szCs w:val="26"/>
        </w:rPr>
      </w:pPr>
      <w:r w:rsidRPr="005C6A26">
        <w:rPr>
          <w:b/>
          <w:i/>
          <w:sz w:val="26"/>
          <w:szCs w:val="26"/>
        </w:rPr>
        <w:t xml:space="preserve">Nhật Bản, </w:t>
      </w:r>
      <w:r w:rsidR="0006628C" w:rsidRPr="005C6A26">
        <w:rPr>
          <w:sz w:val="26"/>
          <w:szCs w:val="26"/>
        </w:rPr>
        <w:t>IMF đã hạ tăng trưởng kinh tế Nhật Bản trong năm 2015 xuống còn 0,6% từ mức 0,8% trước đó.</w:t>
      </w:r>
      <w:r w:rsidR="00ED1049" w:rsidRPr="005C6A26">
        <w:rPr>
          <w:sz w:val="26"/>
          <w:szCs w:val="26"/>
        </w:rPr>
        <w:t xml:space="preserve"> Tình trạng trì trệ của nền kinh tế này khả năng còn kéo dài khi sản lượng công nghiệp tháng 8 giảm 0,5% và là tháng giảm thứ 2 liên tiếp.</w:t>
      </w:r>
      <w:r w:rsidR="0006628C" w:rsidRPr="005C6A26">
        <w:rPr>
          <w:sz w:val="26"/>
          <w:szCs w:val="26"/>
        </w:rPr>
        <w:t xml:space="preserve"> </w:t>
      </w:r>
      <w:r w:rsidR="00ED1049" w:rsidRPr="005C6A26">
        <w:rPr>
          <w:sz w:val="26"/>
          <w:szCs w:val="26"/>
        </w:rPr>
        <w:t>Trong tháng 8, các đơn hàng máy móc cốt lõi</w:t>
      </w:r>
      <w:r w:rsidR="00C27741">
        <w:rPr>
          <w:sz w:val="26"/>
          <w:szCs w:val="26"/>
        </w:rPr>
        <w:t xml:space="preserve"> (</w:t>
      </w:r>
      <w:r w:rsidR="00ED1049" w:rsidRPr="005C6A26">
        <w:rPr>
          <w:sz w:val="26"/>
          <w:szCs w:val="26"/>
        </w:rPr>
        <w:t>một</w:t>
      </w:r>
      <w:r w:rsidR="00C27741">
        <w:rPr>
          <w:sz w:val="26"/>
          <w:szCs w:val="26"/>
        </w:rPr>
        <w:t xml:space="preserve"> trong những chỉ số dẫn đ</w:t>
      </w:r>
      <w:r w:rsidR="00ED1049" w:rsidRPr="005C6A26">
        <w:rPr>
          <w:sz w:val="26"/>
          <w:szCs w:val="26"/>
        </w:rPr>
        <w:t>ầu của chi phí kinh doanh</w:t>
      </w:r>
      <w:r w:rsidR="00C27741">
        <w:rPr>
          <w:sz w:val="26"/>
          <w:szCs w:val="26"/>
        </w:rPr>
        <w:t>)</w:t>
      </w:r>
      <w:r w:rsidR="00ED1049" w:rsidRPr="005C6A26">
        <w:rPr>
          <w:sz w:val="26"/>
          <w:szCs w:val="26"/>
        </w:rPr>
        <w:t xml:space="preserve"> đã giảm 5,7% sau khi giảm 3,6% trong tháng trước,</w:t>
      </w:r>
      <w:r w:rsidR="00C27741">
        <w:rPr>
          <w:sz w:val="26"/>
          <w:szCs w:val="26"/>
        </w:rPr>
        <w:t xml:space="preserve"> các đơn hàng máy móc giảm 3,2%</w:t>
      </w:r>
      <w:r w:rsidR="00ED1049" w:rsidRPr="005C6A26">
        <w:rPr>
          <w:sz w:val="26"/>
          <w:szCs w:val="26"/>
        </w:rPr>
        <w:t xml:space="preserve">. </w:t>
      </w:r>
      <w:r w:rsidR="00E43BC1" w:rsidRPr="005C6A26">
        <w:rPr>
          <w:sz w:val="26"/>
          <w:szCs w:val="26"/>
        </w:rPr>
        <w:t>Chỉ số CPI tháng 8 giảm 0,1% so với cùng kỳ năm ngoái</w:t>
      </w:r>
      <w:r w:rsidR="00E43BC1" w:rsidRPr="005C6A26">
        <w:rPr>
          <w:rStyle w:val="FootnoteReference"/>
          <w:sz w:val="26"/>
          <w:szCs w:val="26"/>
        </w:rPr>
        <w:footnoteReference w:id="5"/>
      </w:r>
      <w:r w:rsidR="00E43BC1" w:rsidRPr="005C6A26">
        <w:rPr>
          <w:sz w:val="26"/>
          <w:szCs w:val="26"/>
        </w:rPr>
        <w:t xml:space="preserve"> chủ yếu do giá năng lượng giảm</w:t>
      </w:r>
      <w:r w:rsidR="00770D3B" w:rsidRPr="005C6A26">
        <w:rPr>
          <w:sz w:val="26"/>
          <w:szCs w:val="26"/>
        </w:rPr>
        <w:t>,</w:t>
      </w:r>
      <w:r w:rsidR="00E43BC1" w:rsidRPr="005C6A26">
        <w:rPr>
          <w:sz w:val="26"/>
          <w:szCs w:val="26"/>
        </w:rPr>
        <w:t xml:space="preserve"> </w:t>
      </w:r>
      <w:r w:rsidR="00C27741">
        <w:rPr>
          <w:sz w:val="26"/>
          <w:szCs w:val="26"/>
        </w:rPr>
        <w:t>trước tình hình nền kinh tế yếu</w:t>
      </w:r>
      <w:r w:rsidR="00770D3B" w:rsidRPr="005C6A26">
        <w:rPr>
          <w:sz w:val="26"/>
          <w:szCs w:val="26"/>
        </w:rPr>
        <w:t xml:space="preserve"> Ngân hàng Trung ương tiếp tục nới lỏng tiền tệ </w:t>
      </w:r>
      <w:r w:rsidR="00C27741">
        <w:rPr>
          <w:sz w:val="26"/>
          <w:szCs w:val="26"/>
        </w:rPr>
        <w:t>nhằm</w:t>
      </w:r>
      <w:r w:rsidR="00770D3B" w:rsidRPr="005C6A26">
        <w:rPr>
          <w:sz w:val="26"/>
          <w:szCs w:val="26"/>
        </w:rPr>
        <w:t xml:space="preserve"> giữ lạm phát ở mức 2%. </w:t>
      </w:r>
    </w:p>
    <w:p w:rsidR="001F3DAC" w:rsidRPr="005C6A26" w:rsidRDefault="00ED1049" w:rsidP="005C6A26">
      <w:pPr>
        <w:spacing w:before="120" w:line="288" w:lineRule="auto"/>
        <w:ind w:firstLine="709"/>
        <w:rPr>
          <w:i/>
          <w:sz w:val="26"/>
          <w:szCs w:val="26"/>
        </w:rPr>
      </w:pPr>
      <w:r w:rsidRPr="005C6A26">
        <w:rPr>
          <w:i/>
          <w:sz w:val="26"/>
          <w:szCs w:val="26"/>
        </w:rPr>
        <w:lastRenderedPageBreak/>
        <w:t>Tăng trưởng của các nền kinh tế mới nổi và đang phát triển</w:t>
      </w:r>
    </w:p>
    <w:p w:rsidR="000678C1" w:rsidRPr="005C6A26" w:rsidRDefault="000678C1" w:rsidP="005C6A26">
      <w:pPr>
        <w:spacing w:before="120" w:line="288" w:lineRule="auto"/>
        <w:ind w:firstLine="709"/>
        <w:rPr>
          <w:sz w:val="26"/>
          <w:szCs w:val="26"/>
        </w:rPr>
      </w:pPr>
      <w:r w:rsidRPr="005C6A26">
        <w:rPr>
          <w:sz w:val="26"/>
          <w:szCs w:val="26"/>
        </w:rPr>
        <w:t>IMF đã hạ dự báo tăng trưởng của các nước BIRCS trong năm 2015 từ 4,2% xuống còn 4%.</w:t>
      </w:r>
    </w:p>
    <w:p w:rsidR="00284FAE" w:rsidRPr="005C6A26" w:rsidRDefault="002C63CA" w:rsidP="005C6A26">
      <w:pPr>
        <w:spacing w:before="120" w:line="288" w:lineRule="auto"/>
        <w:ind w:firstLine="709"/>
        <w:rPr>
          <w:sz w:val="26"/>
          <w:szCs w:val="26"/>
          <w:lang w:val="de-DE"/>
        </w:rPr>
      </w:pPr>
      <w:r w:rsidRPr="005C6A26">
        <w:rPr>
          <w:b/>
          <w:i/>
          <w:sz w:val="26"/>
          <w:szCs w:val="26"/>
        </w:rPr>
        <w:t>Trung Quốc,</w:t>
      </w:r>
      <w:r w:rsidRPr="005C6A26">
        <w:rPr>
          <w:b/>
          <w:sz w:val="26"/>
          <w:szCs w:val="26"/>
        </w:rPr>
        <w:t xml:space="preserve"> </w:t>
      </w:r>
      <w:r w:rsidR="00284FAE" w:rsidRPr="005C6A26">
        <w:rPr>
          <w:sz w:val="26"/>
          <w:szCs w:val="26"/>
        </w:rPr>
        <w:t>nền kinh tế tiếp tục dấu hiệu giảm tốc</w:t>
      </w:r>
      <w:r w:rsidR="00084A2C" w:rsidRPr="005C6A26">
        <w:rPr>
          <w:sz w:val="26"/>
          <w:szCs w:val="26"/>
        </w:rPr>
        <w:t xml:space="preserve"> khi</w:t>
      </w:r>
      <w:r w:rsidR="00084A2C" w:rsidRPr="005C6A26">
        <w:t xml:space="preserve"> </w:t>
      </w:r>
      <w:r w:rsidR="00084A2C" w:rsidRPr="005C6A26">
        <w:rPr>
          <w:sz w:val="26"/>
          <w:szCs w:val="26"/>
        </w:rPr>
        <w:t>GDP quý 3</w:t>
      </w:r>
      <w:r w:rsidR="00850545">
        <w:rPr>
          <w:sz w:val="26"/>
          <w:szCs w:val="26"/>
        </w:rPr>
        <w:t xml:space="preserve"> chỉ</w:t>
      </w:r>
      <w:r w:rsidR="00084A2C" w:rsidRPr="005C6A26">
        <w:rPr>
          <w:sz w:val="26"/>
          <w:szCs w:val="26"/>
        </w:rPr>
        <w:t xml:space="preserve"> tăng 6,9% so với cùng kỳ (tốc độ tăng trưởng thấp nhất trong hơn 6 năm).</w:t>
      </w:r>
      <w:r w:rsidR="00284FAE" w:rsidRPr="005C6A26">
        <w:rPr>
          <w:sz w:val="26"/>
          <w:szCs w:val="26"/>
        </w:rPr>
        <w:t xml:space="preserve"> </w:t>
      </w:r>
      <w:r w:rsidR="003C51A1" w:rsidRPr="005C6A26">
        <w:rPr>
          <w:sz w:val="26"/>
          <w:szCs w:val="26"/>
        </w:rPr>
        <w:t xml:space="preserve">Viện Hàn lâm khoa học xã hội Trung Quốc </w:t>
      </w:r>
      <w:r w:rsidR="00850545">
        <w:rPr>
          <w:sz w:val="26"/>
          <w:szCs w:val="26"/>
        </w:rPr>
        <w:t>dự báo</w:t>
      </w:r>
      <w:r w:rsidR="003C51A1" w:rsidRPr="005C6A26">
        <w:rPr>
          <w:sz w:val="26"/>
          <w:szCs w:val="26"/>
        </w:rPr>
        <w:t xml:space="preserve"> GDP của nước này </w:t>
      </w:r>
      <w:r w:rsidR="00850545">
        <w:rPr>
          <w:sz w:val="26"/>
          <w:szCs w:val="26"/>
        </w:rPr>
        <w:t>sẽ tăng</w:t>
      </w:r>
      <w:r w:rsidR="003C51A1" w:rsidRPr="005C6A26">
        <w:rPr>
          <w:sz w:val="26"/>
          <w:szCs w:val="26"/>
        </w:rPr>
        <w:t xml:space="preserve"> 6,9% trong năm nay thấp hơn mức 7% </w:t>
      </w:r>
      <w:r w:rsidR="00850545">
        <w:rPr>
          <w:sz w:val="26"/>
          <w:szCs w:val="26"/>
        </w:rPr>
        <w:t>mà</w:t>
      </w:r>
      <w:r w:rsidR="003C51A1" w:rsidRPr="005C6A26">
        <w:rPr>
          <w:sz w:val="26"/>
          <w:szCs w:val="26"/>
        </w:rPr>
        <w:t xml:space="preserve"> Chính phủ</w:t>
      </w:r>
      <w:r w:rsidR="00850545">
        <w:rPr>
          <w:sz w:val="26"/>
          <w:szCs w:val="26"/>
        </w:rPr>
        <w:t xml:space="preserve"> đưa ra</w:t>
      </w:r>
      <w:r w:rsidR="003C51A1" w:rsidRPr="005C6A26">
        <w:rPr>
          <w:sz w:val="26"/>
          <w:szCs w:val="26"/>
        </w:rPr>
        <w:t xml:space="preserve">. </w:t>
      </w:r>
      <w:r w:rsidR="00705A43">
        <w:rPr>
          <w:sz w:val="26"/>
          <w:szCs w:val="26"/>
        </w:rPr>
        <w:t>C</w:t>
      </w:r>
      <w:r w:rsidR="003C51A1" w:rsidRPr="005C6A26">
        <w:rPr>
          <w:sz w:val="26"/>
          <w:szCs w:val="26"/>
          <w:lang w:val="de-DE"/>
        </w:rPr>
        <w:t xml:space="preserve">hỉ số PMI 8 tháng liên tiếp dưới 50 điểm riêng trong tháng 9 là 47,2 điểm là mức thấp kỷ lục. </w:t>
      </w:r>
      <w:r w:rsidR="00CD2573" w:rsidRPr="005C6A26">
        <w:rPr>
          <w:sz w:val="26"/>
          <w:szCs w:val="26"/>
          <w:lang w:val="de-DE"/>
        </w:rPr>
        <w:t xml:space="preserve">Dự trữ ngoại hối của Trung Quốc giảm 180 tỷ USD </w:t>
      </w:r>
      <w:r w:rsidR="00850545" w:rsidRPr="005C6A26">
        <w:rPr>
          <w:sz w:val="26"/>
          <w:szCs w:val="26"/>
          <w:lang w:val="de-DE"/>
        </w:rPr>
        <w:t>trong quý III/2015</w:t>
      </w:r>
      <w:r w:rsidR="00850545">
        <w:rPr>
          <w:sz w:val="26"/>
          <w:szCs w:val="26"/>
          <w:lang w:val="de-DE"/>
        </w:rPr>
        <w:t xml:space="preserve"> </w:t>
      </w:r>
      <w:r w:rsidR="00CD2573" w:rsidRPr="005C6A26">
        <w:rPr>
          <w:sz w:val="26"/>
          <w:szCs w:val="26"/>
          <w:lang w:val="de-DE"/>
        </w:rPr>
        <w:t>xuống</w:t>
      </w:r>
      <w:r w:rsidR="00850545">
        <w:rPr>
          <w:sz w:val="26"/>
          <w:szCs w:val="26"/>
          <w:lang w:val="de-DE"/>
        </w:rPr>
        <w:t xml:space="preserve"> còn</w:t>
      </w:r>
      <w:r w:rsidR="00CD2573" w:rsidRPr="005C6A26">
        <w:rPr>
          <w:sz w:val="26"/>
          <w:szCs w:val="26"/>
          <w:lang w:val="de-DE"/>
        </w:rPr>
        <w:t xml:space="preserve"> 3,51 nghìn tỷ USD </w:t>
      </w:r>
      <w:r w:rsidR="00850545">
        <w:rPr>
          <w:sz w:val="26"/>
          <w:szCs w:val="26"/>
          <w:lang w:val="de-DE"/>
        </w:rPr>
        <w:t xml:space="preserve">do </w:t>
      </w:r>
      <w:r w:rsidR="00CD2573" w:rsidRPr="005C6A26">
        <w:rPr>
          <w:sz w:val="26"/>
          <w:szCs w:val="26"/>
          <w:lang w:val="de-DE"/>
        </w:rPr>
        <w:t>PBOC phải bán USD để hỗ trợ nội tệ sau khi bất ngờ phá giá hôm 11/8.</w:t>
      </w:r>
      <w:r w:rsidR="00FF2C4E" w:rsidRPr="005C6A26">
        <w:rPr>
          <w:lang w:val="de-DE"/>
        </w:rPr>
        <w:t xml:space="preserve"> </w:t>
      </w:r>
      <w:r w:rsidR="00850545">
        <w:rPr>
          <w:lang w:val="de-DE"/>
        </w:rPr>
        <w:t xml:space="preserve">Bên cạnh đó, </w:t>
      </w:r>
      <w:r w:rsidR="00FF2C4E" w:rsidRPr="005C6A26">
        <w:rPr>
          <w:sz w:val="26"/>
          <w:szCs w:val="26"/>
          <w:lang w:val="de-DE"/>
        </w:rPr>
        <w:t xml:space="preserve">Trung Quốc </w:t>
      </w:r>
      <w:r w:rsidR="00275768" w:rsidRPr="005C6A26">
        <w:rPr>
          <w:sz w:val="26"/>
          <w:szCs w:val="26"/>
          <w:lang w:val="de-DE"/>
        </w:rPr>
        <w:t>đang</w:t>
      </w:r>
      <w:r w:rsidR="00FF2C4E" w:rsidRPr="005C6A26">
        <w:rPr>
          <w:sz w:val="26"/>
          <w:szCs w:val="26"/>
          <w:lang w:val="de-DE"/>
        </w:rPr>
        <w:t xml:space="preserve"> phải đối mặt với sự suy giảm mạnh của thị trường bất động sản và thị trường chứng khoán, dòng vốn đầu tư nước ngoài đang tháo </w:t>
      </w:r>
      <w:r w:rsidR="00275768" w:rsidRPr="005C6A26">
        <w:rPr>
          <w:sz w:val="26"/>
          <w:szCs w:val="26"/>
          <w:lang w:val="de-DE"/>
        </w:rPr>
        <w:t>chạy</w:t>
      </w:r>
      <w:r w:rsidR="00275768" w:rsidRPr="005C6A26">
        <w:rPr>
          <w:rStyle w:val="FootnoteReference"/>
          <w:sz w:val="26"/>
          <w:szCs w:val="26"/>
        </w:rPr>
        <w:footnoteReference w:id="6"/>
      </w:r>
      <w:r w:rsidR="00275768" w:rsidRPr="005C6A26">
        <w:rPr>
          <w:sz w:val="26"/>
          <w:szCs w:val="26"/>
          <w:lang w:val="de-DE"/>
        </w:rPr>
        <w:t xml:space="preserve">. </w:t>
      </w:r>
    </w:p>
    <w:p w:rsidR="00CA28E1" w:rsidRPr="005C6A26" w:rsidRDefault="0040109F" w:rsidP="005C6A26">
      <w:pPr>
        <w:spacing w:before="120" w:line="288" w:lineRule="auto"/>
        <w:ind w:firstLine="709"/>
        <w:rPr>
          <w:bCs/>
          <w:sz w:val="26"/>
          <w:szCs w:val="26"/>
          <w:lang w:val="de-DE"/>
        </w:rPr>
      </w:pPr>
      <w:r w:rsidRPr="005C6A26">
        <w:rPr>
          <w:b/>
          <w:sz w:val="26"/>
          <w:szCs w:val="26"/>
          <w:lang w:val="de-DE"/>
        </w:rPr>
        <w:t>Các nước BRICs khác</w:t>
      </w:r>
      <w:r w:rsidRPr="005C6A26">
        <w:rPr>
          <w:i/>
          <w:sz w:val="26"/>
          <w:szCs w:val="26"/>
          <w:lang w:val="de-DE"/>
        </w:rPr>
        <w:t>:</w:t>
      </w:r>
      <w:r w:rsidR="000678C1" w:rsidRPr="005C6A26">
        <w:rPr>
          <w:sz w:val="26"/>
          <w:szCs w:val="26"/>
          <w:lang w:val="de-DE"/>
        </w:rPr>
        <w:t xml:space="preserve"> </w:t>
      </w:r>
      <w:r w:rsidR="000678C1" w:rsidRPr="005C6A26">
        <w:rPr>
          <w:i/>
          <w:sz w:val="26"/>
          <w:szCs w:val="26"/>
          <w:lang w:val="de-DE"/>
        </w:rPr>
        <w:t>Nga</w:t>
      </w:r>
      <w:r w:rsidR="000678C1" w:rsidRPr="005C6A26">
        <w:rPr>
          <w:sz w:val="26"/>
          <w:szCs w:val="26"/>
          <w:lang w:val="de-DE"/>
        </w:rPr>
        <w:t xml:space="preserve"> dự báo tăng trưởng GDP năm 2015</w:t>
      </w:r>
      <w:r w:rsidR="00850545">
        <w:rPr>
          <w:sz w:val="26"/>
          <w:szCs w:val="26"/>
          <w:lang w:val="de-DE"/>
        </w:rPr>
        <w:t xml:space="preserve"> chỉ</w:t>
      </w:r>
      <w:r w:rsidR="000678C1" w:rsidRPr="005C6A26">
        <w:rPr>
          <w:sz w:val="26"/>
          <w:szCs w:val="26"/>
          <w:lang w:val="de-DE"/>
        </w:rPr>
        <w:t xml:space="preserve"> ở mức 0,7%. </w:t>
      </w:r>
      <w:r w:rsidR="000678C1" w:rsidRPr="005C6A26">
        <w:rPr>
          <w:bCs/>
          <w:sz w:val="26"/>
          <w:szCs w:val="26"/>
          <w:lang w:val="de-DE"/>
        </w:rPr>
        <w:t xml:space="preserve">Chính phủ cũng đã thông qua các chỉ số cơ </w:t>
      </w:r>
      <w:r w:rsidR="00850545">
        <w:rPr>
          <w:bCs/>
          <w:sz w:val="26"/>
          <w:szCs w:val="26"/>
          <w:lang w:val="de-DE"/>
        </w:rPr>
        <w:t xml:space="preserve">bản cho ngân sách năm 2016 với </w:t>
      </w:r>
      <w:r w:rsidR="000678C1" w:rsidRPr="005C6A26">
        <w:rPr>
          <w:bCs/>
          <w:sz w:val="26"/>
          <w:szCs w:val="26"/>
          <w:lang w:val="de-DE"/>
        </w:rPr>
        <w:t>tính chất "thắt lưng buộc bụng"</w:t>
      </w:r>
      <w:r w:rsidR="00850545">
        <w:rPr>
          <w:bCs/>
          <w:sz w:val="26"/>
          <w:szCs w:val="26"/>
          <w:lang w:val="de-DE"/>
        </w:rPr>
        <w:t>, trong đó</w:t>
      </w:r>
      <w:r w:rsidR="000678C1" w:rsidRPr="005C6A26">
        <w:rPr>
          <w:bCs/>
          <w:sz w:val="26"/>
          <w:szCs w:val="26"/>
          <w:lang w:val="de-DE"/>
        </w:rPr>
        <w:t xml:space="preserve"> mức thâm hụt ngân sách là 3% GDP.</w:t>
      </w:r>
      <w:r w:rsidR="00CD2573" w:rsidRPr="005C6A26">
        <w:rPr>
          <w:lang w:val="de-DE"/>
        </w:rPr>
        <w:t xml:space="preserve"> </w:t>
      </w:r>
      <w:r w:rsidR="00CD2573" w:rsidRPr="005C6A26">
        <w:rPr>
          <w:i/>
          <w:lang w:val="de-DE"/>
        </w:rPr>
        <w:t xml:space="preserve">Mexico, </w:t>
      </w:r>
      <w:r w:rsidR="00CD2573" w:rsidRPr="005C6A26">
        <w:rPr>
          <w:lang w:val="de-DE"/>
        </w:rPr>
        <w:t>n</w:t>
      </w:r>
      <w:r w:rsidR="00CD2573" w:rsidRPr="005C6A26">
        <w:rPr>
          <w:bCs/>
          <w:sz w:val="26"/>
          <w:szCs w:val="26"/>
          <w:lang w:val="de-DE"/>
        </w:rPr>
        <w:t xml:space="preserve">gân hàng trung ương tiếp tục giữ lãi suất chính ở mức 3%, trì hoãn đợt tăng cho đến tháng 12 sau khi FED giữ lãi suất không đổi. </w:t>
      </w:r>
      <w:r w:rsidR="00CD2573" w:rsidRPr="005C6A26">
        <w:rPr>
          <w:bCs/>
          <w:i/>
          <w:sz w:val="26"/>
          <w:szCs w:val="26"/>
          <w:lang w:val="de-DE"/>
        </w:rPr>
        <w:t>Indonesia</w:t>
      </w:r>
      <w:r w:rsidR="00CD2573" w:rsidRPr="005C6A26">
        <w:rPr>
          <w:bCs/>
          <w:sz w:val="26"/>
          <w:szCs w:val="26"/>
          <w:lang w:val="de-DE"/>
        </w:rPr>
        <w:t xml:space="preserve"> tăng trưởng ở mức thấp nhấp trong 6</w:t>
      </w:r>
      <w:r w:rsidR="00850545">
        <w:rPr>
          <w:bCs/>
          <w:sz w:val="26"/>
          <w:szCs w:val="26"/>
          <w:lang w:val="de-DE"/>
        </w:rPr>
        <w:t xml:space="preserve">; </w:t>
      </w:r>
      <w:r w:rsidR="00CD2573" w:rsidRPr="005C6A26">
        <w:rPr>
          <w:bCs/>
          <w:sz w:val="26"/>
          <w:szCs w:val="26"/>
          <w:lang w:val="de-DE"/>
        </w:rPr>
        <w:t>khi tăng trưởng trong quý 1 và quý 2 năm nay lần lượt là 4,71% và 4,67%</w:t>
      </w:r>
      <w:r w:rsidR="00850545">
        <w:rPr>
          <w:bCs/>
          <w:sz w:val="26"/>
          <w:szCs w:val="26"/>
          <w:lang w:val="de-DE"/>
        </w:rPr>
        <w:t>. T</w:t>
      </w:r>
      <w:r w:rsidR="00CA28E1" w:rsidRPr="005C6A26">
        <w:rPr>
          <w:bCs/>
          <w:sz w:val="26"/>
          <w:szCs w:val="26"/>
          <w:lang w:val="de-DE"/>
        </w:rPr>
        <w:t>rước tình hình đó, Chính phủ Indonesia đã triển khai gói kích thích kinh tế thứ ba nhằm thu hút đầu tư và phục hồi nền kinh tế.</w:t>
      </w:r>
    </w:p>
    <w:p w:rsidR="00A74724" w:rsidRPr="005C6A26" w:rsidRDefault="005E6FDC" w:rsidP="005C6A26">
      <w:pPr>
        <w:spacing w:before="120" w:line="288" w:lineRule="auto"/>
        <w:ind w:firstLine="709"/>
        <w:rPr>
          <w:b/>
          <w:sz w:val="26"/>
          <w:szCs w:val="26"/>
          <w:lang w:val="nl-NL"/>
        </w:rPr>
      </w:pPr>
      <w:r w:rsidRPr="005C6A26">
        <w:rPr>
          <w:b/>
          <w:sz w:val="26"/>
          <w:szCs w:val="26"/>
          <w:lang w:val="nl-NL"/>
        </w:rPr>
        <w:t>2</w:t>
      </w:r>
      <w:r w:rsidR="00A74724" w:rsidRPr="005C6A26">
        <w:rPr>
          <w:b/>
          <w:sz w:val="26"/>
          <w:szCs w:val="26"/>
          <w:lang w:val="nl-NL"/>
        </w:rPr>
        <w:t>. Giá hàng hóa</w:t>
      </w:r>
    </w:p>
    <w:p w:rsidR="00A74724" w:rsidRPr="005C6A26" w:rsidRDefault="00A74724" w:rsidP="005C6A26">
      <w:pPr>
        <w:spacing w:before="120" w:line="288" w:lineRule="auto"/>
        <w:ind w:firstLine="709"/>
        <w:rPr>
          <w:bCs/>
          <w:sz w:val="26"/>
          <w:szCs w:val="26"/>
          <w:lang w:val="de-DE"/>
        </w:rPr>
      </w:pPr>
      <w:r w:rsidRPr="005C6A26">
        <w:rPr>
          <w:bCs/>
          <w:i/>
          <w:sz w:val="26"/>
          <w:szCs w:val="26"/>
          <w:lang w:val="de-DE"/>
        </w:rPr>
        <w:t xml:space="preserve">- Giá hàng hóa thế giới </w:t>
      </w:r>
      <w:r w:rsidRPr="005C6A26">
        <w:rPr>
          <w:bCs/>
          <w:sz w:val="26"/>
          <w:szCs w:val="26"/>
          <w:lang w:val="de-DE"/>
        </w:rPr>
        <w:t>vẫn tiếp t</w:t>
      </w:r>
      <w:r w:rsidR="00AE3DF9">
        <w:rPr>
          <w:bCs/>
          <w:sz w:val="26"/>
          <w:szCs w:val="26"/>
          <w:lang w:val="de-DE"/>
        </w:rPr>
        <w:t xml:space="preserve">ục xu hướng giảm trong năm 2015, dự báo </w:t>
      </w:r>
      <w:r w:rsidRPr="005C6A26">
        <w:rPr>
          <w:bCs/>
          <w:sz w:val="26"/>
          <w:szCs w:val="26"/>
          <w:lang w:val="de-DE"/>
        </w:rPr>
        <w:t>phục hồi trong năm 2016. Giá các mặt hàng chủ chốt giảm mạnh do lượng tồn trữ quá nhiều trong khi sản lượng tăng cao do được mùa. So với cùng kỳ 2014, giá các loại hàng hóa chủ chốt trong tháng 9/2015</w:t>
      </w:r>
      <w:r w:rsidRPr="005C6A26">
        <w:rPr>
          <w:bCs/>
          <w:sz w:val="26"/>
          <w:szCs w:val="26"/>
          <w:vertAlign w:val="superscript"/>
          <w:lang w:val="de-DE"/>
        </w:rPr>
        <w:footnoteReference w:id="7"/>
      </w:r>
      <w:r w:rsidR="007C63A4" w:rsidRPr="005C6A26">
        <w:rPr>
          <w:bCs/>
          <w:sz w:val="26"/>
          <w:szCs w:val="26"/>
          <w:lang w:val="de-DE"/>
        </w:rPr>
        <w:t xml:space="preserve"> giảm sâu: giá năng lượng giảm 49</w:t>
      </w:r>
      <w:r w:rsidRPr="005C6A26">
        <w:rPr>
          <w:bCs/>
          <w:sz w:val="26"/>
          <w:szCs w:val="26"/>
          <w:lang w:val="de-DE"/>
        </w:rPr>
        <w:t xml:space="preserve">%; giá nông sản giảm </w:t>
      </w:r>
      <w:r w:rsidR="007C63A4" w:rsidRPr="005C6A26">
        <w:rPr>
          <w:bCs/>
          <w:sz w:val="26"/>
          <w:szCs w:val="26"/>
          <w:lang w:val="de-DE"/>
        </w:rPr>
        <w:t>13</w:t>
      </w:r>
      <w:r w:rsidRPr="005C6A26">
        <w:rPr>
          <w:bCs/>
          <w:sz w:val="26"/>
          <w:szCs w:val="26"/>
          <w:lang w:val="de-DE"/>
        </w:rPr>
        <w:t xml:space="preserve">%; giá lương thực giảm </w:t>
      </w:r>
      <w:r w:rsidR="007C63A4" w:rsidRPr="005C6A26">
        <w:rPr>
          <w:bCs/>
          <w:sz w:val="26"/>
          <w:szCs w:val="26"/>
          <w:lang w:val="de-DE"/>
        </w:rPr>
        <w:t>15</w:t>
      </w:r>
      <w:r w:rsidRPr="005C6A26">
        <w:rPr>
          <w:bCs/>
          <w:sz w:val="26"/>
          <w:szCs w:val="26"/>
          <w:lang w:val="de-DE"/>
        </w:rPr>
        <w:t xml:space="preserve">%; nguyên liệu </w:t>
      </w:r>
      <w:r w:rsidR="007C63A4" w:rsidRPr="005C6A26">
        <w:rPr>
          <w:bCs/>
          <w:sz w:val="26"/>
          <w:szCs w:val="26"/>
          <w:lang w:val="de-DE"/>
        </w:rPr>
        <w:t>thô giảm 7</w:t>
      </w:r>
      <w:r w:rsidRPr="005C6A26">
        <w:rPr>
          <w:bCs/>
          <w:sz w:val="26"/>
          <w:szCs w:val="26"/>
          <w:lang w:val="de-DE"/>
        </w:rPr>
        <w:t xml:space="preserve">%; kim loại giảm </w:t>
      </w:r>
      <w:r w:rsidR="007C63A4" w:rsidRPr="005C6A26">
        <w:rPr>
          <w:bCs/>
          <w:sz w:val="26"/>
          <w:szCs w:val="26"/>
          <w:lang w:val="de-DE"/>
        </w:rPr>
        <w:t>25</w:t>
      </w:r>
      <w:r w:rsidRPr="005C6A26">
        <w:rPr>
          <w:bCs/>
          <w:sz w:val="26"/>
          <w:szCs w:val="26"/>
          <w:lang w:val="de-DE"/>
        </w:rPr>
        <w:t>%.</w:t>
      </w:r>
    </w:p>
    <w:p w:rsidR="00BF2AA7" w:rsidRPr="005C6A26" w:rsidRDefault="008C5BC0" w:rsidP="005C6A26">
      <w:pPr>
        <w:spacing w:before="120" w:line="288" w:lineRule="auto"/>
        <w:ind w:firstLine="709"/>
        <w:rPr>
          <w:b/>
          <w:sz w:val="26"/>
          <w:szCs w:val="26"/>
          <w:lang w:val="de-DE"/>
        </w:rPr>
      </w:pPr>
      <w:r w:rsidRPr="005C6A26">
        <w:rPr>
          <w:rFonts w:eastAsia="Calibri"/>
          <w:i/>
          <w:sz w:val="26"/>
          <w:szCs w:val="26"/>
          <w:lang w:val="de-DE"/>
        </w:rPr>
        <w:t xml:space="preserve">- Giá dầu thô tiếp tục duy trì ở mức thấp. </w:t>
      </w:r>
      <w:r w:rsidRPr="005C6A26">
        <w:rPr>
          <w:rFonts w:eastAsia="Calibri"/>
          <w:sz w:val="26"/>
          <w:szCs w:val="26"/>
          <w:lang w:val="de-DE"/>
        </w:rPr>
        <w:t>Giá dầu thanh toán bình quân trong tháng 9 đạt mức 58,6 USD/thùng</w:t>
      </w:r>
      <w:r w:rsidR="008B54E3">
        <w:rPr>
          <w:rStyle w:val="FootnoteReference"/>
          <w:rFonts w:eastAsia="Calibri"/>
          <w:sz w:val="26"/>
          <w:szCs w:val="26"/>
          <w:lang w:val="de-DE"/>
        </w:rPr>
        <w:footnoteReference w:id="8"/>
      </w:r>
      <w:r w:rsidRPr="005C6A26">
        <w:rPr>
          <w:rFonts w:eastAsia="Calibri"/>
          <w:sz w:val="26"/>
          <w:szCs w:val="26"/>
          <w:lang w:val="de-DE"/>
        </w:rPr>
        <w:t xml:space="preserve"> và được dự báo đạt mức bình quân 50 USD/thùng trong những tháng cuối năm dẫn tới cả năm 2015 ước tính chỉ ở mức 56,7 USD/thùng, giảm 43,3% so với giá giao trong dự toán.</w:t>
      </w:r>
      <w:r w:rsidR="00BF2AA7" w:rsidRPr="005C6A26">
        <w:rPr>
          <w:b/>
          <w:sz w:val="26"/>
          <w:szCs w:val="26"/>
          <w:lang w:val="de-DE"/>
        </w:rPr>
        <w:br w:type="page"/>
      </w:r>
    </w:p>
    <w:p w:rsidR="005926AC" w:rsidRPr="005C6A26" w:rsidRDefault="000110F5" w:rsidP="005C6A26">
      <w:pPr>
        <w:pStyle w:val="Footer"/>
        <w:numPr>
          <w:ilvl w:val="0"/>
          <w:numId w:val="12"/>
        </w:numPr>
        <w:tabs>
          <w:tab w:val="left" w:pos="284"/>
          <w:tab w:val="left" w:pos="567"/>
        </w:tabs>
        <w:spacing w:before="120" w:line="288" w:lineRule="auto"/>
        <w:ind w:hanging="1080"/>
        <w:rPr>
          <w:b/>
          <w:sz w:val="26"/>
          <w:szCs w:val="26"/>
        </w:rPr>
      </w:pPr>
      <w:r w:rsidRPr="00BF65AB">
        <w:rPr>
          <w:b/>
          <w:sz w:val="26"/>
          <w:szCs w:val="26"/>
          <w:lang w:val="de-DE"/>
        </w:rPr>
        <w:lastRenderedPageBreak/>
        <w:t xml:space="preserve"> </w:t>
      </w:r>
      <w:r w:rsidR="005926AC" w:rsidRPr="005C6A26">
        <w:rPr>
          <w:b/>
          <w:sz w:val="26"/>
          <w:szCs w:val="26"/>
        </w:rPr>
        <w:t>KINH TẾ VIỆT NAM</w:t>
      </w:r>
    </w:p>
    <w:p w:rsidR="00AE4F5D" w:rsidRPr="005C6A26" w:rsidRDefault="001649AF" w:rsidP="008E3164">
      <w:pPr>
        <w:spacing w:before="120" w:line="288" w:lineRule="auto"/>
        <w:ind w:firstLine="0"/>
        <w:jc w:val="left"/>
        <w:rPr>
          <w:b/>
          <w:sz w:val="26"/>
          <w:szCs w:val="26"/>
          <w:lang w:val="nl-NL"/>
        </w:rPr>
      </w:pPr>
      <w:r w:rsidRPr="005C6A26">
        <w:rPr>
          <w:b/>
          <w:sz w:val="26"/>
          <w:szCs w:val="26"/>
          <w:lang w:val="nl-NL"/>
        </w:rPr>
        <w:t xml:space="preserve">1. </w:t>
      </w:r>
      <w:r w:rsidR="0055433C" w:rsidRPr="005C6A26">
        <w:rPr>
          <w:b/>
          <w:sz w:val="26"/>
          <w:szCs w:val="26"/>
          <w:lang w:val="nl-NL"/>
        </w:rPr>
        <w:t>Tăng tr</w:t>
      </w:r>
      <w:r w:rsidR="003C1625" w:rsidRPr="005C6A26">
        <w:rPr>
          <w:b/>
          <w:sz w:val="26"/>
          <w:szCs w:val="26"/>
          <w:lang w:val="nl-NL"/>
        </w:rPr>
        <w:t>ưở</w:t>
      </w:r>
      <w:r w:rsidR="0055433C" w:rsidRPr="005C6A26">
        <w:rPr>
          <w:b/>
          <w:sz w:val="26"/>
          <w:szCs w:val="26"/>
          <w:lang w:val="nl-NL"/>
        </w:rPr>
        <w:t>ng tiếp tục đà hồi phục</w:t>
      </w:r>
      <w:r w:rsidR="008E3164">
        <w:rPr>
          <w:b/>
          <w:sz w:val="26"/>
          <w:szCs w:val="26"/>
          <w:lang w:val="nl-NL"/>
        </w:rPr>
        <w:t xml:space="preserve"> tuy nhiên tốc độ tăng có xu hướng chậm lại</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tblPr>
      <w:tblGrid>
        <w:gridCol w:w="5211"/>
        <w:gridCol w:w="4536"/>
      </w:tblGrid>
      <w:tr w:rsidR="001649AF" w:rsidRPr="005C6A26" w:rsidTr="001265AA">
        <w:trPr>
          <w:trHeight w:val="841"/>
        </w:trPr>
        <w:tc>
          <w:tcPr>
            <w:tcW w:w="5211" w:type="dxa"/>
          </w:tcPr>
          <w:p w:rsidR="0085275E" w:rsidRPr="008E3164" w:rsidRDefault="00F5409A" w:rsidP="00EE7FD1">
            <w:pPr>
              <w:spacing w:before="120" w:line="312" w:lineRule="auto"/>
              <w:rPr>
                <w:sz w:val="26"/>
                <w:szCs w:val="26"/>
                <w:lang w:val="nl-NL"/>
              </w:rPr>
            </w:pPr>
            <w:r w:rsidRPr="008E3164">
              <w:rPr>
                <w:rFonts w:eastAsiaTheme="minorHAnsi"/>
                <w:sz w:val="26"/>
                <w:szCs w:val="26"/>
                <w:lang w:val="nl-NL"/>
              </w:rPr>
              <w:t xml:space="preserve">- </w:t>
            </w:r>
            <w:r w:rsidR="00ED1758" w:rsidRPr="008E3164">
              <w:rPr>
                <w:rFonts w:eastAsiaTheme="minorHAnsi"/>
                <w:sz w:val="26"/>
                <w:szCs w:val="26"/>
                <w:lang w:val="nl-NL"/>
              </w:rPr>
              <w:t>T</w:t>
            </w:r>
            <w:r w:rsidR="00ED1758" w:rsidRPr="008E3164">
              <w:rPr>
                <w:sz w:val="26"/>
                <w:szCs w:val="26"/>
                <w:lang w:val="nl-NL"/>
              </w:rPr>
              <w:t xml:space="preserve">ăng trưởng GDP 9 tháng đầu năm vẫn đạt mức 6,5% (so với cùng kỳ 2014). </w:t>
            </w:r>
            <w:r w:rsidR="00ED1758" w:rsidRPr="008E3164">
              <w:rPr>
                <w:b/>
                <w:i/>
                <w:sz w:val="26"/>
                <w:szCs w:val="26"/>
                <w:lang w:val="nl-NL"/>
              </w:rPr>
              <w:t>UBGSTCQG giữ nguyên dự báo từ đầu năm về mức tăng trưởng GDP 6,5% của năm 2015</w:t>
            </w:r>
            <w:r w:rsidR="00ED1758" w:rsidRPr="008E3164">
              <w:rPr>
                <w:sz w:val="26"/>
                <w:szCs w:val="26"/>
                <w:lang w:val="nl-NL"/>
              </w:rPr>
              <w:t xml:space="preserve">.  </w:t>
            </w:r>
          </w:p>
          <w:p w:rsidR="004A0B82" w:rsidRPr="00B25085" w:rsidRDefault="00F5409A" w:rsidP="00EE7FD1">
            <w:pPr>
              <w:spacing w:before="120" w:line="288" w:lineRule="auto"/>
              <w:rPr>
                <w:rFonts w:eastAsiaTheme="minorHAnsi"/>
                <w:spacing w:val="2"/>
                <w:sz w:val="26"/>
                <w:szCs w:val="26"/>
                <w:lang w:val="nl-NL"/>
              </w:rPr>
            </w:pPr>
            <w:r w:rsidRPr="00B25085">
              <w:rPr>
                <w:rFonts w:eastAsiaTheme="minorHAnsi"/>
                <w:i/>
                <w:spacing w:val="2"/>
                <w:sz w:val="26"/>
                <w:szCs w:val="26"/>
                <w:lang w:val="nl-NL"/>
              </w:rPr>
              <w:t xml:space="preserve">- </w:t>
            </w:r>
            <w:r w:rsidR="00ED1758" w:rsidRPr="00B25085">
              <w:rPr>
                <w:rFonts w:eastAsiaTheme="minorHAnsi"/>
                <w:i/>
                <w:spacing w:val="2"/>
                <w:sz w:val="26"/>
                <w:szCs w:val="26"/>
                <w:lang w:val="nl-NL"/>
              </w:rPr>
              <w:t>Động lực chính cho tăng trưởng là ngành công nghiệp và xây dựng, nhất là công nghiệp chế biến, chế tạo</w:t>
            </w:r>
            <w:r w:rsidR="00ED1758" w:rsidRPr="00B25085">
              <w:rPr>
                <w:rFonts w:eastAsiaTheme="minorHAnsi"/>
                <w:spacing w:val="2"/>
                <w:sz w:val="26"/>
                <w:szCs w:val="26"/>
                <w:lang w:val="nl-NL"/>
              </w:rPr>
              <w:t xml:space="preserve">. </w:t>
            </w:r>
            <w:r w:rsidR="00ED1758" w:rsidRPr="00B25085">
              <w:rPr>
                <w:rFonts w:eastAsiaTheme="minorHAnsi"/>
                <w:spacing w:val="2"/>
                <w:sz w:val="26"/>
                <w:szCs w:val="26"/>
                <w:lang w:val="pl-PL"/>
              </w:rPr>
              <w:t>Tăng trưởng (GDP) khu vực công nghiệp và xây dựng 9 tháng</w:t>
            </w:r>
            <w:r w:rsidR="007C7664">
              <w:rPr>
                <w:rFonts w:eastAsiaTheme="minorHAnsi"/>
                <w:spacing w:val="2"/>
                <w:sz w:val="26"/>
                <w:szCs w:val="26"/>
                <w:lang w:val="pl-PL"/>
              </w:rPr>
              <w:t xml:space="preserve"> đầu năm </w:t>
            </w:r>
            <w:r w:rsidR="00ED1758" w:rsidRPr="00B25085">
              <w:rPr>
                <w:rFonts w:eastAsiaTheme="minorHAnsi"/>
                <w:spacing w:val="2"/>
                <w:sz w:val="26"/>
                <w:szCs w:val="26"/>
                <w:lang w:val="pl-PL"/>
              </w:rPr>
              <w:t>2015 ở mức 9,57%, cao gần gấp đôi mức tăng của cùng kì 2014 (5,75%); trong khi, tăng trưởng của khu vực dịch vụ hầu như không tăng và của khu vực nông-lâm-ngư nghiệp giảm so với cùng kì 2014 (giảm từ 2,94% xuống 2,08%)</w:t>
            </w:r>
            <w:r w:rsidR="00ED1758" w:rsidRPr="00B25085">
              <w:rPr>
                <w:rFonts w:eastAsiaTheme="minorHAnsi"/>
                <w:spacing w:val="2"/>
                <w:sz w:val="26"/>
                <w:szCs w:val="26"/>
                <w:lang w:val="nl-NL"/>
              </w:rPr>
              <w:t xml:space="preserve">. </w:t>
            </w:r>
          </w:p>
          <w:p w:rsidR="004A0B82" w:rsidRPr="00F5409A" w:rsidRDefault="004A0B82" w:rsidP="00EE7FD1">
            <w:pPr>
              <w:spacing w:before="120" w:line="288" w:lineRule="auto"/>
              <w:rPr>
                <w:rFonts w:eastAsiaTheme="minorHAnsi"/>
                <w:spacing w:val="2"/>
                <w:sz w:val="26"/>
                <w:szCs w:val="26"/>
                <w:lang w:val="pl-PL"/>
              </w:rPr>
            </w:pPr>
            <w:r w:rsidRPr="00F5409A">
              <w:rPr>
                <w:rFonts w:eastAsiaTheme="minorHAnsi"/>
                <w:spacing w:val="2"/>
                <w:sz w:val="26"/>
                <w:szCs w:val="26"/>
                <w:lang w:val="pl-PL"/>
              </w:rPr>
              <w:t xml:space="preserve">Chỉ số sản xuất công nghiệp (IIP) 10 tháng đầu năm 2015 </w:t>
            </w:r>
            <w:r w:rsidR="00A37B5B">
              <w:rPr>
                <w:rFonts w:eastAsiaTheme="minorHAnsi"/>
                <w:spacing w:val="2"/>
                <w:sz w:val="26"/>
                <w:szCs w:val="26"/>
                <w:lang w:val="pl-PL"/>
              </w:rPr>
              <w:t>t</w:t>
            </w:r>
            <w:r w:rsidRPr="00F5409A">
              <w:rPr>
                <w:rFonts w:eastAsiaTheme="minorHAnsi"/>
                <w:spacing w:val="2"/>
                <w:sz w:val="26"/>
                <w:szCs w:val="26"/>
                <w:lang w:val="pl-PL"/>
              </w:rPr>
              <w:t xml:space="preserve">ăng 9,7%, cao hơn nhiều so với mức 6,9% của cùng kỳ năm 2014; trong đó, công nghiệp chế biến, chế tạo tăng 10% (so với mức 8,4% của cùng kì 2014). </w:t>
            </w:r>
            <w:r w:rsidR="008E3164">
              <w:rPr>
                <w:rFonts w:eastAsiaTheme="minorHAnsi"/>
                <w:spacing w:val="2"/>
                <w:sz w:val="26"/>
                <w:szCs w:val="26"/>
                <w:lang w:val="pl-PL"/>
              </w:rPr>
              <w:t>Tuy nhiên, tốc đô tăng trưởng loại bỏ yếu tố mùa vụ có xu hướng chậm lại</w:t>
            </w:r>
            <w:r w:rsidRPr="00F5409A">
              <w:rPr>
                <w:rFonts w:eastAsiaTheme="minorHAnsi"/>
                <w:spacing w:val="2"/>
                <w:sz w:val="26"/>
                <w:szCs w:val="26"/>
                <w:lang w:val="pl-PL"/>
              </w:rPr>
              <w:t xml:space="preserve">, tháng 9, chỉ số PMI lần đầu tiên giảm dưới 50 điểm (49,5 điểm) sau 25 tháng liên tiếp duy trì mức điểm trên 50. Cầu </w:t>
            </w:r>
            <w:r w:rsidR="00905577">
              <w:rPr>
                <w:rFonts w:eastAsiaTheme="minorHAnsi"/>
                <w:spacing w:val="2"/>
                <w:sz w:val="26"/>
                <w:szCs w:val="26"/>
                <w:lang w:val="pl-PL"/>
              </w:rPr>
              <w:t xml:space="preserve">của </w:t>
            </w:r>
            <w:r w:rsidRPr="00F5409A">
              <w:rPr>
                <w:rFonts w:eastAsiaTheme="minorHAnsi"/>
                <w:spacing w:val="2"/>
                <w:sz w:val="26"/>
                <w:szCs w:val="26"/>
                <w:lang w:val="pl-PL"/>
              </w:rPr>
              <w:t>các nước trong khu vực</w:t>
            </w:r>
            <w:r w:rsidR="00905577">
              <w:rPr>
                <w:rFonts w:eastAsiaTheme="minorHAnsi"/>
                <w:spacing w:val="2"/>
                <w:sz w:val="26"/>
                <w:szCs w:val="26"/>
                <w:lang w:val="pl-PL"/>
              </w:rPr>
              <w:t xml:space="preserve"> còn yếu</w:t>
            </w:r>
            <w:r w:rsidRPr="00F5409A">
              <w:rPr>
                <w:rFonts w:eastAsiaTheme="minorHAnsi"/>
                <w:spacing w:val="2"/>
                <w:sz w:val="26"/>
                <w:szCs w:val="26"/>
                <w:lang w:val="pl-PL"/>
              </w:rPr>
              <w:t xml:space="preserve"> phần nào tác động tới tình trạng sản xuất trong nước, số lượng đơn đặt hàng xuất khẩu mới giảm tháng thứ 4 liên tiếp. </w:t>
            </w:r>
          </w:p>
          <w:p w:rsidR="001317D1" w:rsidRPr="001317D1" w:rsidRDefault="001317D1" w:rsidP="00EE7FD1">
            <w:pPr>
              <w:spacing w:before="120" w:line="288" w:lineRule="auto"/>
              <w:rPr>
                <w:i/>
                <w:sz w:val="26"/>
                <w:szCs w:val="26"/>
                <w:lang w:val="pl-PL"/>
              </w:rPr>
            </w:pPr>
            <w:r w:rsidRPr="001317D1">
              <w:rPr>
                <w:i/>
                <w:sz w:val="26"/>
                <w:szCs w:val="26"/>
                <w:lang w:val="pl-PL"/>
              </w:rPr>
              <w:t>- Xuất khẩu tăng trưởng khá.</w:t>
            </w:r>
            <w:r w:rsidRPr="001317D1">
              <w:rPr>
                <w:sz w:val="26"/>
                <w:szCs w:val="26"/>
                <w:lang w:val="pl-PL"/>
              </w:rPr>
              <w:t xml:space="preserve"> Kim ngạch xuất khẩu 10 tháng đầu năm 2015 tăng 8,5% so với cùng kỳ 2014, cao hơn nhiều mức tăng xuất khẩu ước tính cho năm 2015</w:t>
            </w:r>
            <w:r w:rsidRPr="001317D1">
              <w:rPr>
                <w:sz w:val="26"/>
                <w:szCs w:val="26"/>
                <w:vertAlign w:val="superscript"/>
                <w:lang w:val="pl-PL"/>
              </w:rPr>
              <w:footnoteReference w:id="9"/>
            </w:r>
            <w:r w:rsidRPr="001317D1">
              <w:rPr>
                <w:sz w:val="26"/>
                <w:szCs w:val="26"/>
                <w:lang w:val="pl-PL"/>
              </w:rPr>
              <w:t xml:space="preserve"> của thế giới (5,1%) cũng như của ASEAN-5</w:t>
            </w:r>
            <w:r w:rsidRPr="001317D1">
              <w:rPr>
                <w:sz w:val="26"/>
                <w:szCs w:val="26"/>
                <w:vertAlign w:val="superscript"/>
                <w:lang w:val="pl-PL"/>
              </w:rPr>
              <w:footnoteReference w:id="10"/>
            </w:r>
            <w:r w:rsidRPr="001317D1">
              <w:rPr>
                <w:sz w:val="26"/>
                <w:szCs w:val="26"/>
                <w:lang w:val="pl-PL"/>
              </w:rPr>
              <w:t xml:space="preserve"> (8,0%) và Trung Quốc (6,8%). Tuy nhiên, xuất khẩu tăng </w:t>
            </w:r>
            <w:r w:rsidRPr="001317D1">
              <w:rPr>
                <w:sz w:val="26"/>
                <w:szCs w:val="26"/>
                <w:lang w:val="pl-PL"/>
              </w:rPr>
              <w:lastRenderedPageBreak/>
              <w:t>trưởng khá là nhờ khu vực</w:t>
            </w:r>
            <w:r w:rsidR="00B741F3">
              <w:rPr>
                <w:sz w:val="26"/>
                <w:szCs w:val="26"/>
                <w:lang w:val="pl-PL"/>
              </w:rPr>
              <w:t xml:space="preserve"> có vốn đầu tư</w:t>
            </w:r>
            <w:r w:rsidRPr="001317D1">
              <w:rPr>
                <w:sz w:val="26"/>
                <w:szCs w:val="26"/>
                <w:lang w:val="pl-PL"/>
              </w:rPr>
              <w:t xml:space="preserve"> nước ngoài khi xuất khẩu của khu vực trong nước 10 tháng đầu năm 2015 giảm 3,3% so với </w:t>
            </w:r>
            <w:r w:rsidR="00A37B5B">
              <w:rPr>
                <w:sz w:val="26"/>
                <w:szCs w:val="26"/>
                <w:lang w:val="pl-PL"/>
              </w:rPr>
              <w:t>(</w:t>
            </w:r>
            <w:r w:rsidRPr="001317D1">
              <w:rPr>
                <w:sz w:val="26"/>
                <w:szCs w:val="26"/>
                <w:lang w:val="pl-PL"/>
              </w:rPr>
              <w:t>cùng kì 2014, cùng kì 2014 tăng 12,9%</w:t>
            </w:r>
            <w:r w:rsidR="00A37B5B">
              <w:rPr>
                <w:sz w:val="26"/>
                <w:szCs w:val="26"/>
                <w:lang w:val="pl-PL"/>
              </w:rPr>
              <w:t>)</w:t>
            </w:r>
            <w:r w:rsidRPr="001317D1">
              <w:rPr>
                <w:sz w:val="26"/>
                <w:szCs w:val="26"/>
                <w:lang w:val="pl-PL"/>
              </w:rPr>
              <w:t>.</w:t>
            </w:r>
            <w:r w:rsidR="00A37B5B">
              <w:rPr>
                <w:sz w:val="26"/>
                <w:szCs w:val="26"/>
                <w:lang w:val="pl-PL"/>
              </w:rPr>
              <w:t xml:space="preserve"> Tính chung 10 tháng, tỷ lệ nhập siêu/tổng kim ngạch xuất khẩu hàng hóa ở mức 3,1%</w:t>
            </w:r>
            <w:r w:rsidRPr="001317D1">
              <w:rPr>
                <w:sz w:val="26"/>
                <w:szCs w:val="26"/>
                <w:lang w:val="pl-PL"/>
              </w:rPr>
              <w:t xml:space="preserve"> </w:t>
            </w:r>
            <w:r w:rsidR="00A37B5B">
              <w:rPr>
                <w:rStyle w:val="FootnoteReference"/>
                <w:sz w:val="26"/>
                <w:szCs w:val="26"/>
                <w:lang w:val="pl-PL"/>
              </w:rPr>
              <w:footnoteReference w:id="11"/>
            </w:r>
            <w:r w:rsidR="00F64CB9">
              <w:rPr>
                <w:sz w:val="26"/>
                <w:szCs w:val="26"/>
                <w:lang w:val="pl-PL"/>
              </w:rPr>
              <w:t>, tỷ lệ này có xu hướng giảm dần so với các tháng trước đó và thấp hơn so với chỉ tiêu đề ra của Quốc hội là 5%.</w:t>
            </w:r>
          </w:p>
          <w:p w:rsidR="00997047" w:rsidRPr="00F5409A" w:rsidRDefault="008D56AC" w:rsidP="00EE7FD1">
            <w:pPr>
              <w:tabs>
                <w:tab w:val="left" w:pos="1134"/>
              </w:tabs>
              <w:spacing w:before="120" w:line="288" w:lineRule="auto"/>
              <w:rPr>
                <w:color w:val="000000" w:themeColor="text1"/>
                <w:spacing w:val="2"/>
                <w:sz w:val="26"/>
                <w:szCs w:val="26"/>
                <w:lang w:val="pl-PL"/>
              </w:rPr>
            </w:pPr>
            <w:r w:rsidRPr="00F5409A">
              <w:rPr>
                <w:i/>
                <w:spacing w:val="2"/>
                <w:sz w:val="26"/>
                <w:szCs w:val="26"/>
                <w:shd w:val="clear" w:color="auto" w:fill="FFFFFF" w:themeFill="background1"/>
                <w:lang w:val="pl-PL"/>
              </w:rPr>
              <w:t xml:space="preserve">- Tình hình doanh nghiệp tiếp tục cải </w:t>
            </w:r>
            <w:r w:rsidRPr="00B25085">
              <w:rPr>
                <w:i/>
                <w:sz w:val="26"/>
                <w:szCs w:val="26"/>
                <w:shd w:val="clear" w:color="auto" w:fill="FFFFFF" w:themeFill="background1"/>
                <w:lang w:val="pl-PL"/>
              </w:rPr>
              <w:t>thiện.</w:t>
            </w:r>
            <w:r w:rsidRPr="00B25085">
              <w:rPr>
                <w:sz w:val="26"/>
                <w:szCs w:val="26"/>
                <w:shd w:val="clear" w:color="auto" w:fill="FFFFFF" w:themeFill="background1"/>
                <w:lang w:val="pl-PL"/>
              </w:rPr>
              <w:t xml:space="preserve"> Số doanh nghiệp thành lập mới trong 10 tháng đầu năm 2015 tăng 29,2% về lượng và 37,9% về vốn (so với cùng kỳ 2014). Trong khi đó, số doanh nghiệp giải thể, chấm dứt hoạt động giảm 2,6% so với cùng kỳ năm 2014. Đầu tư tư nhân/GDP</w:t>
            </w:r>
            <w:r w:rsidRPr="00B25085">
              <w:rPr>
                <w:rFonts w:eastAsiaTheme="minorEastAsia"/>
                <w:i/>
                <w:sz w:val="26"/>
                <w:szCs w:val="26"/>
                <w:shd w:val="clear" w:color="auto" w:fill="FFFFFF" w:themeFill="background1"/>
                <w:lang w:val="pl-PL"/>
              </w:rPr>
              <w:t xml:space="preserve"> </w:t>
            </w:r>
            <w:r w:rsidRPr="00B25085">
              <w:rPr>
                <w:rFonts w:eastAsiaTheme="minorEastAsia"/>
                <w:sz w:val="26"/>
                <w:szCs w:val="26"/>
                <w:shd w:val="clear" w:color="auto" w:fill="FFFFFF" w:themeFill="background1"/>
                <w:lang w:val="pl-PL"/>
              </w:rPr>
              <w:t>9 tháng đầu năm 2015 ở mức 12,1%, cao hơn mức 11,8% cùng kì 2014.</w:t>
            </w:r>
          </w:p>
        </w:tc>
        <w:tc>
          <w:tcPr>
            <w:tcW w:w="4536" w:type="dxa"/>
          </w:tcPr>
          <w:p w:rsidR="00866DCD" w:rsidRDefault="00866DCD" w:rsidP="00ED1758">
            <w:pPr>
              <w:spacing w:line="288" w:lineRule="auto"/>
              <w:ind w:firstLine="0"/>
              <w:jc w:val="center"/>
              <w:rPr>
                <w:rFonts w:ascii="Times New Roman Bold" w:eastAsiaTheme="minorEastAsia" w:hAnsi="Times New Roman Bold"/>
                <w:b/>
                <w:spacing w:val="-4"/>
                <w:sz w:val="24"/>
                <w:szCs w:val="26"/>
                <w:lang w:val="pl-PL"/>
              </w:rPr>
            </w:pPr>
            <w:r>
              <w:rPr>
                <w:rFonts w:ascii="Times New Roman Bold" w:eastAsiaTheme="minorEastAsia" w:hAnsi="Times New Roman Bold"/>
                <w:b/>
                <w:spacing w:val="-4"/>
                <w:sz w:val="24"/>
                <w:szCs w:val="26"/>
                <w:lang w:val="pl-PL"/>
              </w:rPr>
              <w:lastRenderedPageBreak/>
              <w:t>Hình</w:t>
            </w:r>
            <w:r w:rsidR="0085275E">
              <w:rPr>
                <w:rFonts w:ascii="Times New Roman Bold" w:eastAsiaTheme="minorEastAsia" w:hAnsi="Times New Roman Bold"/>
                <w:b/>
                <w:spacing w:val="-4"/>
                <w:sz w:val="24"/>
                <w:szCs w:val="26"/>
                <w:lang w:val="pl-PL"/>
              </w:rPr>
              <w:t xml:space="preserve"> 1</w:t>
            </w:r>
            <w:r>
              <w:rPr>
                <w:rFonts w:ascii="Times New Roman Bold" w:eastAsiaTheme="minorEastAsia" w:hAnsi="Times New Roman Bold"/>
                <w:b/>
                <w:spacing w:val="-4"/>
                <w:sz w:val="24"/>
                <w:szCs w:val="26"/>
                <w:lang w:val="pl-PL"/>
              </w:rPr>
              <w:t>: Tăng trưởng và tăng trưởng loại bỏ tính mùa vụ 2011-2015</w:t>
            </w:r>
          </w:p>
          <w:p w:rsidR="00866DCD" w:rsidRPr="00AE3DF9" w:rsidRDefault="00866DCD" w:rsidP="00ED1758">
            <w:pPr>
              <w:spacing w:line="288" w:lineRule="auto"/>
              <w:ind w:firstLine="0"/>
              <w:jc w:val="center"/>
              <w:rPr>
                <w:rFonts w:ascii="Times New Roman Bold" w:eastAsiaTheme="minorEastAsia" w:hAnsi="Times New Roman Bold"/>
                <w:b/>
                <w:spacing w:val="-4"/>
                <w:sz w:val="24"/>
                <w:szCs w:val="26"/>
                <w:lang w:val="pl-PL"/>
              </w:rPr>
            </w:pPr>
            <w:r w:rsidRPr="00AE3DF9">
              <w:rPr>
                <w:rFonts w:ascii="Times New Roman Bold" w:eastAsiaTheme="minorEastAsia" w:hAnsi="Times New Roman Bold"/>
                <w:b/>
                <w:noProof/>
                <w:spacing w:val="-4"/>
                <w:sz w:val="24"/>
                <w:szCs w:val="26"/>
              </w:rPr>
              <w:drawing>
                <wp:inline distT="0" distB="0" distL="0" distR="0">
                  <wp:extent cx="2755075" cy="1674421"/>
                  <wp:effectExtent l="0" t="0" r="0"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275E" w:rsidRPr="00905577" w:rsidRDefault="0085275E" w:rsidP="0085275E">
            <w:pPr>
              <w:spacing w:line="288" w:lineRule="auto"/>
              <w:ind w:firstLine="0"/>
              <w:jc w:val="right"/>
              <w:rPr>
                <w:rFonts w:ascii="Times New Roman Bold" w:eastAsiaTheme="minorEastAsia" w:hAnsi="Times New Roman Bold"/>
                <w:spacing w:val="-4"/>
                <w:sz w:val="24"/>
                <w:szCs w:val="26"/>
                <w:lang w:val="pl-PL"/>
              </w:rPr>
            </w:pPr>
            <w:r w:rsidRPr="00905577">
              <w:rPr>
                <w:rFonts w:ascii="Times New Roman Bold" w:eastAsiaTheme="minorEastAsia" w:hAnsi="Times New Roman Bold"/>
                <w:i/>
                <w:spacing w:val="-4"/>
                <w:sz w:val="24"/>
                <w:szCs w:val="26"/>
                <w:lang w:val="pl-PL"/>
              </w:rPr>
              <w:t>Nguồn:</w:t>
            </w:r>
            <w:r w:rsidRPr="00905577">
              <w:rPr>
                <w:rFonts w:ascii="Times New Roman Bold" w:eastAsiaTheme="minorEastAsia" w:hAnsi="Times New Roman Bold"/>
                <w:spacing w:val="-4"/>
                <w:sz w:val="24"/>
                <w:szCs w:val="26"/>
                <w:lang w:val="pl-PL"/>
              </w:rPr>
              <w:t xml:space="preserve"> UBGSTCQG</w:t>
            </w:r>
          </w:p>
          <w:p w:rsidR="004A0B82" w:rsidRDefault="00ED1758" w:rsidP="00B25085">
            <w:pPr>
              <w:spacing w:before="240" w:after="0" w:line="288" w:lineRule="auto"/>
              <w:ind w:firstLine="0"/>
              <w:jc w:val="center"/>
              <w:rPr>
                <w:rFonts w:ascii="Times New Roman Bold" w:eastAsiaTheme="minorEastAsia" w:hAnsi="Times New Roman Bold"/>
                <w:b/>
                <w:spacing w:val="-4"/>
                <w:sz w:val="24"/>
                <w:szCs w:val="26"/>
                <w:lang w:val="pl-PL"/>
              </w:rPr>
            </w:pPr>
            <w:r>
              <w:rPr>
                <w:rFonts w:ascii="Times New Roman Bold" w:eastAsiaTheme="minorEastAsia" w:hAnsi="Times New Roman Bold"/>
                <w:b/>
                <w:spacing w:val="-4"/>
                <w:sz w:val="24"/>
                <w:szCs w:val="26"/>
                <w:lang w:val="pl-PL"/>
              </w:rPr>
              <w:t xml:space="preserve">Hình </w:t>
            </w:r>
            <w:r w:rsidR="0085275E">
              <w:rPr>
                <w:rFonts w:ascii="Times New Roman Bold" w:eastAsiaTheme="minorEastAsia" w:hAnsi="Times New Roman Bold"/>
                <w:b/>
                <w:spacing w:val="-4"/>
                <w:sz w:val="24"/>
                <w:szCs w:val="26"/>
                <w:lang w:val="pl-PL"/>
              </w:rPr>
              <w:t>2</w:t>
            </w:r>
            <w:r w:rsidRPr="00384661">
              <w:rPr>
                <w:rFonts w:ascii="Times New Roman Bold" w:eastAsiaTheme="minorEastAsia" w:hAnsi="Times New Roman Bold"/>
                <w:b/>
                <w:spacing w:val="-4"/>
                <w:sz w:val="24"/>
                <w:szCs w:val="26"/>
                <w:lang w:val="pl-PL"/>
              </w:rPr>
              <w:t xml:space="preserve">: IIP </w:t>
            </w:r>
            <w:r w:rsidR="00684B1A">
              <w:rPr>
                <w:rFonts w:ascii="Times New Roman Bold" w:eastAsiaTheme="minorEastAsia" w:hAnsi="Times New Roman Bold"/>
                <w:b/>
                <w:spacing w:val="-4"/>
                <w:sz w:val="24"/>
                <w:szCs w:val="26"/>
                <w:lang w:val="pl-PL"/>
              </w:rPr>
              <w:t>T</w:t>
            </w:r>
            <w:r w:rsidR="004A0B82">
              <w:rPr>
                <w:rFonts w:ascii="Times New Roman Bold" w:eastAsiaTheme="minorEastAsia" w:hAnsi="Times New Roman Bold"/>
                <w:b/>
                <w:spacing w:val="-4"/>
                <w:sz w:val="24"/>
                <w:szCs w:val="26"/>
                <w:lang w:val="pl-PL"/>
              </w:rPr>
              <w:t>10</w:t>
            </w:r>
            <w:r>
              <w:rPr>
                <w:rFonts w:ascii="Times New Roman Bold" w:eastAsiaTheme="minorEastAsia" w:hAnsi="Times New Roman Bold"/>
                <w:b/>
                <w:spacing w:val="-4"/>
                <w:sz w:val="24"/>
                <w:szCs w:val="26"/>
                <w:lang w:val="pl-PL"/>
              </w:rPr>
              <w:t>/2014</w:t>
            </w:r>
            <w:r w:rsidR="00684B1A">
              <w:rPr>
                <w:rFonts w:ascii="Times New Roman Bold" w:eastAsiaTheme="minorEastAsia" w:hAnsi="Times New Roman Bold"/>
                <w:b/>
                <w:spacing w:val="-4"/>
                <w:sz w:val="24"/>
                <w:szCs w:val="26"/>
                <w:lang w:val="pl-PL"/>
              </w:rPr>
              <w:t xml:space="preserve"> </w:t>
            </w:r>
            <w:r w:rsidR="004A0B82">
              <w:rPr>
                <w:rFonts w:ascii="Times New Roman Bold" w:eastAsiaTheme="minorEastAsia" w:hAnsi="Times New Roman Bold"/>
                <w:b/>
                <w:spacing w:val="-4"/>
                <w:sz w:val="24"/>
                <w:szCs w:val="26"/>
                <w:lang w:val="pl-PL"/>
              </w:rPr>
              <w:t>–</w:t>
            </w:r>
            <w:r w:rsidR="00684B1A">
              <w:rPr>
                <w:rFonts w:ascii="Times New Roman Bold" w:eastAsiaTheme="minorEastAsia" w:hAnsi="Times New Roman Bold"/>
                <w:b/>
                <w:spacing w:val="-4"/>
                <w:sz w:val="24"/>
                <w:szCs w:val="26"/>
                <w:lang w:val="pl-PL"/>
              </w:rPr>
              <w:t xml:space="preserve"> T</w:t>
            </w:r>
            <w:r w:rsidR="004A0B82">
              <w:rPr>
                <w:rFonts w:ascii="Times New Roman Bold" w:eastAsiaTheme="minorEastAsia" w:hAnsi="Times New Roman Bold"/>
                <w:b/>
                <w:spacing w:val="-4"/>
                <w:sz w:val="24"/>
                <w:szCs w:val="26"/>
                <w:lang w:val="pl-PL"/>
              </w:rPr>
              <w:t>10</w:t>
            </w:r>
            <w:r>
              <w:rPr>
                <w:rFonts w:ascii="Times New Roman Bold" w:eastAsiaTheme="minorEastAsia" w:hAnsi="Times New Roman Bold"/>
                <w:b/>
                <w:spacing w:val="-4"/>
                <w:sz w:val="24"/>
                <w:szCs w:val="26"/>
                <w:lang w:val="pl-PL"/>
              </w:rPr>
              <w:t xml:space="preserve">/2015, </w:t>
            </w:r>
          </w:p>
          <w:p w:rsidR="00ED1758" w:rsidRPr="00384661" w:rsidRDefault="00ED1758" w:rsidP="004A0B82">
            <w:pPr>
              <w:spacing w:after="0" w:line="288" w:lineRule="auto"/>
              <w:ind w:firstLine="0"/>
              <w:jc w:val="center"/>
              <w:rPr>
                <w:rFonts w:ascii="Times New Roman Bold" w:eastAsiaTheme="minorEastAsia" w:hAnsi="Times New Roman Bold"/>
                <w:b/>
                <w:spacing w:val="-4"/>
                <w:sz w:val="24"/>
                <w:szCs w:val="26"/>
                <w:lang w:val="pl-PL"/>
              </w:rPr>
            </w:pPr>
            <w:r w:rsidRPr="00384661">
              <w:rPr>
                <w:rFonts w:ascii="Times New Roman Bold" w:eastAsiaTheme="minorEastAsia" w:hAnsi="Times New Roman Bold"/>
                <w:b/>
                <w:spacing w:val="-4"/>
                <w:sz w:val="24"/>
                <w:szCs w:val="26"/>
                <w:lang w:val="pl-PL"/>
              </w:rPr>
              <w:t xml:space="preserve">% </w:t>
            </w:r>
            <w:r>
              <w:rPr>
                <w:rFonts w:ascii="Times New Roman Bold" w:eastAsiaTheme="minorEastAsia" w:hAnsi="Times New Roman Bold"/>
                <w:b/>
                <w:spacing w:val="-4"/>
                <w:sz w:val="24"/>
                <w:szCs w:val="26"/>
                <w:lang w:val="pl-PL"/>
              </w:rPr>
              <w:t xml:space="preserve">tăng </w:t>
            </w:r>
            <w:r w:rsidRPr="00384661">
              <w:rPr>
                <w:rFonts w:ascii="Times New Roman Bold" w:eastAsiaTheme="minorEastAsia" w:hAnsi="Times New Roman Bold"/>
                <w:b/>
                <w:spacing w:val="-4"/>
                <w:sz w:val="24"/>
                <w:szCs w:val="26"/>
                <w:lang w:val="pl-PL"/>
              </w:rPr>
              <w:t xml:space="preserve">so </w:t>
            </w:r>
            <w:r>
              <w:rPr>
                <w:rFonts w:ascii="Times New Roman Bold" w:eastAsiaTheme="minorEastAsia" w:hAnsi="Times New Roman Bold"/>
                <w:b/>
                <w:spacing w:val="-4"/>
                <w:sz w:val="24"/>
                <w:szCs w:val="26"/>
                <w:lang w:val="pl-PL"/>
              </w:rPr>
              <w:t>cùng kỳ</w:t>
            </w:r>
          </w:p>
          <w:p w:rsidR="00ED1758" w:rsidRPr="00511547" w:rsidRDefault="004A0B82" w:rsidP="00ED1758">
            <w:pPr>
              <w:spacing w:line="288" w:lineRule="auto"/>
              <w:ind w:firstLine="0"/>
              <w:jc w:val="center"/>
              <w:rPr>
                <w:rFonts w:eastAsiaTheme="minorEastAsia"/>
                <w:b/>
                <w:sz w:val="24"/>
                <w:szCs w:val="26"/>
                <w:lang w:val="pl-PL"/>
              </w:rPr>
            </w:pPr>
            <w:r w:rsidRPr="004A0B82">
              <w:rPr>
                <w:rFonts w:eastAsiaTheme="minorEastAsia"/>
                <w:b/>
                <w:noProof/>
                <w:sz w:val="24"/>
                <w:szCs w:val="26"/>
              </w:rPr>
              <w:drawing>
                <wp:inline distT="0" distB="0" distL="0" distR="0">
                  <wp:extent cx="2613804" cy="1699404"/>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5BC0" w:rsidRDefault="00ED1758" w:rsidP="00ED1758">
            <w:pPr>
              <w:spacing w:before="120" w:line="288" w:lineRule="auto"/>
              <w:ind w:firstLine="0"/>
              <w:jc w:val="right"/>
              <w:rPr>
                <w:rFonts w:eastAsiaTheme="minorEastAsia"/>
                <w:i/>
                <w:sz w:val="24"/>
                <w:szCs w:val="26"/>
                <w:lang w:val="pl-PL"/>
              </w:rPr>
            </w:pPr>
            <w:r w:rsidRPr="00894FC4">
              <w:rPr>
                <w:rFonts w:eastAsiaTheme="minorEastAsia"/>
                <w:i/>
                <w:sz w:val="24"/>
                <w:szCs w:val="26"/>
                <w:lang w:val="pl-PL"/>
              </w:rPr>
              <w:t xml:space="preserve">Nguồn: </w:t>
            </w:r>
            <w:r w:rsidRPr="00384661">
              <w:rPr>
                <w:rFonts w:eastAsiaTheme="minorEastAsia"/>
                <w:i/>
                <w:sz w:val="24"/>
                <w:szCs w:val="26"/>
                <w:lang w:val="pl-PL"/>
              </w:rPr>
              <w:t>TCTK</w:t>
            </w:r>
          </w:p>
          <w:p w:rsidR="00ED1758" w:rsidRPr="0085275E" w:rsidRDefault="00ED1758" w:rsidP="00B25085">
            <w:pPr>
              <w:spacing w:before="240" w:line="288" w:lineRule="auto"/>
              <w:ind w:firstLine="0"/>
              <w:jc w:val="right"/>
              <w:rPr>
                <w:rFonts w:eastAsiaTheme="minorEastAsia"/>
                <w:b/>
                <w:sz w:val="24"/>
                <w:szCs w:val="26"/>
                <w:lang w:val="pl-PL"/>
              </w:rPr>
            </w:pPr>
            <w:r w:rsidRPr="0085275E">
              <w:rPr>
                <w:rFonts w:eastAsiaTheme="minorEastAsia"/>
                <w:b/>
                <w:sz w:val="24"/>
                <w:szCs w:val="26"/>
                <w:lang w:val="pl-PL"/>
              </w:rPr>
              <w:t xml:space="preserve">Hình </w:t>
            </w:r>
            <w:r w:rsidR="0085275E" w:rsidRPr="0085275E">
              <w:rPr>
                <w:rFonts w:eastAsiaTheme="minorEastAsia"/>
                <w:b/>
                <w:sz w:val="24"/>
                <w:szCs w:val="26"/>
                <w:lang w:val="pl-PL"/>
              </w:rPr>
              <w:t>3</w:t>
            </w:r>
            <w:r w:rsidRPr="0085275E">
              <w:rPr>
                <w:rFonts w:eastAsiaTheme="minorEastAsia"/>
                <w:b/>
                <w:sz w:val="24"/>
                <w:szCs w:val="26"/>
                <w:lang w:val="pl-PL"/>
              </w:rPr>
              <w:t>: Chỉ số PMI tháng 9/2014-9/2015</w:t>
            </w:r>
          </w:p>
          <w:p w:rsidR="00ED1758" w:rsidRPr="00ED1758" w:rsidRDefault="00ED1758" w:rsidP="00ED1758">
            <w:pPr>
              <w:spacing w:before="120" w:line="288" w:lineRule="auto"/>
              <w:ind w:firstLine="0"/>
              <w:jc w:val="right"/>
              <w:rPr>
                <w:rFonts w:eastAsiaTheme="minorEastAsia"/>
                <w:sz w:val="24"/>
                <w:szCs w:val="26"/>
                <w:lang w:val="pl-PL"/>
              </w:rPr>
            </w:pPr>
            <w:r w:rsidRPr="00ED1758">
              <w:rPr>
                <w:rFonts w:eastAsiaTheme="minorEastAsia"/>
                <w:noProof/>
                <w:sz w:val="24"/>
                <w:szCs w:val="26"/>
              </w:rPr>
              <w:drawing>
                <wp:inline distT="0" distB="0" distL="0" distR="0">
                  <wp:extent cx="2700399" cy="1662546"/>
                  <wp:effectExtent l="19050" t="0" r="0"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7F93" w:rsidRPr="00CE7F93" w:rsidRDefault="00CE7F93" w:rsidP="00CE7F93">
            <w:pPr>
              <w:spacing w:before="120" w:line="288" w:lineRule="auto"/>
              <w:ind w:firstLine="0"/>
              <w:jc w:val="right"/>
              <w:rPr>
                <w:sz w:val="24"/>
                <w:lang w:val="pl-PL"/>
              </w:rPr>
            </w:pPr>
            <w:r w:rsidRPr="00CE7F93">
              <w:rPr>
                <w:i/>
                <w:sz w:val="24"/>
                <w:lang w:val="pl-PL"/>
              </w:rPr>
              <w:t>Nguồn:</w:t>
            </w:r>
            <w:r w:rsidRPr="00CE7F93">
              <w:rPr>
                <w:sz w:val="24"/>
                <w:lang w:val="pl-PL"/>
              </w:rPr>
              <w:t xml:space="preserve"> </w:t>
            </w:r>
            <w:r w:rsidRPr="00BC7595">
              <w:rPr>
                <w:i/>
                <w:sz w:val="24"/>
                <w:lang w:val="pl-PL"/>
              </w:rPr>
              <w:t>Nikkei</w:t>
            </w:r>
          </w:p>
          <w:p w:rsidR="00B25085" w:rsidRDefault="00B25085" w:rsidP="00AE3DF9">
            <w:pPr>
              <w:spacing w:after="0" w:line="288" w:lineRule="auto"/>
              <w:ind w:firstLine="0"/>
              <w:jc w:val="center"/>
              <w:rPr>
                <w:rFonts w:ascii="Times New Roman Bold" w:hAnsi="Times New Roman Bold"/>
                <w:b/>
                <w:spacing w:val="-4"/>
                <w:sz w:val="24"/>
                <w:lang w:val="pl-PL"/>
              </w:rPr>
            </w:pPr>
          </w:p>
          <w:p w:rsidR="008E3164" w:rsidRDefault="008E3164" w:rsidP="00AE3DF9">
            <w:pPr>
              <w:spacing w:after="0" w:line="288" w:lineRule="auto"/>
              <w:ind w:firstLine="0"/>
              <w:jc w:val="center"/>
              <w:rPr>
                <w:rFonts w:ascii="Times New Roman Bold" w:hAnsi="Times New Roman Bold"/>
                <w:b/>
                <w:spacing w:val="-4"/>
                <w:sz w:val="24"/>
                <w:lang w:val="pl-PL"/>
              </w:rPr>
            </w:pPr>
          </w:p>
          <w:p w:rsidR="00D33D42" w:rsidRPr="00B25085" w:rsidRDefault="00D33D42" w:rsidP="00AE3DF9">
            <w:pPr>
              <w:spacing w:after="0" w:line="288" w:lineRule="auto"/>
              <w:ind w:firstLine="0"/>
              <w:jc w:val="center"/>
              <w:rPr>
                <w:rFonts w:ascii="Times New Roman Bold" w:hAnsi="Times New Roman Bold"/>
                <w:b/>
                <w:spacing w:val="-4"/>
                <w:sz w:val="24"/>
                <w:lang w:val="pl-PL"/>
              </w:rPr>
            </w:pPr>
            <w:r w:rsidRPr="00B25085">
              <w:rPr>
                <w:rFonts w:ascii="Times New Roman Bold" w:hAnsi="Times New Roman Bold"/>
                <w:b/>
                <w:spacing w:val="-4"/>
                <w:sz w:val="24"/>
                <w:lang w:val="pl-PL"/>
              </w:rPr>
              <w:lastRenderedPageBreak/>
              <w:t>Hình</w:t>
            </w:r>
            <w:r w:rsidR="0085275E" w:rsidRPr="00B25085">
              <w:rPr>
                <w:rFonts w:ascii="Times New Roman Bold" w:hAnsi="Times New Roman Bold"/>
                <w:b/>
                <w:spacing w:val="-4"/>
                <w:sz w:val="24"/>
                <w:lang w:val="pl-PL"/>
              </w:rPr>
              <w:t xml:space="preserve"> 4</w:t>
            </w:r>
            <w:r w:rsidRPr="00B25085">
              <w:rPr>
                <w:rFonts w:ascii="Times New Roman Bold" w:hAnsi="Times New Roman Bold"/>
                <w:b/>
                <w:spacing w:val="-4"/>
                <w:sz w:val="24"/>
                <w:lang w:val="pl-PL"/>
              </w:rPr>
              <w:t xml:space="preserve">: </w:t>
            </w:r>
            <w:r w:rsidR="00BC7595" w:rsidRPr="00B25085">
              <w:rPr>
                <w:rFonts w:ascii="Times New Roman Bold" w:hAnsi="Times New Roman Bold"/>
                <w:b/>
                <w:spacing w:val="-4"/>
                <w:sz w:val="24"/>
                <w:lang w:val="pl-PL"/>
              </w:rPr>
              <w:t>XNK</w:t>
            </w:r>
            <w:r w:rsidRPr="00B25085">
              <w:rPr>
                <w:rFonts w:ascii="Times New Roman Bold" w:hAnsi="Times New Roman Bold"/>
                <w:b/>
                <w:spacing w:val="-4"/>
                <w:sz w:val="24"/>
                <w:lang w:val="pl-PL"/>
              </w:rPr>
              <w:t xml:space="preserve"> lũy kế </w:t>
            </w:r>
            <w:r w:rsidR="001317D1" w:rsidRPr="00B25085">
              <w:rPr>
                <w:rFonts w:ascii="Times New Roman Bold" w:hAnsi="Times New Roman Bold"/>
                <w:b/>
                <w:spacing w:val="-4"/>
                <w:sz w:val="24"/>
                <w:lang w:val="pl-PL"/>
              </w:rPr>
              <w:t>10</w:t>
            </w:r>
            <w:r w:rsidRPr="00B25085">
              <w:rPr>
                <w:rFonts w:ascii="Times New Roman Bold" w:hAnsi="Times New Roman Bold"/>
                <w:b/>
                <w:spacing w:val="-4"/>
                <w:sz w:val="24"/>
                <w:lang w:val="pl-PL"/>
              </w:rPr>
              <w:t xml:space="preserve"> tháng 2015</w:t>
            </w:r>
            <w:r w:rsidR="001317D1" w:rsidRPr="00B25085">
              <w:rPr>
                <w:rFonts w:ascii="Times New Roman Bold" w:hAnsi="Times New Roman Bold"/>
                <w:b/>
                <w:spacing w:val="-4"/>
                <w:sz w:val="24"/>
                <w:lang w:val="pl-PL"/>
              </w:rPr>
              <w:t>, t</w:t>
            </w:r>
            <w:r w:rsidR="00B25085" w:rsidRPr="00B25085">
              <w:rPr>
                <w:rFonts w:ascii="Times New Roman Bold" w:hAnsi="Times New Roman Bold"/>
                <w:b/>
                <w:spacing w:val="-4"/>
                <w:sz w:val="24"/>
                <w:lang w:val="pl-PL"/>
              </w:rPr>
              <w:t>ỷ USD</w:t>
            </w:r>
          </w:p>
          <w:p w:rsidR="00D33D42" w:rsidRPr="005C6A26" w:rsidRDefault="001317D1" w:rsidP="00AE3DF9">
            <w:pPr>
              <w:spacing w:after="0" w:line="288" w:lineRule="auto"/>
              <w:ind w:firstLine="0"/>
              <w:jc w:val="center"/>
              <w:rPr>
                <w:sz w:val="24"/>
                <w:lang w:val="pl-PL"/>
              </w:rPr>
            </w:pPr>
            <w:r w:rsidRPr="001317D1">
              <w:rPr>
                <w:noProof/>
                <w:sz w:val="24"/>
              </w:rPr>
              <w:drawing>
                <wp:inline distT="0" distB="0" distL="0" distR="0">
                  <wp:extent cx="2456954" cy="1431234"/>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3D42" w:rsidRPr="005C6A26" w:rsidRDefault="00D33D42" w:rsidP="00AE3DF9">
            <w:pPr>
              <w:tabs>
                <w:tab w:val="left" w:pos="3060"/>
              </w:tabs>
              <w:spacing w:after="0" w:line="288" w:lineRule="auto"/>
              <w:jc w:val="right"/>
              <w:rPr>
                <w:i/>
                <w:sz w:val="24"/>
                <w:lang w:val="pl-PL"/>
              </w:rPr>
            </w:pPr>
            <w:r w:rsidRPr="005C6A26">
              <w:rPr>
                <w:i/>
                <w:sz w:val="24"/>
                <w:lang w:val="pl-PL"/>
              </w:rPr>
              <w:t>Nguồn: TCTK</w:t>
            </w:r>
          </w:p>
          <w:p w:rsidR="00B91263" w:rsidRPr="005C6A26" w:rsidRDefault="00B91263" w:rsidP="00EE7FD1">
            <w:pPr>
              <w:spacing w:before="120" w:after="0" w:line="288" w:lineRule="auto"/>
              <w:ind w:firstLine="0"/>
              <w:jc w:val="center"/>
              <w:rPr>
                <w:b/>
                <w:sz w:val="24"/>
                <w:lang w:val="pl-PL"/>
              </w:rPr>
            </w:pPr>
            <w:r w:rsidRPr="005C6A26">
              <w:rPr>
                <w:b/>
                <w:sz w:val="24"/>
                <w:lang w:val="pl-PL"/>
              </w:rPr>
              <w:t>Hình</w:t>
            </w:r>
            <w:r w:rsidR="0085275E">
              <w:rPr>
                <w:b/>
                <w:sz w:val="24"/>
                <w:lang w:val="pl-PL"/>
              </w:rPr>
              <w:t xml:space="preserve"> 5</w:t>
            </w:r>
            <w:r w:rsidRPr="005C6A26">
              <w:rPr>
                <w:b/>
                <w:sz w:val="24"/>
                <w:lang w:val="pl-PL"/>
              </w:rPr>
              <w:t>: Doanh nghiệp thành lập mới, phá sản và giải thể, nghìn DN</w:t>
            </w:r>
          </w:p>
          <w:p w:rsidR="00B91263" w:rsidRPr="005C6A26" w:rsidRDefault="008D56AC" w:rsidP="00AE3DF9">
            <w:pPr>
              <w:pStyle w:val="ListParagraph"/>
              <w:tabs>
                <w:tab w:val="left" w:pos="960"/>
              </w:tabs>
              <w:spacing w:after="0" w:line="288" w:lineRule="auto"/>
              <w:ind w:left="0" w:firstLine="0"/>
              <w:contextualSpacing w:val="0"/>
              <w:rPr>
                <w:i/>
                <w:sz w:val="24"/>
                <w:lang w:val="pl-PL"/>
              </w:rPr>
            </w:pPr>
            <w:r w:rsidRPr="008D56AC">
              <w:rPr>
                <w:i/>
                <w:noProof/>
                <w:sz w:val="24"/>
              </w:rPr>
              <w:drawing>
                <wp:inline distT="0" distB="0" distL="0" distR="0">
                  <wp:extent cx="2674188" cy="1173193"/>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7047" w:rsidRPr="005C6A26" w:rsidRDefault="00B91263" w:rsidP="00AE3DF9">
            <w:pPr>
              <w:tabs>
                <w:tab w:val="left" w:pos="3060"/>
              </w:tabs>
              <w:spacing w:after="0" w:line="288" w:lineRule="auto"/>
              <w:jc w:val="right"/>
              <w:rPr>
                <w:i/>
                <w:sz w:val="24"/>
                <w:lang w:val="pl-PL"/>
              </w:rPr>
            </w:pPr>
            <w:r w:rsidRPr="005C6A26">
              <w:rPr>
                <w:i/>
                <w:sz w:val="24"/>
                <w:lang w:val="pl-PL"/>
              </w:rPr>
              <w:t>Nguồn: TCTK</w:t>
            </w:r>
          </w:p>
        </w:tc>
      </w:tr>
    </w:tbl>
    <w:p w:rsidR="001649AF" w:rsidRPr="005C6A26" w:rsidRDefault="001649AF" w:rsidP="005C6A26">
      <w:pPr>
        <w:spacing w:before="120" w:line="288" w:lineRule="auto"/>
        <w:ind w:firstLine="0"/>
        <w:rPr>
          <w:rFonts w:eastAsiaTheme="minorEastAsia"/>
          <w:b/>
          <w:sz w:val="26"/>
          <w:szCs w:val="26"/>
          <w:lang w:val="de-DE"/>
        </w:rPr>
      </w:pPr>
      <w:r w:rsidRPr="005C6A26">
        <w:rPr>
          <w:rFonts w:eastAsiaTheme="minorEastAsia"/>
          <w:b/>
          <w:sz w:val="26"/>
          <w:szCs w:val="26"/>
          <w:lang w:val="pl-PL"/>
        </w:rPr>
        <w:lastRenderedPageBreak/>
        <w:t>2.</w:t>
      </w:r>
      <w:r w:rsidR="008E3164">
        <w:rPr>
          <w:rFonts w:eastAsia="Calibri"/>
          <w:b/>
          <w:sz w:val="26"/>
          <w:lang w:val="de-DE"/>
        </w:rPr>
        <w:t xml:space="preserve"> T</w:t>
      </w:r>
      <w:r w:rsidRPr="005C6A26">
        <w:rPr>
          <w:rFonts w:eastAsiaTheme="minorEastAsia"/>
          <w:b/>
          <w:sz w:val="26"/>
          <w:szCs w:val="26"/>
          <w:lang w:val="de-DE"/>
        </w:rPr>
        <w:t>iêu dùng và đầu tư tư nhân</w:t>
      </w:r>
      <w:r w:rsidR="008E3164">
        <w:rPr>
          <w:rFonts w:eastAsiaTheme="minorEastAsia"/>
          <w:b/>
          <w:sz w:val="26"/>
          <w:szCs w:val="26"/>
          <w:lang w:val="de-DE"/>
        </w:rPr>
        <w:t xml:space="preserve"> tiếp tục được duy trì</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395"/>
      </w:tblGrid>
      <w:tr w:rsidR="004D73AA" w:rsidRPr="00F5409A" w:rsidTr="00EE7FD1">
        <w:trPr>
          <w:trHeight w:val="425"/>
        </w:trPr>
        <w:tc>
          <w:tcPr>
            <w:tcW w:w="5211" w:type="dxa"/>
          </w:tcPr>
          <w:p w:rsidR="00B91263" w:rsidRPr="005C6A26" w:rsidRDefault="00A314F5" w:rsidP="005C6A26">
            <w:pPr>
              <w:tabs>
                <w:tab w:val="left" w:pos="3060"/>
              </w:tabs>
              <w:spacing w:before="120" w:line="288" w:lineRule="auto"/>
              <w:rPr>
                <w:sz w:val="26"/>
                <w:szCs w:val="26"/>
                <w:lang w:val="pl-PL"/>
              </w:rPr>
            </w:pPr>
            <w:r w:rsidRPr="00A24AB7">
              <w:rPr>
                <w:i/>
                <w:color w:val="000000" w:themeColor="text1"/>
                <w:sz w:val="26"/>
                <w:szCs w:val="26"/>
                <w:lang w:val="pl-PL"/>
              </w:rPr>
              <w:t xml:space="preserve">- </w:t>
            </w:r>
            <w:r w:rsidR="00F14C57" w:rsidRPr="00A24AB7">
              <w:rPr>
                <w:rFonts w:eastAsiaTheme="minorEastAsia"/>
                <w:i/>
                <w:color w:val="000000" w:themeColor="text1"/>
                <w:spacing w:val="4"/>
                <w:sz w:val="26"/>
                <w:szCs w:val="26"/>
                <w:lang w:val="pl-PL"/>
              </w:rPr>
              <w:t>Đầu tư tư nhân cải thiện</w:t>
            </w:r>
            <w:r w:rsidR="00F14C57" w:rsidRPr="00A24AB7">
              <w:rPr>
                <w:rFonts w:eastAsiaTheme="minorEastAsia"/>
                <w:color w:val="000000" w:themeColor="text1"/>
                <w:spacing w:val="4"/>
                <w:sz w:val="26"/>
                <w:szCs w:val="26"/>
                <w:lang w:val="pl-PL"/>
              </w:rPr>
              <w:t xml:space="preserve">: </w:t>
            </w:r>
            <w:r w:rsidR="00F14C57" w:rsidRPr="00A24AB7">
              <w:rPr>
                <w:color w:val="000000" w:themeColor="text1"/>
                <w:sz w:val="26"/>
                <w:szCs w:val="26"/>
                <w:lang w:val="pl-PL"/>
              </w:rPr>
              <w:t xml:space="preserve">tính </w:t>
            </w:r>
            <w:r w:rsidR="005F2AC9">
              <w:rPr>
                <w:color w:val="000000" w:themeColor="text1"/>
                <w:sz w:val="26"/>
                <w:szCs w:val="26"/>
                <w:lang w:val="pl-PL"/>
              </w:rPr>
              <w:t xml:space="preserve">đến ngày </w:t>
            </w:r>
            <w:r w:rsidR="00F14C57" w:rsidRPr="00A24AB7">
              <w:rPr>
                <w:color w:val="000000" w:themeColor="text1"/>
                <w:sz w:val="26"/>
                <w:szCs w:val="26"/>
                <w:lang w:val="pl-PL"/>
              </w:rPr>
              <w:t>21/9, tổng tín dụng đối với nền kinh tế tăng 10,5% so với cuối năm 2014 (cùng kì 2014 chỉ tăng 7,26%).</w:t>
            </w:r>
            <w:r w:rsidR="00F14C57">
              <w:rPr>
                <w:sz w:val="26"/>
                <w:szCs w:val="26"/>
                <w:lang w:val="pl-PL"/>
              </w:rPr>
              <w:t xml:space="preserve"> Tổng vốn đầu tư toàn xã hội tại Q3/2015 đạt 31,9% GDP, mức cao nhất kể từ 2012, trong đó, đầu tư khu vực </w:t>
            </w:r>
            <w:r w:rsidR="00ED1758">
              <w:rPr>
                <w:sz w:val="26"/>
                <w:szCs w:val="26"/>
                <w:lang w:val="pl-PL"/>
              </w:rPr>
              <w:t xml:space="preserve">kinh tế tư nhân tăng khá, chiếm 37,9% tổng vốn đầu tư toàn xã hội (tương đương mức của cả năm 2014). </w:t>
            </w:r>
          </w:p>
          <w:p w:rsidR="00562652" w:rsidRDefault="00B91263" w:rsidP="00C14B7F">
            <w:pPr>
              <w:tabs>
                <w:tab w:val="left" w:pos="3060"/>
              </w:tabs>
              <w:spacing w:before="120" w:line="288" w:lineRule="auto"/>
              <w:rPr>
                <w:sz w:val="26"/>
                <w:szCs w:val="26"/>
                <w:lang w:val="pl-PL"/>
              </w:rPr>
            </w:pPr>
            <w:r w:rsidRPr="005C6A26">
              <w:rPr>
                <w:sz w:val="26"/>
                <w:szCs w:val="26"/>
                <w:lang w:val="pl-PL"/>
              </w:rPr>
              <w:t xml:space="preserve">- Chỉ số niềm tin người tiêu dùng – CCI </w:t>
            </w:r>
            <w:r w:rsidR="002D5A89">
              <w:rPr>
                <w:sz w:val="26"/>
                <w:szCs w:val="26"/>
                <w:lang w:val="pl-PL"/>
              </w:rPr>
              <w:t xml:space="preserve">tháng 9 </w:t>
            </w:r>
            <w:r w:rsidRPr="005C6A26">
              <w:rPr>
                <w:sz w:val="26"/>
                <w:szCs w:val="26"/>
                <w:lang w:val="pl-PL"/>
              </w:rPr>
              <w:t xml:space="preserve">do ANZ công bố, ở mức 135,3 điểm, tăng 1,6 điểm so với tháng trước và tăng 2,05 điểm so với trung bình năm 2014. </w:t>
            </w:r>
          </w:p>
          <w:p w:rsidR="00F5409A" w:rsidRPr="005C6A26" w:rsidRDefault="00F5409A" w:rsidP="00B25085">
            <w:pPr>
              <w:tabs>
                <w:tab w:val="left" w:pos="3060"/>
              </w:tabs>
              <w:spacing w:before="120" w:line="288" w:lineRule="auto"/>
              <w:rPr>
                <w:sz w:val="26"/>
                <w:szCs w:val="26"/>
                <w:lang w:val="pl-PL"/>
              </w:rPr>
            </w:pPr>
            <w:r w:rsidRPr="00F5409A">
              <w:rPr>
                <w:sz w:val="26"/>
                <w:szCs w:val="26"/>
                <w:lang w:val="pl-PL"/>
              </w:rPr>
              <w:t xml:space="preserve">- Tổng mức bán lẻ hàng hóa và dịch vụ tính chung 10 tháng 2015 (đã loại trừ yếu tố giá) tăng 8,4% so với cùng kỳ, mức cao nhất so với cùng kỳ của 5 năm qua.  </w:t>
            </w:r>
          </w:p>
        </w:tc>
        <w:tc>
          <w:tcPr>
            <w:tcW w:w="4395" w:type="dxa"/>
          </w:tcPr>
          <w:p w:rsidR="00B91263" w:rsidRPr="005C6A26" w:rsidRDefault="00B91263" w:rsidP="005C6A26">
            <w:pPr>
              <w:tabs>
                <w:tab w:val="left" w:pos="3060"/>
              </w:tabs>
              <w:spacing w:before="120" w:line="288" w:lineRule="auto"/>
              <w:ind w:firstLine="38"/>
              <w:jc w:val="center"/>
              <w:rPr>
                <w:b/>
                <w:sz w:val="24"/>
                <w:szCs w:val="26"/>
                <w:lang w:val="pl-PL"/>
              </w:rPr>
            </w:pPr>
            <w:r w:rsidRPr="005C6A26">
              <w:rPr>
                <w:b/>
                <w:sz w:val="24"/>
                <w:szCs w:val="26"/>
                <w:lang w:val="pl-PL"/>
              </w:rPr>
              <w:t>Hình</w:t>
            </w:r>
            <w:r w:rsidR="0085275E">
              <w:rPr>
                <w:b/>
                <w:sz w:val="24"/>
                <w:szCs w:val="26"/>
                <w:lang w:val="pl-PL"/>
              </w:rPr>
              <w:t xml:space="preserve"> 6</w:t>
            </w:r>
            <w:r w:rsidRPr="005C6A26">
              <w:rPr>
                <w:b/>
                <w:sz w:val="24"/>
                <w:szCs w:val="26"/>
                <w:lang w:val="pl-PL"/>
              </w:rPr>
              <w:t>: Chỉ số niềm tin người tiêu dùng</w:t>
            </w:r>
          </w:p>
          <w:p w:rsidR="004D73AA" w:rsidRDefault="00B91263" w:rsidP="00A314F5">
            <w:pPr>
              <w:tabs>
                <w:tab w:val="left" w:pos="3060"/>
              </w:tabs>
              <w:spacing w:before="120" w:line="288" w:lineRule="auto"/>
              <w:ind w:firstLine="38"/>
              <w:jc w:val="right"/>
              <w:rPr>
                <w:sz w:val="24"/>
                <w:szCs w:val="26"/>
                <w:lang w:val="pl-PL"/>
              </w:rPr>
            </w:pPr>
            <w:r w:rsidRPr="005C6A26">
              <w:rPr>
                <w:noProof/>
                <w:sz w:val="24"/>
                <w:szCs w:val="26"/>
              </w:rPr>
              <w:drawing>
                <wp:inline distT="0" distB="0" distL="0" distR="0">
                  <wp:extent cx="2700068" cy="1302589"/>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C6A26">
              <w:rPr>
                <w:i/>
                <w:sz w:val="24"/>
                <w:szCs w:val="26"/>
                <w:lang w:val="pl-PL"/>
              </w:rPr>
              <w:t>Nguồn</w:t>
            </w:r>
            <w:r w:rsidRPr="005C6A26">
              <w:rPr>
                <w:sz w:val="24"/>
                <w:szCs w:val="26"/>
                <w:lang w:val="pl-PL"/>
              </w:rPr>
              <w:t>: ANZ</w:t>
            </w:r>
          </w:p>
          <w:p w:rsidR="00F5409A" w:rsidRDefault="00F5409A" w:rsidP="00F5409A">
            <w:pPr>
              <w:tabs>
                <w:tab w:val="left" w:pos="3060"/>
              </w:tabs>
              <w:spacing w:before="120"/>
              <w:ind w:firstLine="38"/>
              <w:jc w:val="center"/>
              <w:rPr>
                <w:b/>
                <w:sz w:val="24"/>
                <w:szCs w:val="26"/>
                <w:lang w:val="pl-PL"/>
              </w:rPr>
            </w:pPr>
            <w:r w:rsidRPr="00F5409A">
              <w:rPr>
                <w:b/>
                <w:sz w:val="24"/>
                <w:szCs w:val="26"/>
                <w:lang w:val="pl-PL"/>
              </w:rPr>
              <w:t>Hình</w:t>
            </w:r>
            <w:r>
              <w:rPr>
                <w:b/>
                <w:sz w:val="24"/>
                <w:szCs w:val="26"/>
                <w:lang w:val="pl-PL"/>
              </w:rPr>
              <w:t xml:space="preserve"> 7</w:t>
            </w:r>
            <w:r w:rsidRPr="00F5409A">
              <w:rPr>
                <w:b/>
                <w:sz w:val="24"/>
                <w:szCs w:val="26"/>
                <w:lang w:val="pl-PL"/>
              </w:rPr>
              <w:t>: Tổng mức bán lẻ hàng hóa và dịch vụ tính chung 10 tháng 2011</w:t>
            </w:r>
            <w:r>
              <w:rPr>
                <w:b/>
                <w:sz w:val="24"/>
                <w:szCs w:val="26"/>
                <w:lang w:val="pl-PL"/>
              </w:rPr>
              <w:t>-2015 % so với cùng kỳ</w:t>
            </w:r>
          </w:p>
          <w:p w:rsidR="00F5409A" w:rsidRPr="00F5409A" w:rsidRDefault="00F5409A" w:rsidP="00F5409A">
            <w:pPr>
              <w:tabs>
                <w:tab w:val="left" w:pos="3060"/>
              </w:tabs>
              <w:spacing w:before="120" w:line="288" w:lineRule="auto"/>
              <w:ind w:firstLine="38"/>
              <w:jc w:val="center"/>
              <w:rPr>
                <w:b/>
                <w:sz w:val="24"/>
                <w:szCs w:val="26"/>
                <w:lang w:val="pl-PL"/>
              </w:rPr>
            </w:pPr>
            <w:r w:rsidRPr="00F5409A">
              <w:rPr>
                <w:b/>
                <w:noProof/>
                <w:sz w:val="24"/>
                <w:szCs w:val="26"/>
              </w:rPr>
              <w:drawing>
                <wp:inline distT="0" distB="0" distL="0" distR="0">
                  <wp:extent cx="2528515" cy="1319917"/>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sz w:val="24"/>
                <w:szCs w:val="26"/>
                <w:lang w:val="pl-PL"/>
              </w:rPr>
              <w:t xml:space="preserve"> </w:t>
            </w:r>
          </w:p>
          <w:p w:rsidR="00F5409A" w:rsidRPr="00A314F5" w:rsidRDefault="00F5409A" w:rsidP="00A314F5">
            <w:pPr>
              <w:tabs>
                <w:tab w:val="left" w:pos="3060"/>
              </w:tabs>
              <w:spacing w:before="120" w:line="288" w:lineRule="auto"/>
              <w:ind w:firstLine="38"/>
              <w:jc w:val="right"/>
              <w:rPr>
                <w:sz w:val="24"/>
                <w:szCs w:val="26"/>
                <w:lang w:val="pl-PL"/>
              </w:rPr>
            </w:pPr>
            <w:r w:rsidRPr="00F5409A">
              <w:rPr>
                <w:sz w:val="24"/>
                <w:szCs w:val="26"/>
                <w:lang w:val="pl-PL"/>
              </w:rPr>
              <w:t>Nguồn: TCTK</w:t>
            </w:r>
          </w:p>
        </w:tc>
      </w:tr>
    </w:tbl>
    <w:p w:rsidR="001649AF" w:rsidRPr="005C6A26" w:rsidRDefault="001649AF" w:rsidP="00B6187B">
      <w:pPr>
        <w:spacing w:before="120" w:line="288" w:lineRule="auto"/>
        <w:ind w:firstLine="0"/>
        <w:rPr>
          <w:rFonts w:eastAsiaTheme="minorEastAsia"/>
          <w:b/>
          <w:sz w:val="26"/>
          <w:szCs w:val="26"/>
          <w:lang w:val="pl-PL"/>
        </w:rPr>
      </w:pPr>
      <w:r w:rsidRPr="005C6A26">
        <w:rPr>
          <w:rFonts w:eastAsiaTheme="minorEastAsia"/>
          <w:b/>
          <w:sz w:val="26"/>
          <w:szCs w:val="26"/>
          <w:lang w:val="pl-PL"/>
        </w:rPr>
        <w:lastRenderedPageBreak/>
        <w:t>3. Ổn định kinh tế vĩ mô được duy trì</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395"/>
      </w:tblGrid>
      <w:tr w:rsidR="003C1625" w:rsidRPr="00CE7F93" w:rsidTr="001265AA">
        <w:tc>
          <w:tcPr>
            <w:tcW w:w="5211" w:type="dxa"/>
          </w:tcPr>
          <w:p w:rsidR="00C94A36" w:rsidRPr="003619A8" w:rsidRDefault="00C94A36" w:rsidP="005C6A26">
            <w:pPr>
              <w:spacing w:before="120" w:line="288" w:lineRule="auto"/>
              <w:rPr>
                <w:color w:val="222222"/>
                <w:sz w:val="26"/>
                <w:szCs w:val="28"/>
                <w:shd w:val="clear" w:color="auto" w:fill="FFFFFF"/>
                <w:lang w:val="pl-PL"/>
              </w:rPr>
            </w:pPr>
            <w:r w:rsidRPr="003619A8">
              <w:rPr>
                <w:i/>
                <w:color w:val="222222"/>
                <w:sz w:val="26"/>
                <w:szCs w:val="28"/>
                <w:shd w:val="clear" w:color="auto" w:fill="FFFFFF"/>
                <w:lang w:val="pl-PL"/>
              </w:rPr>
              <w:t>- Lạm phát thấp và ổn định.</w:t>
            </w:r>
            <w:r w:rsidRPr="003619A8">
              <w:rPr>
                <w:color w:val="222222"/>
                <w:sz w:val="26"/>
                <w:szCs w:val="28"/>
                <w:shd w:val="clear" w:color="auto" w:fill="FFFFFF"/>
                <w:lang w:val="pl-PL"/>
              </w:rPr>
              <w:t xml:space="preserve"> Mặc dù trong tháng 10 lạm phát (so cùng kì năm trước) giảm xuống 0% (bằng mức của tháng trước đó) nhưng lạm phát cơ bản vẫn ở mức 2,4%, là mức ổn định của lạm phát cơ bản trong suốt 8 tháng gần đây. Căn cứ diễn biến của giá dầu, UBGSTCQG giữ nguyên  dự báo lạm phát năm 2015 ở mức 2%.</w:t>
            </w:r>
          </w:p>
          <w:p w:rsidR="00D33D42" w:rsidRPr="00C94A36" w:rsidRDefault="00D33D42" w:rsidP="005C6A26">
            <w:pPr>
              <w:spacing w:before="120" w:line="288" w:lineRule="auto"/>
              <w:rPr>
                <w:color w:val="222222"/>
                <w:sz w:val="26"/>
                <w:szCs w:val="28"/>
                <w:shd w:val="clear" w:color="auto" w:fill="FFFFFF"/>
                <w:lang w:val="pl-PL"/>
              </w:rPr>
            </w:pPr>
            <w:r w:rsidRPr="003619A8">
              <w:rPr>
                <w:i/>
                <w:color w:val="222222"/>
                <w:sz w:val="26"/>
                <w:szCs w:val="28"/>
                <w:shd w:val="clear" w:color="auto" w:fill="FFFFFF"/>
                <w:lang w:val="pl-PL"/>
              </w:rPr>
              <w:t xml:space="preserve">- </w:t>
            </w:r>
            <w:r w:rsidR="008E3164">
              <w:rPr>
                <w:color w:val="222222"/>
                <w:sz w:val="26"/>
                <w:szCs w:val="28"/>
                <w:shd w:val="clear" w:color="auto" w:fill="FFFFFF"/>
                <w:lang w:val="pl-PL"/>
              </w:rPr>
              <w:t xml:space="preserve">Mặc dù một số nhân tố gây sức ép tăng  lãi suất: </w:t>
            </w:r>
            <w:r w:rsidRPr="00C94A36">
              <w:rPr>
                <w:color w:val="222222"/>
                <w:sz w:val="26"/>
                <w:szCs w:val="28"/>
                <w:shd w:val="clear" w:color="auto" w:fill="FFFFFF"/>
                <w:lang w:val="pl-PL"/>
              </w:rPr>
              <w:t xml:space="preserve">tăng trưởng tín dụng </w:t>
            </w:r>
            <w:r w:rsidR="008E3164">
              <w:rPr>
                <w:color w:val="222222"/>
                <w:sz w:val="26"/>
                <w:szCs w:val="28"/>
                <w:shd w:val="clear" w:color="auto" w:fill="FFFFFF"/>
                <w:lang w:val="pl-PL"/>
              </w:rPr>
              <w:t>tăng</w:t>
            </w:r>
            <w:r w:rsidRPr="00C94A36">
              <w:rPr>
                <w:color w:val="222222"/>
                <w:sz w:val="26"/>
                <w:szCs w:val="28"/>
                <w:shd w:val="clear" w:color="auto" w:fill="FFFFFF"/>
                <w:lang w:val="pl-PL"/>
              </w:rPr>
              <w:t>,</w:t>
            </w:r>
            <w:r w:rsidR="008E3164">
              <w:rPr>
                <w:color w:val="222222"/>
                <w:sz w:val="26"/>
                <w:szCs w:val="28"/>
                <w:shd w:val="clear" w:color="auto" w:fill="FFFFFF"/>
                <w:lang w:val="pl-PL"/>
              </w:rPr>
              <w:t xml:space="preserve"> nhu cầu</w:t>
            </w:r>
            <w:r w:rsidRPr="00C94A36">
              <w:rPr>
                <w:color w:val="222222"/>
                <w:sz w:val="26"/>
                <w:szCs w:val="28"/>
                <w:shd w:val="clear" w:color="auto" w:fill="FFFFFF"/>
                <w:lang w:val="pl-PL"/>
              </w:rPr>
              <w:t xml:space="preserve"> huy động TPCP </w:t>
            </w:r>
            <w:r w:rsidR="008E3164">
              <w:rPr>
                <w:color w:val="222222"/>
                <w:sz w:val="26"/>
                <w:szCs w:val="28"/>
                <w:shd w:val="clear" w:color="auto" w:fill="FFFFFF"/>
                <w:lang w:val="pl-PL"/>
              </w:rPr>
              <w:t>lớn</w:t>
            </w:r>
            <w:r w:rsidRPr="00C94A36">
              <w:rPr>
                <w:color w:val="222222"/>
                <w:sz w:val="26"/>
                <w:szCs w:val="28"/>
                <w:shd w:val="clear" w:color="auto" w:fill="FFFFFF"/>
                <w:lang w:val="pl-PL"/>
              </w:rPr>
              <w:t xml:space="preserve">. Lạm phát ở mức thấp trong năm 2015 là </w:t>
            </w:r>
            <w:r w:rsidR="00BD3C9A">
              <w:rPr>
                <w:color w:val="222222"/>
                <w:sz w:val="26"/>
                <w:szCs w:val="28"/>
                <w:shd w:val="clear" w:color="auto" w:fill="FFFFFF"/>
                <w:lang w:val="pl-PL"/>
              </w:rPr>
              <w:t>nhân tố</w:t>
            </w:r>
            <w:r w:rsidRPr="00C94A36">
              <w:rPr>
                <w:color w:val="222222"/>
                <w:sz w:val="26"/>
                <w:szCs w:val="28"/>
                <w:shd w:val="clear" w:color="auto" w:fill="FFFFFF"/>
                <w:lang w:val="pl-PL"/>
              </w:rPr>
              <w:t xml:space="preserve"> để duy trì </w:t>
            </w:r>
            <w:r w:rsidR="00BD3C9A">
              <w:rPr>
                <w:color w:val="222222"/>
                <w:sz w:val="26"/>
                <w:szCs w:val="28"/>
                <w:shd w:val="clear" w:color="auto" w:fill="FFFFFF"/>
                <w:lang w:val="pl-PL"/>
              </w:rPr>
              <w:t>mặt bằng</w:t>
            </w:r>
            <w:r w:rsidRPr="00C94A36">
              <w:rPr>
                <w:color w:val="222222"/>
                <w:sz w:val="26"/>
                <w:szCs w:val="28"/>
                <w:shd w:val="clear" w:color="auto" w:fill="FFFFFF"/>
                <w:lang w:val="pl-PL"/>
              </w:rPr>
              <w:t xml:space="preserve"> lãi suất thấp. </w:t>
            </w:r>
            <w:r w:rsidR="00946906">
              <w:rPr>
                <w:color w:val="222222"/>
                <w:sz w:val="26"/>
                <w:szCs w:val="28"/>
                <w:shd w:val="clear" w:color="auto" w:fill="FFFFFF"/>
                <w:lang w:val="pl-PL"/>
              </w:rPr>
              <w:t>Do vậy</w:t>
            </w:r>
            <w:r w:rsidRPr="00C94A36">
              <w:rPr>
                <w:color w:val="222222"/>
                <w:sz w:val="26"/>
                <w:szCs w:val="28"/>
                <w:shd w:val="clear" w:color="auto" w:fill="FFFFFF"/>
                <w:lang w:val="pl-PL"/>
              </w:rPr>
              <w:t>, theo UBGSTCQG, mặt bằng lãi suất sẽ tiếp tục duy trì ở mức lãi suất thấp hợp lý trong năm 2015.</w:t>
            </w:r>
          </w:p>
          <w:p w:rsidR="003C1625" w:rsidRDefault="00BD3C9A" w:rsidP="00184820">
            <w:pPr>
              <w:pStyle w:val="ListParagraph"/>
              <w:numPr>
                <w:ilvl w:val="0"/>
                <w:numId w:val="22"/>
              </w:numPr>
              <w:spacing w:before="120" w:line="288" w:lineRule="auto"/>
              <w:ind w:left="0" w:firstLine="567"/>
              <w:contextualSpacing w:val="0"/>
              <w:rPr>
                <w:color w:val="222222"/>
                <w:sz w:val="26"/>
                <w:szCs w:val="28"/>
                <w:shd w:val="clear" w:color="auto" w:fill="FFFFFF"/>
                <w:lang w:val="pl-PL"/>
              </w:rPr>
            </w:pPr>
            <w:r>
              <w:rPr>
                <w:i/>
                <w:color w:val="222222"/>
                <w:sz w:val="26"/>
                <w:szCs w:val="28"/>
                <w:shd w:val="clear" w:color="auto" w:fill="FFFFFF"/>
                <w:lang w:val="pl-PL"/>
              </w:rPr>
              <w:t xml:space="preserve">Mặc dù thu ngân sách khó khăn to thu từ dầu thô giảm mạnh. </w:t>
            </w:r>
            <w:r w:rsidR="008C5BC0" w:rsidRPr="00BD3C9A">
              <w:rPr>
                <w:color w:val="222222"/>
                <w:sz w:val="26"/>
                <w:szCs w:val="28"/>
                <w:shd w:val="clear" w:color="auto" w:fill="FFFFFF"/>
                <w:lang w:val="pl-PL"/>
              </w:rPr>
              <w:t xml:space="preserve">Năm 2015 tổng thu ngân sách nhà nước </w:t>
            </w:r>
            <w:r>
              <w:rPr>
                <w:color w:val="222222"/>
                <w:sz w:val="26"/>
                <w:szCs w:val="28"/>
                <w:shd w:val="clear" w:color="auto" w:fill="FFFFFF"/>
                <w:lang w:val="pl-PL"/>
              </w:rPr>
              <w:t>dự báo vẫn đạt và vượt dự toán</w:t>
            </w:r>
            <w:r w:rsidR="008C5BC0" w:rsidRPr="00BD3C9A">
              <w:rPr>
                <w:color w:val="222222"/>
                <w:sz w:val="26"/>
                <w:szCs w:val="28"/>
                <w:shd w:val="clear" w:color="auto" w:fill="FFFFFF"/>
                <w:lang w:val="pl-PL"/>
              </w:rPr>
              <w:t>.</w:t>
            </w:r>
            <w:r w:rsidR="008C5BC0" w:rsidRPr="003619A8">
              <w:rPr>
                <w:color w:val="222222"/>
                <w:sz w:val="26"/>
                <w:szCs w:val="28"/>
                <w:shd w:val="clear" w:color="auto" w:fill="FFFFFF"/>
                <w:lang w:val="pl-PL"/>
              </w:rPr>
              <w:t xml:space="preserve"> Tính lũy kế 15/10 tổng thu NSNN đạt 709,8 nghìn tỷ đồng, bằng 77,9% dự toán, tăng 5,6% so cùng kỳ (cùng kỳ 2014 đạt 85,9% dự toán, tăng 17,5%). Thu ngân sách tăng khá nhờ đóng góp lớn từ các khoản thu nội địa, tuy nhiên, thu sản xuất kinh doanh (chiếm tới 75,6% thu nội địa theo dự toán 2015) lại có mức tăng chậm hơn so cùng kỳ 2014, kể cả sau khi đã loại trừ nguồn thu từ cổ tức và lợi nhuận còn lại của DNNN</w:t>
            </w:r>
            <w:r w:rsidR="008C5BC0" w:rsidRPr="001B7E3F">
              <w:rPr>
                <w:color w:val="222222"/>
                <w:szCs w:val="28"/>
                <w:shd w:val="clear" w:color="auto" w:fill="FFFFFF"/>
                <w:vertAlign w:val="superscript"/>
                <w:lang w:val="pl-PL"/>
              </w:rPr>
              <w:footnoteReference w:id="12"/>
            </w:r>
            <w:r w:rsidR="008C5BC0" w:rsidRPr="003619A8">
              <w:rPr>
                <w:color w:val="222222"/>
                <w:sz w:val="26"/>
                <w:szCs w:val="28"/>
                <w:shd w:val="clear" w:color="auto" w:fill="FFFFFF"/>
                <w:lang w:val="pl-PL"/>
              </w:rPr>
              <w:t xml:space="preserve">. Mặc dù vậy, ước tính đến cuối năm thu ngân sách sẽ đạt và vượt mục tiêu đề ra, cụ thể: tổng thu ngân sách ước đạt 927,5  nghìn tỷ đồng, vượt 1,8% so với dự toán và đạt mức tăng 7,4% so với cùng kỳ 2014.  </w:t>
            </w:r>
          </w:p>
          <w:p w:rsidR="001B7E3F" w:rsidRPr="003619A8" w:rsidRDefault="001B7E3F" w:rsidP="00B6187B">
            <w:pPr>
              <w:pStyle w:val="ListParagraph"/>
              <w:spacing w:before="120" w:line="288" w:lineRule="auto"/>
              <w:ind w:left="567" w:firstLine="0"/>
              <w:contextualSpacing w:val="0"/>
              <w:rPr>
                <w:color w:val="222222"/>
                <w:sz w:val="26"/>
                <w:szCs w:val="28"/>
                <w:shd w:val="clear" w:color="auto" w:fill="FFFFFF"/>
                <w:lang w:val="pl-PL"/>
              </w:rPr>
            </w:pPr>
          </w:p>
        </w:tc>
        <w:tc>
          <w:tcPr>
            <w:tcW w:w="4395" w:type="dxa"/>
          </w:tcPr>
          <w:p w:rsidR="001265AA" w:rsidRPr="006D2212" w:rsidRDefault="00C94A36" w:rsidP="00EE7FD1">
            <w:pPr>
              <w:spacing w:before="120" w:after="0" w:line="288" w:lineRule="auto"/>
              <w:ind w:firstLine="57"/>
              <w:jc w:val="center"/>
              <w:rPr>
                <w:rFonts w:ascii="Times New Roman Bold" w:hAnsi="Times New Roman Bold"/>
                <w:b/>
                <w:spacing w:val="-4"/>
                <w:sz w:val="24"/>
                <w:szCs w:val="28"/>
                <w:lang w:val="pl-PL"/>
              </w:rPr>
            </w:pPr>
            <w:r w:rsidRPr="006D2212">
              <w:rPr>
                <w:rFonts w:ascii="Times New Roman Bold" w:hAnsi="Times New Roman Bold"/>
                <w:b/>
                <w:spacing w:val="-4"/>
                <w:sz w:val="24"/>
                <w:szCs w:val="28"/>
                <w:lang w:val="pl-PL"/>
              </w:rPr>
              <w:t>Hình</w:t>
            </w:r>
            <w:r w:rsidR="0085275E" w:rsidRPr="006D2212">
              <w:rPr>
                <w:rFonts w:ascii="Times New Roman Bold" w:hAnsi="Times New Roman Bold"/>
                <w:b/>
                <w:spacing w:val="-4"/>
                <w:sz w:val="24"/>
                <w:szCs w:val="28"/>
                <w:lang w:val="pl-PL"/>
              </w:rPr>
              <w:t xml:space="preserve"> </w:t>
            </w:r>
            <w:r w:rsidR="00F5409A" w:rsidRPr="006D2212">
              <w:rPr>
                <w:rFonts w:ascii="Times New Roman Bold" w:hAnsi="Times New Roman Bold"/>
                <w:b/>
                <w:spacing w:val="-4"/>
                <w:sz w:val="24"/>
                <w:szCs w:val="28"/>
                <w:lang w:val="pl-PL"/>
              </w:rPr>
              <w:t>8</w:t>
            </w:r>
            <w:r w:rsidRPr="006D2212">
              <w:rPr>
                <w:rFonts w:ascii="Times New Roman Bold" w:hAnsi="Times New Roman Bold"/>
                <w:b/>
                <w:spacing w:val="-4"/>
                <w:sz w:val="24"/>
                <w:szCs w:val="28"/>
                <w:lang w:val="pl-PL"/>
              </w:rPr>
              <w:t>: Lạm phát và lạm phát cơ bản T10/2014-T10/2015, % tăng</w:t>
            </w:r>
            <w:r w:rsidR="006D2212" w:rsidRPr="006D2212">
              <w:rPr>
                <w:rFonts w:ascii="Times New Roman Bold" w:hAnsi="Times New Roman Bold"/>
                <w:b/>
                <w:spacing w:val="-4"/>
                <w:sz w:val="24"/>
                <w:szCs w:val="28"/>
                <w:lang w:val="pl-PL"/>
              </w:rPr>
              <w:t xml:space="preserve"> so</w:t>
            </w:r>
            <w:r w:rsidRPr="006D2212">
              <w:rPr>
                <w:rFonts w:ascii="Times New Roman Bold" w:hAnsi="Times New Roman Bold"/>
                <w:b/>
                <w:spacing w:val="-4"/>
                <w:sz w:val="24"/>
                <w:szCs w:val="28"/>
                <w:lang w:val="pl-PL"/>
              </w:rPr>
              <w:t xml:space="preserve"> </w:t>
            </w:r>
            <w:r w:rsidR="006D2212" w:rsidRPr="006D2212">
              <w:rPr>
                <w:rFonts w:ascii="Times New Roman Bold" w:hAnsi="Times New Roman Bold"/>
                <w:b/>
                <w:spacing w:val="-4"/>
                <w:sz w:val="24"/>
                <w:szCs w:val="28"/>
                <w:lang w:val="pl-PL"/>
              </w:rPr>
              <w:t xml:space="preserve">với </w:t>
            </w:r>
            <w:r w:rsidR="006D2212">
              <w:rPr>
                <w:rFonts w:ascii="Times New Roman Bold" w:hAnsi="Times New Roman Bold"/>
                <w:b/>
                <w:spacing w:val="-4"/>
                <w:sz w:val="24"/>
                <w:szCs w:val="28"/>
                <w:lang w:val="pl-PL"/>
              </w:rPr>
              <w:t>ck</w:t>
            </w:r>
          </w:p>
          <w:p w:rsidR="00C94A36" w:rsidRPr="00CE7F93" w:rsidRDefault="00C94A36" w:rsidP="005C6A26">
            <w:pPr>
              <w:spacing w:before="120" w:line="288" w:lineRule="auto"/>
              <w:ind w:firstLine="56"/>
              <w:jc w:val="center"/>
              <w:rPr>
                <w:b/>
                <w:sz w:val="24"/>
                <w:szCs w:val="28"/>
                <w:lang w:val="pl-PL"/>
              </w:rPr>
            </w:pPr>
            <w:r w:rsidRPr="00CE7F93">
              <w:rPr>
                <w:b/>
                <w:noProof/>
                <w:sz w:val="24"/>
                <w:szCs w:val="28"/>
              </w:rPr>
              <w:drawing>
                <wp:inline distT="0" distB="0" distL="0" distR="0">
                  <wp:extent cx="2573079" cy="141413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4A36" w:rsidRPr="00CE7F93" w:rsidRDefault="00C94A36" w:rsidP="00B6187B">
            <w:pPr>
              <w:spacing w:line="288" w:lineRule="auto"/>
              <w:ind w:firstLine="56"/>
              <w:jc w:val="right"/>
              <w:rPr>
                <w:sz w:val="24"/>
                <w:szCs w:val="28"/>
                <w:lang w:val="pl-PL"/>
              </w:rPr>
            </w:pPr>
            <w:r w:rsidRPr="00CE7F93">
              <w:rPr>
                <w:i/>
                <w:sz w:val="24"/>
                <w:szCs w:val="28"/>
                <w:lang w:val="pl-PL"/>
              </w:rPr>
              <w:t>Nguồn:</w:t>
            </w:r>
            <w:r w:rsidRPr="00CE7F93">
              <w:rPr>
                <w:sz w:val="24"/>
                <w:szCs w:val="28"/>
                <w:lang w:val="pl-PL"/>
              </w:rPr>
              <w:t xml:space="preserve"> TCTK</w:t>
            </w:r>
          </w:p>
          <w:p w:rsidR="00D33D42" w:rsidRPr="00CE7F93" w:rsidRDefault="005C6A26" w:rsidP="005C6A26">
            <w:pPr>
              <w:spacing w:before="120" w:line="288" w:lineRule="auto"/>
              <w:ind w:firstLine="56"/>
              <w:jc w:val="center"/>
              <w:rPr>
                <w:b/>
                <w:sz w:val="24"/>
                <w:szCs w:val="28"/>
                <w:lang w:val="pl-PL"/>
              </w:rPr>
            </w:pPr>
            <w:r w:rsidRPr="00CE7F93">
              <w:rPr>
                <w:b/>
                <w:sz w:val="24"/>
                <w:szCs w:val="28"/>
                <w:lang w:val="pl-PL"/>
              </w:rPr>
              <w:t>Hình</w:t>
            </w:r>
            <w:r w:rsidR="0085275E">
              <w:rPr>
                <w:b/>
                <w:sz w:val="24"/>
                <w:szCs w:val="28"/>
                <w:lang w:val="pl-PL"/>
              </w:rPr>
              <w:t xml:space="preserve"> </w:t>
            </w:r>
            <w:r w:rsidR="00F5409A">
              <w:rPr>
                <w:b/>
                <w:sz w:val="24"/>
                <w:szCs w:val="28"/>
                <w:lang w:val="pl-PL"/>
              </w:rPr>
              <w:t>9</w:t>
            </w:r>
            <w:r w:rsidR="00D33D42" w:rsidRPr="00CE7F93">
              <w:rPr>
                <w:b/>
                <w:sz w:val="24"/>
                <w:szCs w:val="28"/>
                <w:lang w:val="pl-PL"/>
              </w:rPr>
              <w:t>: Lãi suất liên ngân hàng đồng VND các kỳ hạn</w:t>
            </w:r>
          </w:p>
          <w:p w:rsidR="00D33D42" w:rsidRPr="00CE7F93" w:rsidRDefault="00D33D42" w:rsidP="005C6A26">
            <w:pPr>
              <w:spacing w:before="120" w:line="288" w:lineRule="auto"/>
              <w:ind w:firstLine="56"/>
              <w:jc w:val="center"/>
              <w:rPr>
                <w:b/>
                <w:sz w:val="24"/>
                <w:szCs w:val="28"/>
              </w:rPr>
            </w:pPr>
            <w:r w:rsidRPr="00CE7F93">
              <w:rPr>
                <w:b/>
                <w:noProof/>
                <w:sz w:val="24"/>
                <w:szCs w:val="28"/>
              </w:rPr>
              <w:drawing>
                <wp:inline distT="0" distB="0" distL="0" distR="0">
                  <wp:extent cx="2619375" cy="164782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3D42" w:rsidRPr="00CE7F93" w:rsidRDefault="00D33D42" w:rsidP="005C6A26">
            <w:pPr>
              <w:tabs>
                <w:tab w:val="left" w:pos="5370"/>
              </w:tabs>
              <w:spacing w:before="120" w:line="288" w:lineRule="auto"/>
              <w:ind w:firstLine="56"/>
              <w:jc w:val="right"/>
              <w:rPr>
                <w:i/>
                <w:sz w:val="24"/>
                <w:szCs w:val="28"/>
              </w:rPr>
            </w:pPr>
            <w:r w:rsidRPr="00CE7F93">
              <w:rPr>
                <w:i/>
                <w:sz w:val="24"/>
                <w:szCs w:val="28"/>
              </w:rPr>
              <w:t xml:space="preserve">Nguồn: </w:t>
            </w:r>
            <w:r w:rsidRPr="0085275E">
              <w:rPr>
                <w:sz w:val="24"/>
                <w:szCs w:val="28"/>
              </w:rPr>
              <w:t>Reuters</w:t>
            </w:r>
          </w:p>
          <w:p w:rsidR="008C5BC0" w:rsidRPr="00CE7F93" w:rsidRDefault="005C6A26" w:rsidP="005C6A26">
            <w:pPr>
              <w:spacing w:before="120" w:line="288" w:lineRule="auto"/>
              <w:ind w:firstLine="0"/>
              <w:jc w:val="center"/>
              <w:rPr>
                <w:b/>
                <w:sz w:val="24"/>
                <w:szCs w:val="26"/>
              </w:rPr>
            </w:pPr>
            <w:r w:rsidRPr="00CE7F93">
              <w:rPr>
                <w:b/>
                <w:sz w:val="24"/>
                <w:szCs w:val="26"/>
              </w:rPr>
              <w:t>Hình</w:t>
            </w:r>
            <w:r w:rsidR="0085275E">
              <w:rPr>
                <w:b/>
                <w:sz w:val="24"/>
                <w:szCs w:val="26"/>
              </w:rPr>
              <w:t xml:space="preserve"> </w:t>
            </w:r>
            <w:r w:rsidR="00F5409A">
              <w:rPr>
                <w:b/>
                <w:sz w:val="24"/>
                <w:szCs w:val="26"/>
              </w:rPr>
              <w:t>10</w:t>
            </w:r>
            <w:r w:rsidR="008C5BC0" w:rsidRPr="00CE7F93">
              <w:rPr>
                <w:b/>
                <w:sz w:val="24"/>
                <w:szCs w:val="26"/>
              </w:rPr>
              <w:t>: Thu ngân sách lũy kế đến 15/10/2015, %</w:t>
            </w:r>
          </w:p>
          <w:p w:rsidR="00184820" w:rsidRPr="00CE7F93" w:rsidRDefault="008C5BC0" w:rsidP="005C6A26">
            <w:pPr>
              <w:spacing w:before="120" w:line="288" w:lineRule="auto"/>
              <w:ind w:firstLine="56"/>
              <w:jc w:val="right"/>
              <w:rPr>
                <w:rFonts w:eastAsiaTheme="minorEastAsia"/>
                <w:sz w:val="24"/>
                <w:szCs w:val="26"/>
              </w:rPr>
            </w:pPr>
            <w:r w:rsidRPr="00CE7F93">
              <w:rPr>
                <w:rFonts w:eastAsiaTheme="minorEastAsia"/>
                <w:noProof/>
                <w:sz w:val="24"/>
                <w:szCs w:val="26"/>
              </w:rPr>
              <w:drawing>
                <wp:inline distT="0" distB="0" distL="0" distR="0">
                  <wp:extent cx="2615979" cy="2250219"/>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7E3F" w:rsidRPr="00B6187B" w:rsidRDefault="00184820" w:rsidP="00B6187B">
            <w:pPr>
              <w:jc w:val="right"/>
              <w:rPr>
                <w:rFonts w:eastAsiaTheme="minorEastAsia"/>
                <w:sz w:val="24"/>
                <w:szCs w:val="26"/>
              </w:rPr>
            </w:pPr>
            <w:r w:rsidRPr="00CE7F93">
              <w:rPr>
                <w:rFonts w:eastAsiaTheme="minorEastAsia"/>
                <w:i/>
                <w:sz w:val="24"/>
                <w:szCs w:val="26"/>
              </w:rPr>
              <w:t xml:space="preserve">Nguồn: </w:t>
            </w:r>
            <w:r w:rsidRPr="0085275E">
              <w:rPr>
                <w:rFonts w:eastAsiaTheme="minorEastAsia"/>
                <w:sz w:val="24"/>
                <w:szCs w:val="26"/>
              </w:rPr>
              <w:t>Bộ Tài chính</w:t>
            </w:r>
          </w:p>
        </w:tc>
      </w:tr>
    </w:tbl>
    <w:p w:rsidR="00D83BE6" w:rsidRPr="005C6A26" w:rsidRDefault="00D83BE6" w:rsidP="005C6A26">
      <w:pPr>
        <w:spacing w:before="120" w:line="288" w:lineRule="auto"/>
        <w:ind w:firstLine="0"/>
        <w:rPr>
          <w:b/>
          <w:sz w:val="26"/>
          <w:szCs w:val="26"/>
          <w:lang w:val="sv-SE"/>
        </w:rPr>
      </w:pPr>
      <w:r w:rsidRPr="005C6A26">
        <w:rPr>
          <w:b/>
          <w:sz w:val="26"/>
          <w:szCs w:val="26"/>
          <w:lang w:val="sv-SE"/>
        </w:rPr>
        <w:lastRenderedPageBreak/>
        <w:t xml:space="preserve">4. </w:t>
      </w:r>
      <w:r w:rsidR="00303A5A">
        <w:rPr>
          <w:b/>
          <w:sz w:val="26"/>
          <w:szCs w:val="26"/>
          <w:lang w:val="sv-SE"/>
        </w:rPr>
        <w:t>Hệ thống tài chính ổn định</w:t>
      </w:r>
      <w:r w:rsidR="00392E13">
        <w:rPr>
          <w:b/>
          <w:sz w:val="26"/>
          <w:szCs w:val="26"/>
          <w:lang w:val="sv-SE"/>
        </w:rPr>
        <w:t xml:space="preserve"> </w:t>
      </w:r>
    </w:p>
    <w:p w:rsidR="00F17A2A" w:rsidRPr="00184820" w:rsidRDefault="00F17A2A" w:rsidP="005C6A26">
      <w:pPr>
        <w:spacing w:before="120" w:line="288" w:lineRule="auto"/>
        <w:rPr>
          <w:rFonts w:eastAsiaTheme="minorEastAsia"/>
          <w:i/>
          <w:sz w:val="26"/>
          <w:szCs w:val="26"/>
          <w:lang w:val="pl-PL"/>
        </w:rPr>
      </w:pPr>
      <w:r w:rsidRPr="00184820">
        <w:rPr>
          <w:rFonts w:eastAsiaTheme="minorEastAsia"/>
          <w:i/>
          <w:sz w:val="26"/>
          <w:szCs w:val="26"/>
          <w:lang w:val="pl-PL"/>
        </w:rPr>
        <w:t xml:space="preserve">- Khu vực ngân hàng ổn định thanh khoản, tăng trưởng tín dụng tốt, trích lập DPRR tăng. </w:t>
      </w:r>
    </w:p>
    <w:p w:rsidR="00A24AB7" w:rsidRDefault="00A24AB7" w:rsidP="005C6A26">
      <w:pPr>
        <w:tabs>
          <w:tab w:val="left" w:pos="1134"/>
        </w:tabs>
        <w:spacing w:before="120" w:line="288" w:lineRule="auto"/>
        <w:rPr>
          <w:sz w:val="26"/>
          <w:szCs w:val="26"/>
          <w:lang w:val="pl-PL"/>
        </w:rPr>
      </w:pPr>
      <w:r>
        <w:rPr>
          <w:sz w:val="26"/>
          <w:szCs w:val="26"/>
          <w:lang w:val="pl-PL"/>
        </w:rPr>
        <w:t xml:space="preserve"> </w:t>
      </w:r>
      <w:r w:rsidR="00F17A2A" w:rsidRPr="005C6A26">
        <w:rPr>
          <w:sz w:val="26"/>
          <w:szCs w:val="26"/>
          <w:lang w:val="pl-PL"/>
        </w:rPr>
        <w:t xml:space="preserve">(i) </w:t>
      </w:r>
      <w:r w:rsidRPr="005C6A26">
        <w:rPr>
          <w:color w:val="000000" w:themeColor="text1"/>
          <w:spacing w:val="-4"/>
          <w:sz w:val="26"/>
          <w:szCs w:val="26"/>
          <w:lang w:val="pl-PL"/>
        </w:rPr>
        <w:t xml:space="preserve">Tháng </w:t>
      </w:r>
      <w:r w:rsidR="00592B70">
        <w:rPr>
          <w:color w:val="000000" w:themeColor="text1"/>
          <w:spacing w:val="-4"/>
          <w:sz w:val="26"/>
          <w:szCs w:val="26"/>
          <w:lang w:val="pl-PL"/>
        </w:rPr>
        <w:t>10</w:t>
      </w:r>
      <w:r w:rsidRPr="005C6A26">
        <w:rPr>
          <w:color w:val="000000" w:themeColor="text1"/>
          <w:spacing w:val="-4"/>
          <w:sz w:val="26"/>
          <w:szCs w:val="26"/>
          <w:lang w:val="pl-PL"/>
        </w:rPr>
        <w:t>, khả năng thanh khoản của khu vực ngân hàng khá tốt, tỷ lệ LDR (cho vay/huy động) duy trì ở mức dưới 80%; với huy động và tín dụng ngoại tệ, LDR cũng ở mức dưới 85%; những tỷ lệ này nằm trong giới hạn an toàn về thanh khoản.</w:t>
      </w:r>
    </w:p>
    <w:p w:rsidR="00F17A2A" w:rsidRPr="005C6A26" w:rsidRDefault="00A24AB7" w:rsidP="005C6A26">
      <w:pPr>
        <w:tabs>
          <w:tab w:val="left" w:pos="851"/>
        </w:tabs>
        <w:spacing w:before="120" w:line="288" w:lineRule="auto"/>
        <w:rPr>
          <w:color w:val="000000" w:themeColor="text1"/>
          <w:spacing w:val="-4"/>
          <w:sz w:val="26"/>
          <w:szCs w:val="26"/>
          <w:lang w:val="pl-PL"/>
        </w:rPr>
      </w:pPr>
      <w:r w:rsidRPr="005C6A26">
        <w:rPr>
          <w:color w:val="000000" w:themeColor="text1"/>
          <w:spacing w:val="-4"/>
          <w:sz w:val="26"/>
          <w:szCs w:val="26"/>
          <w:lang w:val="pl-PL"/>
        </w:rPr>
        <w:t xml:space="preserve"> </w:t>
      </w:r>
      <w:r w:rsidR="00F17A2A" w:rsidRPr="005C6A26">
        <w:rPr>
          <w:color w:val="000000" w:themeColor="text1"/>
          <w:spacing w:val="-4"/>
          <w:sz w:val="26"/>
          <w:szCs w:val="26"/>
          <w:lang w:val="pl-PL"/>
        </w:rPr>
        <w:t xml:space="preserve">(ii) </w:t>
      </w:r>
      <w:r w:rsidRPr="005C6A26">
        <w:rPr>
          <w:color w:val="000000" w:themeColor="text1"/>
          <w:spacing w:val="-4"/>
          <w:sz w:val="26"/>
          <w:szCs w:val="26"/>
          <w:lang w:val="pl-PL"/>
        </w:rPr>
        <w:t>Cơ cấu tín dụng theo kỳ hạn chuyển dịch theo hướng tích cực với sự gia tăng tỷ trọng các khoản vay ngắn hạn</w:t>
      </w:r>
      <w:r w:rsidRPr="005C6A26">
        <w:rPr>
          <w:rStyle w:val="FootnoteReference"/>
          <w:color w:val="000000" w:themeColor="text1"/>
          <w:spacing w:val="-4"/>
          <w:sz w:val="26"/>
          <w:szCs w:val="26"/>
          <w:lang w:val="pl-PL"/>
        </w:rPr>
        <w:footnoteReference w:id="13"/>
      </w:r>
      <w:r w:rsidRPr="005C6A26">
        <w:rPr>
          <w:color w:val="000000" w:themeColor="text1"/>
          <w:spacing w:val="-4"/>
          <w:sz w:val="26"/>
          <w:szCs w:val="26"/>
          <w:lang w:val="pl-PL"/>
        </w:rPr>
        <w:t>.</w:t>
      </w:r>
    </w:p>
    <w:p w:rsidR="00F17A2A" w:rsidRDefault="00F17A2A" w:rsidP="005C6A26">
      <w:pPr>
        <w:tabs>
          <w:tab w:val="left" w:pos="851"/>
        </w:tabs>
        <w:spacing w:before="120" w:line="288" w:lineRule="auto"/>
        <w:rPr>
          <w:sz w:val="26"/>
          <w:szCs w:val="26"/>
          <w:lang w:val="pl-PL"/>
        </w:rPr>
      </w:pPr>
      <w:r w:rsidRPr="005C6A26">
        <w:rPr>
          <w:color w:val="000000" w:themeColor="text1"/>
          <w:spacing w:val="-4"/>
          <w:sz w:val="26"/>
          <w:szCs w:val="26"/>
          <w:lang w:val="pl-PL"/>
        </w:rPr>
        <w:t xml:space="preserve">(iii) </w:t>
      </w:r>
      <w:r w:rsidR="00A24AB7" w:rsidRPr="005C6A26">
        <w:rPr>
          <w:sz w:val="26"/>
          <w:szCs w:val="26"/>
          <w:lang w:val="pl-PL"/>
        </w:rPr>
        <w:t xml:space="preserve">Mặc dù tăng trưởng tín dụng khá, hệ số NIM tăng nhẹ, nhưng do trích lập dự phòng rủi ro tăng khiến </w:t>
      </w:r>
      <w:r w:rsidR="000046D3">
        <w:rPr>
          <w:sz w:val="26"/>
          <w:szCs w:val="26"/>
          <w:lang w:val="pl-PL"/>
        </w:rPr>
        <w:t>mức</w:t>
      </w:r>
      <w:r w:rsidR="00A24AB7" w:rsidRPr="005C6A26">
        <w:rPr>
          <w:sz w:val="26"/>
          <w:szCs w:val="26"/>
          <w:lang w:val="pl-PL"/>
        </w:rPr>
        <w:t xml:space="preserve"> sinh lời của khối NHTM giảm</w:t>
      </w:r>
      <w:r w:rsidR="00A24AB7">
        <w:rPr>
          <w:sz w:val="26"/>
          <w:szCs w:val="26"/>
          <w:lang w:val="pl-PL"/>
        </w:rPr>
        <w:t>.</w:t>
      </w:r>
    </w:p>
    <w:p w:rsidR="009A0FEE" w:rsidRPr="009A0FEE" w:rsidRDefault="009A0FEE" w:rsidP="005C6A26">
      <w:pPr>
        <w:tabs>
          <w:tab w:val="left" w:pos="851"/>
        </w:tabs>
        <w:spacing w:before="120" w:line="288" w:lineRule="auto"/>
        <w:rPr>
          <w:color w:val="000000" w:themeColor="text1"/>
          <w:spacing w:val="-4"/>
          <w:sz w:val="14"/>
          <w:szCs w:val="26"/>
          <w:lang w:val="pl-PL"/>
        </w:rPr>
      </w:pPr>
    </w:p>
    <w:tbl>
      <w:tblPr>
        <w:tblStyle w:val="LightGrid-Accent6"/>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1386"/>
        <w:gridCol w:w="1424"/>
        <w:gridCol w:w="3117"/>
      </w:tblGrid>
      <w:tr w:rsidR="00F17A2A" w:rsidRPr="00CE7F93" w:rsidTr="000F60E5">
        <w:trPr>
          <w:cnfStyle w:val="100000000000"/>
          <w:trHeight w:val="475"/>
          <w:jc w:val="center"/>
        </w:trPr>
        <w:tc>
          <w:tcPr>
            <w:cnfStyle w:val="001000000000"/>
            <w:tcW w:w="2527" w:type="dxa"/>
            <w:tcBorders>
              <w:top w:val="none" w:sz="0" w:space="0" w:color="auto"/>
              <w:left w:val="none" w:sz="0" w:space="0" w:color="auto"/>
              <w:bottom w:val="none" w:sz="0" w:space="0" w:color="auto"/>
              <w:right w:val="none" w:sz="0" w:space="0" w:color="auto"/>
            </w:tcBorders>
            <w:hideMark/>
          </w:tcPr>
          <w:p w:rsidR="00F17A2A" w:rsidRPr="00CE7F93" w:rsidRDefault="00F17A2A" w:rsidP="005C6A26">
            <w:pPr>
              <w:spacing w:before="120" w:line="288" w:lineRule="auto"/>
              <w:ind w:firstLine="0"/>
              <w:jc w:val="center"/>
              <w:rPr>
                <w:b w:val="0"/>
                <w:bCs w:val="0"/>
                <w:color w:val="000000"/>
                <w:sz w:val="24"/>
                <w:szCs w:val="24"/>
              </w:rPr>
            </w:pPr>
            <w:r w:rsidRPr="00CE7F93">
              <w:rPr>
                <w:color w:val="000000"/>
                <w:sz w:val="24"/>
                <w:szCs w:val="24"/>
              </w:rPr>
              <w:t>Khả năng sinh lời</w:t>
            </w:r>
          </w:p>
        </w:tc>
        <w:tc>
          <w:tcPr>
            <w:tcW w:w="1386" w:type="dxa"/>
            <w:tcBorders>
              <w:top w:val="none" w:sz="0" w:space="0" w:color="auto"/>
              <w:left w:val="none" w:sz="0" w:space="0" w:color="auto"/>
              <w:bottom w:val="none" w:sz="0" w:space="0" w:color="auto"/>
              <w:right w:val="none" w:sz="0" w:space="0" w:color="auto"/>
            </w:tcBorders>
            <w:hideMark/>
          </w:tcPr>
          <w:p w:rsidR="00F17A2A" w:rsidRPr="00CE7F93" w:rsidRDefault="00F17A2A" w:rsidP="005C6A26">
            <w:pPr>
              <w:spacing w:before="120" w:line="288" w:lineRule="auto"/>
              <w:ind w:firstLine="0"/>
              <w:jc w:val="center"/>
              <w:cnfStyle w:val="100000000000"/>
              <w:rPr>
                <w:b w:val="0"/>
                <w:bCs w:val="0"/>
                <w:color w:val="000000"/>
                <w:sz w:val="24"/>
                <w:szCs w:val="24"/>
              </w:rPr>
            </w:pPr>
            <w:r w:rsidRPr="00CE7F93">
              <w:rPr>
                <w:color w:val="000000"/>
                <w:sz w:val="24"/>
                <w:szCs w:val="24"/>
              </w:rPr>
              <w:t>2013</w:t>
            </w:r>
          </w:p>
        </w:tc>
        <w:tc>
          <w:tcPr>
            <w:tcW w:w="1424" w:type="dxa"/>
            <w:tcBorders>
              <w:top w:val="none" w:sz="0" w:space="0" w:color="auto"/>
              <w:left w:val="none" w:sz="0" w:space="0" w:color="auto"/>
              <w:bottom w:val="none" w:sz="0" w:space="0" w:color="auto"/>
              <w:right w:val="none" w:sz="0" w:space="0" w:color="auto"/>
            </w:tcBorders>
            <w:hideMark/>
          </w:tcPr>
          <w:p w:rsidR="00F17A2A" w:rsidRPr="00CE7F93" w:rsidRDefault="00F17A2A" w:rsidP="005C6A26">
            <w:pPr>
              <w:spacing w:before="120" w:line="288" w:lineRule="auto"/>
              <w:ind w:firstLine="0"/>
              <w:jc w:val="center"/>
              <w:cnfStyle w:val="100000000000"/>
              <w:rPr>
                <w:b w:val="0"/>
                <w:bCs w:val="0"/>
                <w:color w:val="000000"/>
                <w:sz w:val="24"/>
                <w:szCs w:val="24"/>
              </w:rPr>
            </w:pPr>
            <w:r w:rsidRPr="00CE7F93">
              <w:rPr>
                <w:color w:val="000000"/>
                <w:sz w:val="24"/>
                <w:szCs w:val="24"/>
              </w:rPr>
              <w:t>2014</w:t>
            </w:r>
          </w:p>
        </w:tc>
        <w:tc>
          <w:tcPr>
            <w:tcW w:w="3117" w:type="dxa"/>
            <w:tcBorders>
              <w:top w:val="none" w:sz="0" w:space="0" w:color="auto"/>
              <w:left w:val="none" w:sz="0" w:space="0" w:color="auto"/>
              <w:bottom w:val="none" w:sz="0" w:space="0" w:color="auto"/>
              <w:right w:val="none" w:sz="0" w:space="0" w:color="auto"/>
            </w:tcBorders>
            <w:hideMark/>
          </w:tcPr>
          <w:p w:rsidR="00F17A2A" w:rsidRPr="00CE7F93" w:rsidRDefault="00F17A2A" w:rsidP="00592B70">
            <w:pPr>
              <w:spacing w:before="120" w:line="288" w:lineRule="auto"/>
              <w:ind w:firstLine="0"/>
              <w:jc w:val="center"/>
              <w:cnfStyle w:val="100000000000"/>
              <w:rPr>
                <w:b w:val="0"/>
                <w:bCs w:val="0"/>
                <w:color w:val="000000"/>
                <w:sz w:val="24"/>
                <w:szCs w:val="24"/>
              </w:rPr>
            </w:pPr>
            <w:r w:rsidRPr="00CE7F93">
              <w:rPr>
                <w:color w:val="000000"/>
                <w:sz w:val="24"/>
                <w:szCs w:val="24"/>
              </w:rPr>
              <w:t xml:space="preserve">Tháng </w:t>
            </w:r>
            <w:r w:rsidR="00592B70">
              <w:rPr>
                <w:color w:val="000000"/>
                <w:sz w:val="24"/>
                <w:szCs w:val="24"/>
              </w:rPr>
              <w:t>10</w:t>
            </w:r>
            <w:r w:rsidRPr="00CE7F93">
              <w:rPr>
                <w:color w:val="000000"/>
                <w:sz w:val="24"/>
                <w:szCs w:val="24"/>
              </w:rPr>
              <w:t xml:space="preserve"> (trượt 12 tháng)</w:t>
            </w:r>
          </w:p>
        </w:tc>
      </w:tr>
      <w:tr w:rsidR="00F17A2A" w:rsidRPr="00CE7F93" w:rsidTr="000F60E5">
        <w:trPr>
          <w:cnfStyle w:val="000000100000"/>
          <w:trHeight w:val="315"/>
          <w:jc w:val="center"/>
        </w:trPr>
        <w:tc>
          <w:tcPr>
            <w:cnfStyle w:val="001000000000"/>
            <w:tcW w:w="2527" w:type="dxa"/>
            <w:tcBorders>
              <w:top w:val="none" w:sz="0" w:space="0" w:color="auto"/>
              <w:left w:val="none" w:sz="0" w:space="0" w:color="auto"/>
              <w:bottom w:val="none" w:sz="0" w:space="0" w:color="auto"/>
              <w:right w:val="none" w:sz="0" w:space="0" w:color="auto"/>
            </w:tcBorders>
            <w:hideMark/>
          </w:tcPr>
          <w:p w:rsidR="00F17A2A" w:rsidRPr="00CE7F93" w:rsidRDefault="00F17A2A" w:rsidP="005C6A26">
            <w:pPr>
              <w:spacing w:before="120" w:line="288" w:lineRule="auto"/>
              <w:ind w:firstLine="0"/>
              <w:jc w:val="center"/>
              <w:rPr>
                <w:b w:val="0"/>
                <w:sz w:val="24"/>
                <w:szCs w:val="24"/>
              </w:rPr>
            </w:pPr>
            <w:r w:rsidRPr="00CE7F93">
              <w:rPr>
                <w:sz w:val="24"/>
                <w:szCs w:val="24"/>
              </w:rPr>
              <w:t>NIM</w:t>
            </w:r>
          </w:p>
        </w:tc>
        <w:tc>
          <w:tcPr>
            <w:tcW w:w="1386" w:type="dxa"/>
            <w:tcBorders>
              <w:top w:val="none" w:sz="0" w:space="0" w:color="auto"/>
              <w:left w:val="none" w:sz="0" w:space="0" w:color="auto"/>
              <w:bottom w:val="none" w:sz="0" w:space="0" w:color="auto"/>
              <w:right w:val="none" w:sz="0" w:space="0" w:color="auto"/>
            </w:tcBorders>
            <w:noWrap/>
            <w:hideMark/>
          </w:tcPr>
          <w:p w:rsidR="00F17A2A" w:rsidRPr="00CE7F93" w:rsidRDefault="00F17A2A" w:rsidP="005C6A26">
            <w:pPr>
              <w:spacing w:before="120" w:line="288" w:lineRule="auto"/>
              <w:ind w:firstLine="0"/>
              <w:jc w:val="right"/>
              <w:cnfStyle w:val="000000100000"/>
              <w:rPr>
                <w:color w:val="000000"/>
                <w:sz w:val="24"/>
                <w:szCs w:val="24"/>
              </w:rPr>
            </w:pPr>
            <w:r w:rsidRPr="00CE7F93">
              <w:rPr>
                <w:color w:val="000000"/>
                <w:sz w:val="24"/>
                <w:szCs w:val="24"/>
              </w:rPr>
              <w:t>2,80%</w:t>
            </w:r>
          </w:p>
        </w:tc>
        <w:tc>
          <w:tcPr>
            <w:tcW w:w="1424" w:type="dxa"/>
            <w:tcBorders>
              <w:top w:val="none" w:sz="0" w:space="0" w:color="auto"/>
              <w:left w:val="none" w:sz="0" w:space="0" w:color="auto"/>
              <w:bottom w:val="none" w:sz="0" w:space="0" w:color="auto"/>
              <w:right w:val="none" w:sz="0" w:space="0" w:color="auto"/>
            </w:tcBorders>
            <w:noWrap/>
            <w:hideMark/>
          </w:tcPr>
          <w:p w:rsidR="00F17A2A" w:rsidRPr="00CE7F93" w:rsidRDefault="00F17A2A" w:rsidP="005C6A26">
            <w:pPr>
              <w:spacing w:before="120" w:line="288" w:lineRule="auto"/>
              <w:ind w:firstLine="0"/>
              <w:jc w:val="right"/>
              <w:cnfStyle w:val="000000100000"/>
              <w:rPr>
                <w:color w:val="000000"/>
                <w:sz w:val="24"/>
                <w:szCs w:val="24"/>
              </w:rPr>
            </w:pPr>
            <w:r w:rsidRPr="00CE7F93">
              <w:rPr>
                <w:color w:val="000000"/>
                <w:sz w:val="24"/>
                <w:szCs w:val="24"/>
              </w:rPr>
              <w:t>2,70%</w:t>
            </w:r>
          </w:p>
        </w:tc>
        <w:tc>
          <w:tcPr>
            <w:tcW w:w="3117" w:type="dxa"/>
            <w:tcBorders>
              <w:top w:val="none" w:sz="0" w:space="0" w:color="auto"/>
              <w:left w:val="none" w:sz="0" w:space="0" w:color="auto"/>
              <w:bottom w:val="none" w:sz="0" w:space="0" w:color="auto"/>
              <w:right w:val="none" w:sz="0" w:space="0" w:color="auto"/>
            </w:tcBorders>
            <w:noWrap/>
            <w:hideMark/>
          </w:tcPr>
          <w:p w:rsidR="00F17A2A" w:rsidRPr="00CE7F93" w:rsidRDefault="00F17A2A" w:rsidP="005C6A26">
            <w:pPr>
              <w:spacing w:before="120" w:line="288" w:lineRule="auto"/>
              <w:ind w:firstLine="0"/>
              <w:jc w:val="right"/>
              <w:cnfStyle w:val="000000100000"/>
              <w:rPr>
                <w:color w:val="000000"/>
                <w:sz w:val="24"/>
                <w:szCs w:val="24"/>
              </w:rPr>
            </w:pPr>
            <w:r w:rsidRPr="00CE7F93">
              <w:rPr>
                <w:color w:val="000000"/>
                <w:sz w:val="24"/>
                <w:szCs w:val="24"/>
              </w:rPr>
              <w:t>2,80%</w:t>
            </w:r>
          </w:p>
        </w:tc>
      </w:tr>
      <w:tr w:rsidR="00F17A2A" w:rsidRPr="00CE7F93" w:rsidTr="000F60E5">
        <w:trPr>
          <w:cnfStyle w:val="000000010000"/>
          <w:trHeight w:val="315"/>
          <w:jc w:val="center"/>
        </w:trPr>
        <w:tc>
          <w:tcPr>
            <w:cnfStyle w:val="001000000000"/>
            <w:tcW w:w="2527" w:type="dxa"/>
            <w:tcBorders>
              <w:top w:val="none" w:sz="0" w:space="0" w:color="auto"/>
              <w:left w:val="none" w:sz="0" w:space="0" w:color="auto"/>
              <w:bottom w:val="none" w:sz="0" w:space="0" w:color="auto"/>
              <w:right w:val="none" w:sz="0" w:space="0" w:color="auto"/>
            </w:tcBorders>
            <w:hideMark/>
          </w:tcPr>
          <w:p w:rsidR="00F17A2A" w:rsidRPr="00CE7F93" w:rsidRDefault="00F17A2A" w:rsidP="005C6A26">
            <w:pPr>
              <w:spacing w:before="120" w:line="288" w:lineRule="auto"/>
              <w:ind w:firstLine="0"/>
              <w:jc w:val="center"/>
              <w:rPr>
                <w:b w:val="0"/>
                <w:sz w:val="24"/>
                <w:szCs w:val="24"/>
              </w:rPr>
            </w:pPr>
            <w:r w:rsidRPr="00CE7F93">
              <w:rPr>
                <w:sz w:val="24"/>
                <w:szCs w:val="24"/>
              </w:rPr>
              <w:t>ROE</w:t>
            </w:r>
          </w:p>
        </w:tc>
        <w:tc>
          <w:tcPr>
            <w:tcW w:w="1386" w:type="dxa"/>
            <w:tcBorders>
              <w:top w:val="none" w:sz="0" w:space="0" w:color="auto"/>
              <w:left w:val="none" w:sz="0" w:space="0" w:color="auto"/>
              <w:bottom w:val="none" w:sz="0" w:space="0" w:color="auto"/>
              <w:right w:val="none" w:sz="0" w:space="0" w:color="auto"/>
            </w:tcBorders>
            <w:noWrap/>
            <w:hideMark/>
          </w:tcPr>
          <w:p w:rsidR="00F17A2A" w:rsidRPr="00CE7F93" w:rsidRDefault="00F17A2A" w:rsidP="005C6A26">
            <w:pPr>
              <w:spacing w:before="120" w:line="288" w:lineRule="auto"/>
              <w:ind w:firstLine="0"/>
              <w:jc w:val="right"/>
              <w:cnfStyle w:val="000000010000"/>
              <w:rPr>
                <w:color w:val="000000"/>
                <w:sz w:val="24"/>
                <w:szCs w:val="24"/>
              </w:rPr>
            </w:pPr>
            <w:r w:rsidRPr="00CE7F93">
              <w:rPr>
                <w:color w:val="000000"/>
                <w:sz w:val="24"/>
                <w:szCs w:val="24"/>
              </w:rPr>
              <w:t>6,4%</w:t>
            </w:r>
          </w:p>
        </w:tc>
        <w:tc>
          <w:tcPr>
            <w:tcW w:w="1424" w:type="dxa"/>
            <w:tcBorders>
              <w:top w:val="none" w:sz="0" w:space="0" w:color="auto"/>
              <w:left w:val="none" w:sz="0" w:space="0" w:color="auto"/>
              <w:bottom w:val="none" w:sz="0" w:space="0" w:color="auto"/>
              <w:right w:val="none" w:sz="0" w:space="0" w:color="auto"/>
            </w:tcBorders>
            <w:noWrap/>
            <w:hideMark/>
          </w:tcPr>
          <w:p w:rsidR="00F17A2A" w:rsidRPr="00CE7F93" w:rsidRDefault="00F17A2A" w:rsidP="005C6A26">
            <w:pPr>
              <w:spacing w:before="120" w:line="288" w:lineRule="auto"/>
              <w:ind w:firstLine="0"/>
              <w:jc w:val="right"/>
              <w:cnfStyle w:val="000000010000"/>
              <w:rPr>
                <w:color w:val="000000"/>
                <w:sz w:val="24"/>
                <w:szCs w:val="24"/>
              </w:rPr>
            </w:pPr>
            <w:r w:rsidRPr="00CE7F93">
              <w:rPr>
                <w:color w:val="000000"/>
                <w:sz w:val="24"/>
                <w:szCs w:val="24"/>
              </w:rPr>
              <w:t>4,6%</w:t>
            </w:r>
          </w:p>
        </w:tc>
        <w:tc>
          <w:tcPr>
            <w:tcW w:w="3117" w:type="dxa"/>
            <w:tcBorders>
              <w:top w:val="none" w:sz="0" w:space="0" w:color="auto"/>
              <w:left w:val="none" w:sz="0" w:space="0" w:color="auto"/>
              <w:bottom w:val="none" w:sz="0" w:space="0" w:color="auto"/>
              <w:right w:val="none" w:sz="0" w:space="0" w:color="auto"/>
            </w:tcBorders>
            <w:noWrap/>
            <w:vAlign w:val="bottom"/>
            <w:hideMark/>
          </w:tcPr>
          <w:p w:rsidR="00F17A2A" w:rsidRPr="00CE7F93" w:rsidRDefault="00F17A2A" w:rsidP="005C6A26">
            <w:pPr>
              <w:spacing w:before="120" w:line="288" w:lineRule="auto"/>
              <w:ind w:firstLine="0"/>
              <w:jc w:val="right"/>
              <w:cnfStyle w:val="000000010000"/>
              <w:rPr>
                <w:color w:val="000000"/>
                <w:sz w:val="24"/>
                <w:szCs w:val="24"/>
              </w:rPr>
            </w:pPr>
            <w:r w:rsidRPr="00CE7F93">
              <w:rPr>
                <w:color w:val="000000"/>
                <w:sz w:val="24"/>
                <w:szCs w:val="24"/>
              </w:rPr>
              <w:t>4,16%</w:t>
            </w:r>
          </w:p>
        </w:tc>
      </w:tr>
      <w:tr w:rsidR="00F17A2A" w:rsidRPr="00CE7F93" w:rsidTr="000F60E5">
        <w:trPr>
          <w:cnfStyle w:val="000000100000"/>
          <w:trHeight w:val="315"/>
          <w:jc w:val="center"/>
        </w:trPr>
        <w:tc>
          <w:tcPr>
            <w:cnfStyle w:val="001000000000"/>
            <w:tcW w:w="2527" w:type="dxa"/>
            <w:tcBorders>
              <w:top w:val="none" w:sz="0" w:space="0" w:color="auto"/>
              <w:left w:val="none" w:sz="0" w:space="0" w:color="auto"/>
              <w:bottom w:val="none" w:sz="0" w:space="0" w:color="auto"/>
              <w:right w:val="none" w:sz="0" w:space="0" w:color="auto"/>
            </w:tcBorders>
            <w:hideMark/>
          </w:tcPr>
          <w:p w:rsidR="00F17A2A" w:rsidRPr="00CE7F93" w:rsidRDefault="00F17A2A" w:rsidP="005C6A26">
            <w:pPr>
              <w:spacing w:before="120" w:line="288" w:lineRule="auto"/>
              <w:ind w:firstLine="0"/>
              <w:jc w:val="center"/>
              <w:rPr>
                <w:b w:val="0"/>
                <w:sz w:val="24"/>
                <w:szCs w:val="24"/>
              </w:rPr>
            </w:pPr>
            <w:r w:rsidRPr="00CE7F93">
              <w:rPr>
                <w:sz w:val="24"/>
                <w:szCs w:val="24"/>
              </w:rPr>
              <w:t>ROA</w:t>
            </w:r>
          </w:p>
        </w:tc>
        <w:tc>
          <w:tcPr>
            <w:tcW w:w="1386" w:type="dxa"/>
            <w:tcBorders>
              <w:top w:val="none" w:sz="0" w:space="0" w:color="auto"/>
              <w:left w:val="none" w:sz="0" w:space="0" w:color="auto"/>
              <w:bottom w:val="none" w:sz="0" w:space="0" w:color="auto"/>
              <w:right w:val="none" w:sz="0" w:space="0" w:color="auto"/>
            </w:tcBorders>
            <w:noWrap/>
            <w:hideMark/>
          </w:tcPr>
          <w:p w:rsidR="00F17A2A" w:rsidRPr="00CE7F93" w:rsidRDefault="00F17A2A" w:rsidP="005C6A26">
            <w:pPr>
              <w:spacing w:before="120" w:line="288" w:lineRule="auto"/>
              <w:ind w:firstLine="0"/>
              <w:jc w:val="right"/>
              <w:cnfStyle w:val="000000100000"/>
              <w:rPr>
                <w:color w:val="000000"/>
                <w:sz w:val="24"/>
                <w:szCs w:val="24"/>
              </w:rPr>
            </w:pPr>
            <w:r w:rsidRPr="00CE7F93">
              <w:rPr>
                <w:color w:val="000000"/>
                <w:sz w:val="24"/>
                <w:szCs w:val="24"/>
              </w:rPr>
              <w:t>0,6%</w:t>
            </w:r>
          </w:p>
        </w:tc>
        <w:tc>
          <w:tcPr>
            <w:tcW w:w="1424" w:type="dxa"/>
            <w:tcBorders>
              <w:top w:val="none" w:sz="0" w:space="0" w:color="auto"/>
              <w:left w:val="none" w:sz="0" w:space="0" w:color="auto"/>
              <w:bottom w:val="none" w:sz="0" w:space="0" w:color="auto"/>
              <w:right w:val="none" w:sz="0" w:space="0" w:color="auto"/>
            </w:tcBorders>
            <w:noWrap/>
            <w:hideMark/>
          </w:tcPr>
          <w:p w:rsidR="00F17A2A" w:rsidRPr="00CE7F93" w:rsidRDefault="00F17A2A" w:rsidP="005C6A26">
            <w:pPr>
              <w:spacing w:before="120" w:line="288" w:lineRule="auto"/>
              <w:ind w:firstLine="0"/>
              <w:jc w:val="right"/>
              <w:cnfStyle w:val="000000100000"/>
              <w:rPr>
                <w:color w:val="000000"/>
                <w:sz w:val="24"/>
                <w:szCs w:val="24"/>
              </w:rPr>
            </w:pPr>
            <w:r w:rsidRPr="00CE7F93">
              <w:rPr>
                <w:color w:val="000000"/>
                <w:sz w:val="24"/>
                <w:szCs w:val="24"/>
              </w:rPr>
              <w:t>0,36%</w:t>
            </w:r>
          </w:p>
        </w:tc>
        <w:tc>
          <w:tcPr>
            <w:tcW w:w="3117" w:type="dxa"/>
            <w:tcBorders>
              <w:top w:val="none" w:sz="0" w:space="0" w:color="auto"/>
              <w:left w:val="none" w:sz="0" w:space="0" w:color="auto"/>
              <w:bottom w:val="none" w:sz="0" w:space="0" w:color="auto"/>
              <w:right w:val="none" w:sz="0" w:space="0" w:color="auto"/>
            </w:tcBorders>
            <w:noWrap/>
            <w:vAlign w:val="bottom"/>
            <w:hideMark/>
          </w:tcPr>
          <w:p w:rsidR="00F17A2A" w:rsidRPr="00CE7F93" w:rsidRDefault="00F17A2A" w:rsidP="005C6A26">
            <w:pPr>
              <w:spacing w:before="120" w:line="288" w:lineRule="auto"/>
              <w:ind w:firstLine="0"/>
              <w:jc w:val="right"/>
              <w:cnfStyle w:val="000000100000"/>
              <w:rPr>
                <w:color w:val="000000"/>
                <w:sz w:val="24"/>
                <w:szCs w:val="24"/>
              </w:rPr>
            </w:pPr>
            <w:r w:rsidRPr="00CE7F93">
              <w:rPr>
                <w:color w:val="000000"/>
                <w:sz w:val="24"/>
                <w:szCs w:val="24"/>
              </w:rPr>
              <w:t>0,32%</w:t>
            </w:r>
          </w:p>
        </w:tc>
      </w:tr>
    </w:tbl>
    <w:p w:rsidR="00F17A2A" w:rsidRPr="001265AA" w:rsidRDefault="00F17A2A" w:rsidP="005C6A26">
      <w:pPr>
        <w:spacing w:before="120" w:line="288" w:lineRule="auto"/>
        <w:ind w:firstLine="0"/>
        <w:rPr>
          <w:b/>
          <w:sz w:val="2"/>
          <w:szCs w:val="26"/>
          <w:lang w:val="sv-SE"/>
        </w:rPr>
      </w:pP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395"/>
      </w:tblGrid>
      <w:tr w:rsidR="00FF27B1" w:rsidRPr="005C6A26" w:rsidTr="001265AA">
        <w:trPr>
          <w:trHeight w:val="557"/>
        </w:trPr>
        <w:tc>
          <w:tcPr>
            <w:tcW w:w="5211" w:type="dxa"/>
          </w:tcPr>
          <w:p w:rsidR="00562652" w:rsidRDefault="00F17A2A" w:rsidP="005C6A26">
            <w:pPr>
              <w:pStyle w:val="ListParagraph"/>
              <w:numPr>
                <w:ilvl w:val="0"/>
                <w:numId w:val="21"/>
              </w:numPr>
              <w:spacing w:before="120" w:line="288" w:lineRule="auto"/>
              <w:ind w:left="0" w:firstLine="518"/>
              <w:contextualSpacing w:val="0"/>
              <w:rPr>
                <w:spacing w:val="-4"/>
                <w:sz w:val="26"/>
                <w:lang w:val="sv-SE"/>
              </w:rPr>
            </w:pPr>
            <w:r w:rsidRPr="00661EC7">
              <w:rPr>
                <w:i/>
                <w:spacing w:val="-4"/>
                <w:sz w:val="26"/>
                <w:lang w:val="sv-SE"/>
              </w:rPr>
              <w:t>Thị trường cổ phiếu</w:t>
            </w:r>
            <w:r w:rsidRPr="001265AA">
              <w:rPr>
                <w:spacing w:val="-4"/>
                <w:sz w:val="26"/>
                <w:lang w:val="sv-SE"/>
              </w:rPr>
              <w:t xml:space="preserve"> niêm yết lấy lại đà hồi phục tích cực trong tháng 10. VN Index đóng cửa ngày 23/9/2015 tại 602 điểm tăng 7% so với cuối tháng 9, trong khi HNX Index tăng 5,1%. Thị trường phản ứng tích cực với các thông tin hoàn thành đàm phán Hiệp định đối tác xuyên Thái Bình Dương (TPP), tăng trưởng GDP quý 3, kết quả kinh doanh quý 3 tích cực của công ty niêm yết và định hướng thoái vốn Nhà nước tại một số doanh nghiệp lớn trong danh mục nắm giữ của SCIC. Ngoài ra, thị trường chứng khoán còn được hỗ trợ bởi sự ổn định và hồi phục trở lại của thị trường tài chính </w:t>
            </w:r>
            <w:r w:rsidR="000F60E5">
              <w:rPr>
                <w:spacing w:val="-4"/>
                <w:sz w:val="26"/>
                <w:lang w:val="sv-SE"/>
              </w:rPr>
              <w:t xml:space="preserve">và chứng khoán toàn cầu. Trong </w:t>
            </w:r>
            <w:r w:rsidRPr="001265AA">
              <w:rPr>
                <w:spacing w:val="-4"/>
                <w:sz w:val="26"/>
                <w:lang w:val="sv-SE"/>
              </w:rPr>
              <w:t>bối cảnh đó, khối ngoại mua ròng xấp xỉ 1.115 tỉ đồng (50 triệu USD) cổ phiếu niêm yết kể từ đầu tháng 10.</w:t>
            </w:r>
          </w:p>
          <w:p w:rsidR="000046D3" w:rsidRPr="001265AA" w:rsidRDefault="000046D3" w:rsidP="000046D3">
            <w:pPr>
              <w:pStyle w:val="ListParagraph"/>
              <w:spacing w:before="120" w:line="288" w:lineRule="auto"/>
              <w:ind w:left="518" w:firstLine="0"/>
              <w:contextualSpacing w:val="0"/>
              <w:rPr>
                <w:spacing w:val="-4"/>
                <w:sz w:val="26"/>
                <w:lang w:val="sv-SE"/>
              </w:rPr>
            </w:pPr>
          </w:p>
          <w:p w:rsidR="00D33D42" w:rsidRPr="00035AA5" w:rsidRDefault="008C5BC0" w:rsidP="00035AA5">
            <w:pPr>
              <w:spacing w:before="120" w:line="288" w:lineRule="auto"/>
              <w:ind w:firstLine="567"/>
              <w:rPr>
                <w:sz w:val="26"/>
                <w:szCs w:val="26"/>
                <w:lang w:val="sv-SE"/>
              </w:rPr>
            </w:pPr>
            <w:r w:rsidRPr="00C94A36">
              <w:rPr>
                <w:i/>
                <w:sz w:val="26"/>
                <w:szCs w:val="26"/>
                <w:lang w:val="sv-SE"/>
              </w:rPr>
              <w:lastRenderedPageBreak/>
              <w:tab/>
            </w:r>
            <w:r w:rsidRPr="00661EC7">
              <w:rPr>
                <w:i/>
                <w:sz w:val="26"/>
                <w:szCs w:val="26"/>
                <w:lang w:val="vi-VN"/>
              </w:rPr>
              <w:t xml:space="preserve">- </w:t>
            </w:r>
            <w:r w:rsidRPr="00C94A36">
              <w:rPr>
                <w:i/>
                <w:sz w:val="26"/>
                <w:szCs w:val="26"/>
                <w:lang w:val="sv-SE"/>
              </w:rPr>
              <w:t xml:space="preserve">Kế hoạch phát hành TPCP năm 2015 </w:t>
            </w:r>
            <w:r w:rsidR="001B7E3F">
              <w:rPr>
                <w:i/>
                <w:sz w:val="26"/>
                <w:szCs w:val="26"/>
                <w:lang w:val="sv-SE"/>
              </w:rPr>
              <w:t>khó khả thi nếu không có điều chỉnh thích hợp về kỳ hạn</w:t>
            </w:r>
            <w:r w:rsidRPr="00C94A36">
              <w:rPr>
                <w:i/>
                <w:sz w:val="26"/>
                <w:szCs w:val="26"/>
                <w:lang w:val="sv-SE"/>
              </w:rPr>
              <w:t>.</w:t>
            </w:r>
            <w:r w:rsidRPr="00C94A36">
              <w:rPr>
                <w:b/>
                <w:i/>
                <w:sz w:val="26"/>
                <w:szCs w:val="26"/>
                <w:lang w:val="sv-SE"/>
              </w:rPr>
              <w:t xml:space="preserve"> </w:t>
            </w:r>
            <w:r w:rsidR="000046D3">
              <w:rPr>
                <w:sz w:val="26"/>
                <w:szCs w:val="26"/>
                <w:lang w:val="sv-SE"/>
              </w:rPr>
              <w:t>9 tháng đầu năm, tổng khối lượng phát hành TPCP đạt 127.473 tỷ đồng bằng 51% kế hoạch</w:t>
            </w:r>
            <w:r w:rsidR="00035AA5">
              <w:rPr>
                <w:sz w:val="26"/>
                <w:szCs w:val="26"/>
                <w:lang w:val="sv-SE"/>
              </w:rPr>
              <w:t xml:space="preserve"> </w:t>
            </w:r>
            <w:r w:rsidRPr="00C94A36">
              <w:rPr>
                <w:sz w:val="26"/>
                <w:szCs w:val="26"/>
                <w:lang w:val="sv-SE"/>
              </w:rPr>
              <w:t xml:space="preserve">năm với tỷ lệ trúng thầu/ gọi thầu ở mức 53,8%. </w:t>
            </w:r>
            <w:r w:rsidRPr="005C6A26">
              <w:rPr>
                <w:sz w:val="26"/>
                <w:szCs w:val="26"/>
                <w:lang w:val="vi-VN"/>
              </w:rPr>
              <w:t xml:space="preserve">Lãi suất phát hành </w:t>
            </w:r>
            <w:r w:rsidRPr="00C94A36">
              <w:rPr>
                <w:sz w:val="26"/>
                <w:szCs w:val="26"/>
                <w:lang w:val="sv-SE"/>
              </w:rPr>
              <w:t>tăng nhẹ ở kỳ hạn 5 và 10 năm lên mức tương ứng là 6,65% và 7%, lãi suất kỳ hạn 15 năm giữ nguyên ở mức 7,65%</w:t>
            </w:r>
            <w:r w:rsidRPr="005C6A26">
              <w:rPr>
                <w:sz w:val="26"/>
                <w:szCs w:val="26"/>
                <w:lang w:val="vi-VN"/>
              </w:rPr>
              <w:t xml:space="preserve">. Theo ước tính, </w:t>
            </w:r>
            <w:r w:rsidRPr="00CE7F93">
              <w:rPr>
                <w:sz w:val="26"/>
                <w:szCs w:val="26"/>
                <w:lang w:val="vi-VN"/>
              </w:rPr>
              <w:t>nếu không được phát hành đa dạng hóa các kỳ hạn TPCP</w:t>
            </w:r>
            <w:r w:rsidR="001B7E3F" w:rsidRPr="00CE7F93">
              <w:rPr>
                <w:sz w:val="26"/>
                <w:szCs w:val="26"/>
                <w:lang w:val="vi-VN"/>
              </w:rPr>
              <w:t xml:space="preserve"> và điều chỉnh cơ chế lãi suất thích hợp</w:t>
            </w:r>
            <w:r w:rsidRPr="00CE7F93">
              <w:rPr>
                <w:sz w:val="26"/>
                <w:szCs w:val="26"/>
                <w:lang w:val="vi-VN"/>
              </w:rPr>
              <w:t xml:space="preserve"> thì dự kiến cả năm 2015 chỉ huy động được khoảng 160.000 tỷ đồng, hụt 90.000 tỷ so với kế hoạch và số huy động không đủ để thanh toán khối lượng gốc và lãi TPCP đến hạn</w:t>
            </w:r>
            <w:r w:rsidRPr="00CE7F93">
              <w:rPr>
                <w:rStyle w:val="FootnoteReference"/>
                <w:sz w:val="26"/>
                <w:szCs w:val="26"/>
              </w:rPr>
              <w:footnoteReference w:id="14"/>
            </w:r>
            <w:r w:rsidRPr="00CE7F93">
              <w:rPr>
                <w:sz w:val="26"/>
                <w:szCs w:val="26"/>
                <w:lang w:val="vi-VN"/>
              </w:rPr>
              <w:t xml:space="preserve">. </w:t>
            </w:r>
          </w:p>
        </w:tc>
        <w:tc>
          <w:tcPr>
            <w:tcW w:w="4395" w:type="dxa"/>
          </w:tcPr>
          <w:p w:rsidR="008273E9" w:rsidRDefault="008273E9" w:rsidP="008273E9">
            <w:pPr>
              <w:spacing w:after="0" w:line="288" w:lineRule="auto"/>
              <w:ind w:firstLine="34"/>
              <w:jc w:val="center"/>
              <w:rPr>
                <w:b/>
                <w:sz w:val="24"/>
                <w:lang w:val="sv-SE"/>
              </w:rPr>
            </w:pPr>
          </w:p>
          <w:p w:rsidR="00C33503" w:rsidRDefault="00C33503" w:rsidP="008273E9">
            <w:pPr>
              <w:spacing w:after="0" w:line="288" w:lineRule="auto"/>
              <w:ind w:firstLine="34"/>
              <w:jc w:val="center"/>
              <w:rPr>
                <w:b/>
                <w:sz w:val="24"/>
                <w:lang w:val="sv-SE"/>
              </w:rPr>
            </w:pPr>
          </w:p>
          <w:p w:rsidR="00C33503" w:rsidRDefault="00C33503" w:rsidP="008273E9">
            <w:pPr>
              <w:spacing w:after="0" w:line="288" w:lineRule="auto"/>
              <w:ind w:firstLine="34"/>
              <w:jc w:val="center"/>
              <w:rPr>
                <w:b/>
                <w:sz w:val="24"/>
                <w:lang w:val="sv-SE"/>
              </w:rPr>
            </w:pPr>
          </w:p>
          <w:p w:rsidR="00F17A2A" w:rsidRPr="00184820" w:rsidRDefault="00184820" w:rsidP="008273E9">
            <w:pPr>
              <w:spacing w:after="0" w:line="288" w:lineRule="auto"/>
              <w:ind w:firstLine="34"/>
              <w:jc w:val="center"/>
              <w:rPr>
                <w:b/>
                <w:sz w:val="24"/>
                <w:lang w:val="vi-VN"/>
              </w:rPr>
            </w:pPr>
            <w:r w:rsidRPr="00184820">
              <w:rPr>
                <w:b/>
                <w:sz w:val="24"/>
                <w:lang w:val="sv-SE"/>
              </w:rPr>
              <w:t>Hình</w:t>
            </w:r>
            <w:r w:rsidR="0085275E">
              <w:rPr>
                <w:b/>
                <w:sz w:val="24"/>
                <w:lang w:val="sv-SE"/>
              </w:rPr>
              <w:t xml:space="preserve"> 1</w:t>
            </w:r>
            <w:r w:rsidR="000046D3">
              <w:rPr>
                <w:b/>
                <w:sz w:val="24"/>
                <w:lang w:val="sv-SE"/>
              </w:rPr>
              <w:t>1</w:t>
            </w:r>
            <w:r w:rsidRPr="00184820">
              <w:rPr>
                <w:b/>
                <w:sz w:val="24"/>
                <w:lang w:val="sv-SE"/>
              </w:rPr>
              <w:t xml:space="preserve">: </w:t>
            </w:r>
            <w:r w:rsidR="00F17A2A" w:rsidRPr="00184820">
              <w:rPr>
                <w:b/>
                <w:sz w:val="24"/>
                <w:lang w:val="vi-VN"/>
              </w:rPr>
              <w:t>Mua bán ròng của khối ngoại (theo tuần) từ đầu năm 2015</w:t>
            </w:r>
          </w:p>
          <w:p w:rsidR="00F17A2A" w:rsidRPr="00184820" w:rsidRDefault="00F17A2A" w:rsidP="005C6A26">
            <w:pPr>
              <w:spacing w:before="120" w:line="288" w:lineRule="auto"/>
              <w:ind w:firstLine="0"/>
              <w:jc w:val="center"/>
              <w:rPr>
                <w:sz w:val="24"/>
              </w:rPr>
            </w:pPr>
            <w:r w:rsidRPr="00184820">
              <w:rPr>
                <w:noProof/>
                <w:sz w:val="24"/>
              </w:rPr>
              <w:drawing>
                <wp:inline distT="0" distB="0" distL="0" distR="0">
                  <wp:extent cx="2642264" cy="1787857"/>
                  <wp:effectExtent l="19050" t="0" r="56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637772" cy="1784818"/>
                          </a:xfrm>
                          <a:prstGeom prst="rect">
                            <a:avLst/>
                          </a:prstGeom>
                          <a:noFill/>
                          <a:ln w="9525">
                            <a:noFill/>
                            <a:miter lim="800000"/>
                            <a:headEnd/>
                            <a:tailEnd/>
                          </a:ln>
                        </pic:spPr>
                      </pic:pic>
                    </a:graphicData>
                  </a:graphic>
                </wp:inline>
              </w:drawing>
            </w:r>
          </w:p>
          <w:p w:rsidR="00B72EBA" w:rsidRPr="00184820" w:rsidRDefault="008273E9" w:rsidP="008273E9">
            <w:pPr>
              <w:tabs>
                <w:tab w:val="left" w:pos="900"/>
              </w:tabs>
              <w:spacing w:before="120" w:line="288" w:lineRule="auto"/>
              <w:ind w:firstLine="34"/>
              <w:jc w:val="right"/>
              <w:rPr>
                <w:sz w:val="24"/>
              </w:rPr>
            </w:pPr>
            <w:r w:rsidRPr="008273E9">
              <w:rPr>
                <w:i/>
                <w:sz w:val="24"/>
              </w:rPr>
              <w:t>Nguồn:</w:t>
            </w:r>
            <w:r>
              <w:rPr>
                <w:sz w:val="24"/>
              </w:rPr>
              <w:t xml:space="preserve"> HNX và HSX</w:t>
            </w:r>
          </w:p>
          <w:p w:rsidR="00C33503" w:rsidRDefault="00C33503" w:rsidP="005C6A26">
            <w:pPr>
              <w:widowControl w:val="0"/>
              <w:spacing w:before="120" w:line="288" w:lineRule="auto"/>
              <w:ind w:firstLine="0"/>
              <w:jc w:val="center"/>
              <w:rPr>
                <w:b/>
                <w:sz w:val="24"/>
              </w:rPr>
            </w:pPr>
          </w:p>
          <w:p w:rsidR="000046D3" w:rsidRDefault="000046D3" w:rsidP="005C6A26">
            <w:pPr>
              <w:widowControl w:val="0"/>
              <w:spacing w:before="120" w:line="288" w:lineRule="auto"/>
              <w:ind w:firstLine="0"/>
              <w:jc w:val="center"/>
              <w:rPr>
                <w:b/>
                <w:sz w:val="24"/>
              </w:rPr>
            </w:pPr>
          </w:p>
          <w:p w:rsidR="000046D3" w:rsidRDefault="000046D3" w:rsidP="005C6A26">
            <w:pPr>
              <w:widowControl w:val="0"/>
              <w:spacing w:before="120" w:line="288" w:lineRule="auto"/>
              <w:ind w:firstLine="0"/>
              <w:jc w:val="center"/>
              <w:rPr>
                <w:b/>
                <w:sz w:val="24"/>
              </w:rPr>
            </w:pPr>
          </w:p>
          <w:p w:rsidR="008C5BC0" w:rsidRPr="00184820" w:rsidRDefault="008C5BC0" w:rsidP="005C6A26">
            <w:pPr>
              <w:widowControl w:val="0"/>
              <w:spacing w:before="120" w:line="288" w:lineRule="auto"/>
              <w:ind w:firstLine="0"/>
              <w:jc w:val="center"/>
              <w:rPr>
                <w:b/>
                <w:sz w:val="24"/>
                <w:lang w:val="vi-VN"/>
              </w:rPr>
            </w:pPr>
            <w:r w:rsidRPr="00184820">
              <w:rPr>
                <w:b/>
                <w:sz w:val="24"/>
                <w:lang w:val="vi-VN"/>
              </w:rPr>
              <w:t xml:space="preserve">Hình </w:t>
            </w:r>
            <w:r w:rsidR="00F5409A">
              <w:rPr>
                <w:b/>
                <w:sz w:val="24"/>
              </w:rPr>
              <w:t>1</w:t>
            </w:r>
            <w:r w:rsidR="000046D3">
              <w:rPr>
                <w:b/>
                <w:sz w:val="24"/>
              </w:rPr>
              <w:t>2</w:t>
            </w:r>
            <w:r w:rsidRPr="00184820">
              <w:rPr>
                <w:b/>
                <w:sz w:val="24"/>
                <w:lang w:val="vi-VN"/>
              </w:rPr>
              <w:t>: Tỷ lệ trúng thầu/ gọi thầu TPCP theo tháng, %</w:t>
            </w:r>
          </w:p>
          <w:p w:rsidR="008C5BC0" w:rsidRPr="00184820" w:rsidRDefault="008C5BC0" w:rsidP="005C6A26">
            <w:pPr>
              <w:widowControl w:val="0"/>
              <w:spacing w:before="120" w:line="288" w:lineRule="auto"/>
              <w:ind w:firstLine="0"/>
              <w:rPr>
                <w:sz w:val="24"/>
              </w:rPr>
            </w:pPr>
            <w:r w:rsidRPr="00184820">
              <w:rPr>
                <w:noProof/>
                <w:sz w:val="24"/>
              </w:rPr>
              <w:drawing>
                <wp:inline distT="0" distB="0" distL="0" distR="0">
                  <wp:extent cx="2608028" cy="2043486"/>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3D42" w:rsidRPr="00035AA5" w:rsidRDefault="008C5BC0" w:rsidP="00035AA5">
            <w:pPr>
              <w:tabs>
                <w:tab w:val="left" w:pos="1190"/>
              </w:tabs>
              <w:spacing w:before="120" w:line="288" w:lineRule="auto"/>
              <w:ind w:firstLine="0"/>
              <w:jc w:val="right"/>
              <w:rPr>
                <w:i/>
                <w:sz w:val="24"/>
              </w:rPr>
            </w:pPr>
            <w:r w:rsidRPr="00184820">
              <w:rPr>
                <w:i/>
                <w:sz w:val="24"/>
                <w:lang w:val="vi-VN"/>
              </w:rPr>
              <w:t xml:space="preserve">Nguồn: </w:t>
            </w:r>
            <w:r w:rsidRPr="00184820">
              <w:rPr>
                <w:i/>
                <w:sz w:val="24"/>
              </w:rPr>
              <w:t>HNX</w:t>
            </w:r>
            <w:r w:rsidRPr="00184820">
              <w:rPr>
                <w:i/>
                <w:sz w:val="24"/>
                <w:lang w:val="vi-VN"/>
              </w:rPr>
              <w:t>, BNC tính toán</w:t>
            </w:r>
          </w:p>
        </w:tc>
      </w:tr>
    </w:tbl>
    <w:p w:rsidR="00D14FDF" w:rsidRDefault="00035AA5" w:rsidP="00035AA5">
      <w:pPr>
        <w:spacing w:before="120" w:after="100" w:line="288" w:lineRule="auto"/>
        <w:ind w:firstLine="709"/>
        <w:rPr>
          <w:i/>
          <w:sz w:val="26"/>
          <w:szCs w:val="26"/>
          <w:lang w:val="nl-NL"/>
        </w:rPr>
      </w:pPr>
      <w:r w:rsidRPr="00035AA5">
        <w:rPr>
          <w:i/>
          <w:sz w:val="26"/>
          <w:szCs w:val="26"/>
          <w:lang w:val="nl-NL"/>
        </w:rPr>
        <w:lastRenderedPageBreak/>
        <w:t>Những tháng</w:t>
      </w:r>
      <w:r>
        <w:rPr>
          <w:i/>
          <w:sz w:val="26"/>
          <w:szCs w:val="26"/>
          <w:lang w:val="nl-NL"/>
        </w:rPr>
        <w:t xml:space="preserve"> còn lại của năm 2015 nhiều khả năng không có biến động lớn, kinh tế vĩ mô tiếp tục được duy trì, tăng trưởng tiếp tục hướng tới mục tiêu cả năm là 6,5% như dự báo trước đây. Lãi suất, tỷ giá có thể tiếp tục duy trì ổn định. Tuy nhiên, tốc độ tăng trưởng kinh tế các quý tiếp theo có xu hướng chậm lại một phần do kinh tế thế giới tiếp tục ảm đạm, một phần do cơ cấu kinh tế trong nước chậm được cải cách, chưa tạo được động lực mới cho tăng trưởng, trong khi đó, dư địa chính sách (tài khóa và tiền tệ) ngày càng bị thu hẹp</w:t>
      </w:r>
      <w:r w:rsidR="00D14FDF">
        <w:rPr>
          <w:i/>
          <w:sz w:val="26"/>
          <w:szCs w:val="26"/>
          <w:lang w:val="nl-NL"/>
        </w:rPr>
        <w:t xml:space="preserve">, khó có thể thực thi chính sách kích thích kinh tế. UBGSTCQG dự báo năm 2016, kinh tế Việt Nam sẽ đối mặt với nhiều thách thức và tốc độ tăng trưởng kinh tế sẽ giao động trong khoảng 6,5% - 6,7%. CPI sẽ cao hơn năm 2015 do giá cả một số mặt hàng cơ bản và dịch vụ công tiếp tục được điều chỉnh. Tuy nhiên, do giá cả trên thị trường quốc tế tiếp tục thấp và cầu trong nước chưa tăng mạnh, CPI được dự báo tiếp tục duy trì ở mức thấp, khoảng 3,5% - 4,5%, tùy thuộc vào mức độ cải cách giá hàng hóa cơ bản và dịch vụ công. </w:t>
      </w:r>
    </w:p>
    <w:p w:rsidR="00035AA5" w:rsidRPr="00035AA5" w:rsidRDefault="00D14FDF" w:rsidP="00035AA5">
      <w:pPr>
        <w:spacing w:before="120" w:after="100" w:line="288" w:lineRule="auto"/>
        <w:ind w:firstLine="709"/>
        <w:rPr>
          <w:i/>
          <w:sz w:val="26"/>
          <w:szCs w:val="26"/>
          <w:lang w:val="nl-NL"/>
        </w:rPr>
      </w:pPr>
      <w:r>
        <w:rPr>
          <w:i/>
          <w:sz w:val="26"/>
          <w:szCs w:val="26"/>
          <w:lang w:val="nl-NL"/>
        </w:rPr>
        <w:t>Trên cơ sở dự báo môi trường kinh tế 2015, UBGSTCQG kiến nghị chính sách vĩ mô những tháng cuối năm và 2016 cần tập trung ưu tiên cho hỗ trợ doanh nghiệp, thúc đẩy đầu tư, tiêu dùng trong nước.</w:t>
      </w:r>
    </w:p>
    <w:p w:rsidR="0074084A" w:rsidRPr="005C6A26" w:rsidRDefault="00556FC1" w:rsidP="00910F80">
      <w:pPr>
        <w:spacing w:before="240" w:after="100" w:line="288" w:lineRule="auto"/>
        <w:ind w:left="3261" w:firstLine="0"/>
        <w:jc w:val="right"/>
        <w:rPr>
          <w:b/>
          <w:sz w:val="26"/>
          <w:szCs w:val="26"/>
          <w:lang w:val="nl-NL"/>
        </w:rPr>
      </w:pPr>
      <w:r w:rsidRPr="005C6A26">
        <w:rPr>
          <w:b/>
          <w:sz w:val="26"/>
          <w:szCs w:val="26"/>
          <w:lang w:val="nl-NL"/>
        </w:rPr>
        <w:t>ỦY</w:t>
      </w:r>
      <w:r w:rsidR="00B50EE3" w:rsidRPr="005C6A26">
        <w:rPr>
          <w:b/>
          <w:sz w:val="26"/>
          <w:szCs w:val="26"/>
          <w:lang w:val="nl-NL"/>
        </w:rPr>
        <w:t xml:space="preserve"> BAN GIÁM SÁT TÀI </w:t>
      </w:r>
      <w:r w:rsidR="00F727DF" w:rsidRPr="005C6A26">
        <w:rPr>
          <w:b/>
          <w:sz w:val="26"/>
          <w:szCs w:val="26"/>
          <w:lang w:val="nl-NL"/>
        </w:rPr>
        <w:t>CHÍNH QUỐC GIA</w:t>
      </w:r>
    </w:p>
    <w:sectPr w:rsidR="0074084A" w:rsidRPr="005C6A26" w:rsidSect="00736A90">
      <w:footerReference w:type="default" r:id="rId20"/>
      <w:pgSz w:w="11907" w:h="16839" w:code="9"/>
      <w:pgMar w:top="1134" w:right="1134" w:bottom="851" w:left="1418" w:header="720"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15" w:rsidRDefault="000A5215" w:rsidP="00D118DD">
      <w:pPr>
        <w:spacing w:after="0"/>
      </w:pPr>
      <w:r>
        <w:separator/>
      </w:r>
    </w:p>
  </w:endnote>
  <w:endnote w:type="continuationSeparator" w:id="0">
    <w:p w:rsidR="000A5215" w:rsidRDefault="000A5215" w:rsidP="00D11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864055"/>
      <w:docPartObj>
        <w:docPartGallery w:val="Page Numbers (Bottom of Page)"/>
        <w:docPartUnique/>
      </w:docPartObj>
    </w:sdtPr>
    <w:sdtEndPr>
      <w:rPr>
        <w:noProof/>
      </w:rPr>
    </w:sdtEndPr>
    <w:sdtContent>
      <w:p w:rsidR="00035AA5" w:rsidRDefault="00D854D7">
        <w:pPr>
          <w:pStyle w:val="Footer"/>
          <w:jc w:val="right"/>
        </w:pPr>
        <w:fldSimple w:instr=" PAGE   \* MERGEFORMAT ">
          <w:r w:rsidR="006B6BEA">
            <w:rPr>
              <w:noProof/>
            </w:rPr>
            <w:t>1</w:t>
          </w:r>
        </w:fldSimple>
      </w:p>
    </w:sdtContent>
  </w:sdt>
  <w:p w:rsidR="00035AA5" w:rsidRDefault="00035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15" w:rsidRDefault="000A5215" w:rsidP="00D118DD">
      <w:pPr>
        <w:spacing w:after="0"/>
      </w:pPr>
      <w:r>
        <w:separator/>
      </w:r>
    </w:p>
  </w:footnote>
  <w:footnote w:type="continuationSeparator" w:id="0">
    <w:p w:rsidR="000A5215" w:rsidRDefault="000A5215" w:rsidP="00D118DD">
      <w:pPr>
        <w:spacing w:after="0"/>
      </w:pPr>
      <w:r>
        <w:continuationSeparator/>
      </w:r>
    </w:p>
  </w:footnote>
  <w:footnote w:id="1">
    <w:p w:rsidR="00035AA5" w:rsidRDefault="00035AA5" w:rsidP="000D2B9E">
      <w:pPr>
        <w:pStyle w:val="FootnoteText"/>
        <w:spacing w:after="0"/>
        <w:ind w:firstLine="0"/>
      </w:pPr>
      <w:r>
        <w:rPr>
          <w:rStyle w:val="FootnoteReference"/>
        </w:rPr>
        <w:footnoteRef/>
      </w:r>
      <w:r>
        <w:t xml:space="preserve"> Nguồn: Báo cáo triển vọng kinh tế toàn cầu tháng 10/2015 của IMF.</w:t>
      </w:r>
    </w:p>
  </w:footnote>
  <w:footnote w:id="2">
    <w:p w:rsidR="00035AA5" w:rsidRDefault="00035AA5" w:rsidP="001579F5">
      <w:pPr>
        <w:pStyle w:val="FootnoteText"/>
        <w:spacing w:after="0"/>
        <w:ind w:firstLine="0"/>
      </w:pPr>
      <w:r>
        <w:rPr>
          <w:rStyle w:val="FootnoteReference"/>
        </w:rPr>
        <w:footnoteRef/>
      </w:r>
      <w:r>
        <w:t xml:space="preserve"> Nguồn: Tổ chức thương mại thế giới WTO</w:t>
      </w:r>
    </w:p>
  </w:footnote>
  <w:footnote w:id="3">
    <w:p w:rsidR="00035AA5" w:rsidRDefault="00035AA5" w:rsidP="000D2B9E">
      <w:pPr>
        <w:pStyle w:val="FootnoteText"/>
        <w:spacing w:after="0"/>
        <w:ind w:firstLine="0"/>
      </w:pPr>
      <w:r>
        <w:rPr>
          <w:rStyle w:val="FootnoteReference"/>
        </w:rPr>
        <w:footnoteRef/>
      </w:r>
      <w:r>
        <w:t xml:space="preserve"> Nguồn: B</w:t>
      </w:r>
      <w:r w:rsidRPr="000D2B9E">
        <w:t>áo cáo công bố ngày 15/10 của Bộ Tài chính Mỹ</w:t>
      </w:r>
      <w:r>
        <w:t>.</w:t>
      </w:r>
    </w:p>
  </w:footnote>
  <w:footnote w:id="4">
    <w:p w:rsidR="00035AA5" w:rsidRDefault="00035AA5" w:rsidP="007F6CC4">
      <w:pPr>
        <w:pStyle w:val="FootnoteText"/>
        <w:spacing w:after="0"/>
        <w:ind w:firstLine="0"/>
      </w:pPr>
      <w:r>
        <w:rPr>
          <w:rStyle w:val="FootnoteReference"/>
        </w:rPr>
        <w:footnoteRef/>
      </w:r>
      <w:r>
        <w:t xml:space="preserve"> Nguồn: </w:t>
      </w:r>
      <w:r w:rsidRPr="000F06A7">
        <w:t>Cơ quan thống kê châu Âu</w:t>
      </w:r>
      <w:r>
        <w:t>.</w:t>
      </w:r>
    </w:p>
  </w:footnote>
  <w:footnote w:id="5">
    <w:p w:rsidR="00035AA5" w:rsidRDefault="00035AA5" w:rsidP="00E43BC1">
      <w:pPr>
        <w:pStyle w:val="FootnoteText"/>
        <w:ind w:firstLine="0"/>
      </w:pPr>
      <w:r>
        <w:rPr>
          <w:rStyle w:val="FootnoteReference"/>
        </w:rPr>
        <w:footnoteRef/>
      </w:r>
      <w:r>
        <w:t xml:space="preserve"> Nguồn: Chính phủ Nhật Bản </w:t>
      </w:r>
    </w:p>
  </w:footnote>
  <w:footnote w:id="6">
    <w:p w:rsidR="00035AA5" w:rsidRPr="001F3DAC" w:rsidRDefault="00035AA5" w:rsidP="0028248C">
      <w:pPr>
        <w:pStyle w:val="FootnoteText"/>
        <w:spacing w:after="0"/>
        <w:ind w:firstLine="0"/>
      </w:pPr>
      <w:r>
        <w:rPr>
          <w:rStyle w:val="FootnoteReference"/>
        </w:rPr>
        <w:footnoteRef/>
      </w:r>
      <w:r w:rsidRPr="001F3DAC">
        <w:t xml:space="preserve"> </w:t>
      </w:r>
      <w:r>
        <w:t>Theo Bộ Tài chính Mỹ, dòng vốn chạy khỏi Trung Quốc 8 tháng đầu năm nay lên đến 500 tỷ USD. Riêng tháng 8, dòng tiền rút khỏi Trung Quốc đạt khoảng 200 tỷ USD khi nước này bắt đầu điều chỉnh tỷ giá với việc bất ngờ phá giá nhân dân tệ</w:t>
      </w:r>
    </w:p>
  </w:footnote>
  <w:footnote w:id="7">
    <w:p w:rsidR="00035AA5" w:rsidRDefault="00035AA5" w:rsidP="008B54E3">
      <w:pPr>
        <w:pStyle w:val="FootnoteText"/>
        <w:spacing w:after="0"/>
        <w:ind w:firstLine="0"/>
      </w:pPr>
      <w:r>
        <w:rPr>
          <w:rStyle w:val="FootnoteReference"/>
        </w:rPr>
        <w:footnoteRef/>
      </w:r>
      <w:r>
        <w:t xml:space="preserve"> Nguồn: </w:t>
      </w:r>
      <w:r w:rsidRPr="00F2519D">
        <w:t>World Bank Commodity Price Data (The Pink Sheet)</w:t>
      </w:r>
      <w:r>
        <w:t xml:space="preserve"> – Tháng 10/2015.</w:t>
      </w:r>
      <w:r>
        <w:tab/>
      </w:r>
      <w:r>
        <w:tab/>
      </w:r>
      <w:r w:rsidRPr="00F2519D">
        <w:tab/>
      </w:r>
    </w:p>
  </w:footnote>
  <w:footnote w:id="8">
    <w:p w:rsidR="00035AA5" w:rsidRDefault="00035AA5" w:rsidP="008B54E3">
      <w:pPr>
        <w:pStyle w:val="FootnoteText"/>
        <w:ind w:firstLine="0"/>
      </w:pPr>
      <w:r>
        <w:rPr>
          <w:rStyle w:val="FootnoteReference"/>
        </w:rPr>
        <w:footnoteRef/>
      </w:r>
      <w:r>
        <w:t xml:space="preserve"> Nguồn: IEA</w:t>
      </w:r>
    </w:p>
  </w:footnote>
  <w:footnote w:id="9">
    <w:p w:rsidR="00035AA5" w:rsidRDefault="00035AA5" w:rsidP="001317D1">
      <w:pPr>
        <w:pStyle w:val="FootnoteText"/>
        <w:spacing w:after="0"/>
        <w:ind w:firstLine="0"/>
      </w:pPr>
      <w:r>
        <w:rPr>
          <w:rStyle w:val="FootnoteReference"/>
        </w:rPr>
        <w:footnoteRef/>
      </w:r>
      <w:r>
        <w:t xml:space="preserve"> </w:t>
      </w:r>
      <w:r w:rsidRPr="0073590E">
        <w:rPr>
          <w:i/>
        </w:rPr>
        <w:t>Nguồn</w:t>
      </w:r>
      <w:r>
        <w:t>: World Economic Outlook Database (IMF).</w:t>
      </w:r>
    </w:p>
  </w:footnote>
  <w:footnote w:id="10">
    <w:p w:rsidR="00035AA5" w:rsidRDefault="00035AA5" w:rsidP="001317D1">
      <w:pPr>
        <w:pStyle w:val="FootnoteText"/>
        <w:spacing w:after="0"/>
        <w:ind w:firstLine="0"/>
      </w:pPr>
      <w:r>
        <w:rPr>
          <w:rStyle w:val="FootnoteReference"/>
        </w:rPr>
        <w:footnoteRef/>
      </w:r>
      <w:r>
        <w:t xml:space="preserve"> Thái Lan, Malaysia, Indonesia, Philippine và Singgapore.</w:t>
      </w:r>
    </w:p>
  </w:footnote>
  <w:footnote w:id="11">
    <w:p w:rsidR="00035AA5" w:rsidRDefault="00035AA5" w:rsidP="00A37B5B">
      <w:pPr>
        <w:pStyle w:val="FootnoteText"/>
        <w:ind w:firstLine="0"/>
      </w:pPr>
      <w:r>
        <w:rPr>
          <w:rStyle w:val="FootnoteReference"/>
        </w:rPr>
        <w:footnoteRef/>
      </w:r>
      <w:r>
        <w:t xml:space="preserve"> Tỷ lệ nhập siêu/tổng kim ngạch nhập khẩu các tháng 7, 8, 9 lần lượt là 3,7%; 3,4%; 3,2%.</w:t>
      </w:r>
    </w:p>
  </w:footnote>
  <w:footnote w:id="12">
    <w:p w:rsidR="00035AA5" w:rsidRPr="00C86FBF" w:rsidRDefault="00035AA5" w:rsidP="00184820">
      <w:pPr>
        <w:pStyle w:val="FootnoteText"/>
        <w:ind w:firstLine="0"/>
      </w:pPr>
      <w:r w:rsidRPr="00C86FBF">
        <w:rPr>
          <w:rStyle w:val="FootnoteReference"/>
        </w:rPr>
        <w:footnoteRef/>
      </w:r>
      <w:r w:rsidRPr="00C86FBF">
        <w:t xml:space="preserve"> Nếu lại trừ số thu cổ tức và lợi nhuận được chia từ DNNN thì thu từ khu vực SXKD 9 tháng đầu năm chỉ đạt mức tăng 8,7% so với mức tăng  9,4% của năm 2014.</w:t>
      </w:r>
    </w:p>
  </w:footnote>
  <w:footnote w:id="13">
    <w:p w:rsidR="00035AA5" w:rsidRPr="00A24AB7" w:rsidRDefault="00035AA5" w:rsidP="00A24AB7">
      <w:pPr>
        <w:pStyle w:val="FootnoteText"/>
        <w:spacing w:after="0"/>
        <w:ind w:firstLine="0"/>
        <w:rPr>
          <w:sz w:val="18"/>
          <w:szCs w:val="18"/>
          <w:lang w:val="pl-PL"/>
        </w:rPr>
      </w:pPr>
      <w:r w:rsidRPr="009B767A">
        <w:rPr>
          <w:rStyle w:val="FootnoteReference"/>
          <w:sz w:val="18"/>
          <w:szCs w:val="18"/>
        </w:rPr>
        <w:footnoteRef/>
      </w:r>
      <w:r w:rsidRPr="00A24AB7">
        <w:rPr>
          <w:sz w:val="18"/>
          <w:szCs w:val="18"/>
          <w:lang w:val="pl-PL"/>
        </w:rPr>
        <w:t xml:space="preserve"> </w:t>
      </w:r>
      <w:r w:rsidRPr="00A24AB7">
        <w:rPr>
          <w:lang w:val="pl-PL"/>
        </w:rPr>
        <w:t>Theo số liệu UBGSTCQG, tỷ trọng dư nợ các khoản vay ngắn hạn/tổng dư nợ đã giảm dần từ mức hơn 50% trong các năm 2011, 2012, 2013 xuống mức 49,74%  vào cuối năm 2014 và giảm còn 45,62% trong tháng 8/2015.</w:t>
      </w:r>
    </w:p>
  </w:footnote>
  <w:footnote w:id="14">
    <w:p w:rsidR="00035AA5" w:rsidRPr="00A24AB7" w:rsidRDefault="00035AA5" w:rsidP="00184820">
      <w:pPr>
        <w:pStyle w:val="FootnoteText"/>
        <w:spacing w:after="0"/>
        <w:ind w:firstLine="0"/>
        <w:rPr>
          <w:lang w:val="pl-PL"/>
        </w:rPr>
      </w:pPr>
      <w:r w:rsidRPr="00C86FBF">
        <w:rPr>
          <w:rStyle w:val="FootnoteReference"/>
        </w:rPr>
        <w:footnoteRef/>
      </w:r>
      <w:r w:rsidRPr="00A24AB7">
        <w:rPr>
          <w:lang w:val="pl-PL"/>
        </w:rPr>
        <w:t xml:space="preserve"> Khối lượng thanh toán gốc và lãi TPCP  trong 9 tháng đầu năm 2015 là 160.684 tỷ đồng.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70"/>
    <w:multiLevelType w:val="hybridMultilevel"/>
    <w:tmpl w:val="4A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05A13"/>
    <w:multiLevelType w:val="hybridMultilevel"/>
    <w:tmpl w:val="B51472A4"/>
    <w:lvl w:ilvl="0" w:tplc="5D7E394E">
      <w:numFmt w:val="bullet"/>
      <w:suff w:val="space"/>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9094777"/>
    <w:multiLevelType w:val="hybridMultilevel"/>
    <w:tmpl w:val="B916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69334B"/>
    <w:multiLevelType w:val="multilevel"/>
    <w:tmpl w:val="61BE2572"/>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8404DF"/>
    <w:multiLevelType w:val="hybridMultilevel"/>
    <w:tmpl w:val="AC9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72B85"/>
    <w:multiLevelType w:val="hybridMultilevel"/>
    <w:tmpl w:val="5AAE4BEC"/>
    <w:lvl w:ilvl="0" w:tplc="16C2825A">
      <w:start w:val="4"/>
      <w:numFmt w:val="bullet"/>
      <w:lvlText w:val="-"/>
      <w:lvlJc w:val="left"/>
      <w:pPr>
        <w:ind w:left="878" w:hanging="360"/>
      </w:pPr>
      <w:rPr>
        <w:rFonts w:ascii="Times New Roman" w:eastAsia="Times New Roman"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937348D"/>
    <w:multiLevelType w:val="hybridMultilevel"/>
    <w:tmpl w:val="1CDEE584"/>
    <w:lvl w:ilvl="0" w:tplc="D232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6DA360BB"/>
    <w:multiLevelType w:val="hybridMultilevel"/>
    <w:tmpl w:val="84BA3D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08F7A12"/>
    <w:multiLevelType w:val="hybridMultilevel"/>
    <w:tmpl w:val="CF988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94074"/>
    <w:multiLevelType w:val="hybridMultilevel"/>
    <w:tmpl w:val="B726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9"/>
  </w:num>
  <w:num w:numId="2">
    <w:abstractNumId w:val="2"/>
  </w:num>
  <w:num w:numId="3">
    <w:abstractNumId w:val="12"/>
  </w:num>
  <w:num w:numId="4">
    <w:abstractNumId w:val="14"/>
  </w:num>
  <w:num w:numId="5">
    <w:abstractNumId w:val="1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7"/>
  </w:num>
  <w:num w:numId="11">
    <w:abstractNumId w:val="20"/>
  </w:num>
  <w:num w:numId="12">
    <w:abstractNumId w:val="13"/>
  </w:num>
  <w:num w:numId="13">
    <w:abstractNumId w:val="17"/>
  </w:num>
  <w:num w:numId="14">
    <w:abstractNumId w:val="15"/>
  </w:num>
  <w:num w:numId="15">
    <w:abstractNumId w:val="10"/>
  </w:num>
  <w:num w:numId="16">
    <w:abstractNumId w:val="6"/>
  </w:num>
  <w:num w:numId="17">
    <w:abstractNumId w:val="18"/>
  </w:num>
  <w:num w:numId="18">
    <w:abstractNumId w:val="0"/>
  </w:num>
  <w:num w:numId="19">
    <w:abstractNumId w:val="5"/>
  </w:num>
  <w:num w:numId="20">
    <w:abstractNumId w:val="4"/>
  </w:num>
  <w:num w:numId="21">
    <w:abstractNumId w:val="11"/>
  </w:num>
  <w:num w:numId="22">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3568A8"/>
    <w:rsid w:val="0000033C"/>
    <w:rsid w:val="00001412"/>
    <w:rsid w:val="00002F77"/>
    <w:rsid w:val="000046D3"/>
    <w:rsid w:val="00005E87"/>
    <w:rsid w:val="00007C23"/>
    <w:rsid w:val="000110F5"/>
    <w:rsid w:val="00021644"/>
    <w:rsid w:val="000224EE"/>
    <w:rsid w:val="000249A6"/>
    <w:rsid w:val="0002600D"/>
    <w:rsid w:val="00032512"/>
    <w:rsid w:val="00033F45"/>
    <w:rsid w:val="00035AA5"/>
    <w:rsid w:val="00037E92"/>
    <w:rsid w:val="00052186"/>
    <w:rsid w:val="000538CB"/>
    <w:rsid w:val="000548E2"/>
    <w:rsid w:val="0005492F"/>
    <w:rsid w:val="00056602"/>
    <w:rsid w:val="00062ABC"/>
    <w:rsid w:val="00063004"/>
    <w:rsid w:val="00065C96"/>
    <w:rsid w:val="0006628C"/>
    <w:rsid w:val="000678C1"/>
    <w:rsid w:val="000736C6"/>
    <w:rsid w:val="00084A2C"/>
    <w:rsid w:val="00086600"/>
    <w:rsid w:val="000869A0"/>
    <w:rsid w:val="00090AB5"/>
    <w:rsid w:val="000925E8"/>
    <w:rsid w:val="00094B26"/>
    <w:rsid w:val="00094FF4"/>
    <w:rsid w:val="000A128B"/>
    <w:rsid w:val="000A14B5"/>
    <w:rsid w:val="000A1E64"/>
    <w:rsid w:val="000A28B1"/>
    <w:rsid w:val="000A3176"/>
    <w:rsid w:val="000A5215"/>
    <w:rsid w:val="000B04BB"/>
    <w:rsid w:val="000B1CE1"/>
    <w:rsid w:val="000B2C62"/>
    <w:rsid w:val="000B4126"/>
    <w:rsid w:val="000B7767"/>
    <w:rsid w:val="000C0801"/>
    <w:rsid w:val="000C1A39"/>
    <w:rsid w:val="000C42F1"/>
    <w:rsid w:val="000C4973"/>
    <w:rsid w:val="000D25AC"/>
    <w:rsid w:val="000D2B9E"/>
    <w:rsid w:val="000D30BA"/>
    <w:rsid w:val="000E07D8"/>
    <w:rsid w:val="000E5231"/>
    <w:rsid w:val="000E5F9F"/>
    <w:rsid w:val="000F05F6"/>
    <w:rsid w:val="000F06A7"/>
    <w:rsid w:val="000F410A"/>
    <w:rsid w:val="000F60E5"/>
    <w:rsid w:val="000F72F5"/>
    <w:rsid w:val="00101003"/>
    <w:rsid w:val="0010140C"/>
    <w:rsid w:val="00101CF5"/>
    <w:rsid w:val="001054A8"/>
    <w:rsid w:val="00106FC0"/>
    <w:rsid w:val="00110E5A"/>
    <w:rsid w:val="00111984"/>
    <w:rsid w:val="00111DDC"/>
    <w:rsid w:val="0011247E"/>
    <w:rsid w:val="001147E5"/>
    <w:rsid w:val="00115FBB"/>
    <w:rsid w:val="001252E6"/>
    <w:rsid w:val="001259AF"/>
    <w:rsid w:val="001265AA"/>
    <w:rsid w:val="001276F4"/>
    <w:rsid w:val="001317D1"/>
    <w:rsid w:val="00134926"/>
    <w:rsid w:val="00141D44"/>
    <w:rsid w:val="0014213A"/>
    <w:rsid w:val="001462B2"/>
    <w:rsid w:val="00146641"/>
    <w:rsid w:val="0014761C"/>
    <w:rsid w:val="00153B23"/>
    <w:rsid w:val="001579F5"/>
    <w:rsid w:val="001614CB"/>
    <w:rsid w:val="001649AF"/>
    <w:rsid w:val="00171CC5"/>
    <w:rsid w:val="001731AA"/>
    <w:rsid w:val="00173BB2"/>
    <w:rsid w:val="00173D20"/>
    <w:rsid w:val="00175957"/>
    <w:rsid w:val="00176441"/>
    <w:rsid w:val="00177A78"/>
    <w:rsid w:val="0018161F"/>
    <w:rsid w:val="001845CB"/>
    <w:rsid w:val="00184820"/>
    <w:rsid w:val="00190977"/>
    <w:rsid w:val="0019231B"/>
    <w:rsid w:val="00192970"/>
    <w:rsid w:val="00193CBE"/>
    <w:rsid w:val="001979A1"/>
    <w:rsid w:val="001A0C18"/>
    <w:rsid w:val="001A6068"/>
    <w:rsid w:val="001A76D3"/>
    <w:rsid w:val="001B1A80"/>
    <w:rsid w:val="001B28A5"/>
    <w:rsid w:val="001B7E3F"/>
    <w:rsid w:val="001C6854"/>
    <w:rsid w:val="001C72BD"/>
    <w:rsid w:val="001D0788"/>
    <w:rsid w:val="001D18CD"/>
    <w:rsid w:val="001D2545"/>
    <w:rsid w:val="001D3061"/>
    <w:rsid w:val="001E0EA6"/>
    <w:rsid w:val="001E16D6"/>
    <w:rsid w:val="001E2BF7"/>
    <w:rsid w:val="001E3DAE"/>
    <w:rsid w:val="001E71E4"/>
    <w:rsid w:val="001F0601"/>
    <w:rsid w:val="001F3DAC"/>
    <w:rsid w:val="001F5975"/>
    <w:rsid w:val="001F5D90"/>
    <w:rsid w:val="001F61B2"/>
    <w:rsid w:val="00201875"/>
    <w:rsid w:val="00204B48"/>
    <w:rsid w:val="00204E3E"/>
    <w:rsid w:val="00213CFA"/>
    <w:rsid w:val="00214077"/>
    <w:rsid w:val="002259C1"/>
    <w:rsid w:val="00225D35"/>
    <w:rsid w:val="00226419"/>
    <w:rsid w:val="00231056"/>
    <w:rsid w:val="00231175"/>
    <w:rsid w:val="002337D5"/>
    <w:rsid w:val="002341B2"/>
    <w:rsid w:val="00236A55"/>
    <w:rsid w:val="00237E19"/>
    <w:rsid w:val="00241E0A"/>
    <w:rsid w:val="00242345"/>
    <w:rsid w:val="002428CA"/>
    <w:rsid w:val="002430E3"/>
    <w:rsid w:val="00247882"/>
    <w:rsid w:val="0025372E"/>
    <w:rsid w:val="002564C5"/>
    <w:rsid w:val="0026087C"/>
    <w:rsid w:val="002613A6"/>
    <w:rsid w:val="00261D75"/>
    <w:rsid w:val="002733EC"/>
    <w:rsid w:val="002735A9"/>
    <w:rsid w:val="00275768"/>
    <w:rsid w:val="00276122"/>
    <w:rsid w:val="00282397"/>
    <w:rsid w:val="0028248C"/>
    <w:rsid w:val="00284FAE"/>
    <w:rsid w:val="00285CD5"/>
    <w:rsid w:val="00285EE2"/>
    <w:rsid w:val="00286BD3"/>
    <w:rsid w:val="00287750"/>
    <w:rsid w:val="00290FEB"/>
    <w:rsid w:val="00291563"/>
    <w:rsid w:val="002955C3"/>
    <w:rsid w:val="002970CD"/>
    <w:rsid w:val="002A476C"/>
    <w:rsid w:val="002B08DB"/>
    <w:rsid w:val="002B797F"/>
    <w:rsid w:val="002C4D15"/>
    <w:rsid w:val="002C536B"/>
    <w:rsid w:val="002C63CA"/>
    <w:rsid w:val="002D367E"/>
    <w:rsid w:val="002D4218"/>
    <w:rsid w:val="002D5A89"/>
    <w:rsid w:val="002E0C42"/>
    <w:rsid w:val="002E1377"/>
    <w:rsid w:val="002E4615"/>
    <w:rsid w:val="002E73FE"/>
    <w:rsid w:val="002F2A1A"/>
    <w:rsid w:val="002F35C7"/>
    <w:rsid w:val="0030243F"/>
    <w:rsid w:val="00303A5A"/>
    <w:rsid w:val="00304D2C"/>
    <w:rsid w:val="00305819"/>
    <w:rsid w:val="003059FB"/>
    <w:rsid w:val="00307583"/>
    <w:rsid w:val="00310281"/>
    <w:rsid w:val="00312C9C"/>
    <w:rsid w:val="00314962"/>
    <w:rsid w:val="00317B09"/>
    <w:rsid w:val="0032464F"/>
    <w:rsid w:val="00325466"/>
    <w:rsid w:val="003266B2"/>
    <w:rsid w:val="00326CE4"/>
    <w:rsid w:val="00336F0A"/>
    <w:rsid w:val="003415F7"/>
    <w:rsid w:val="00342980"/>
    <w:rsid w:val="00343B4B"/>
    <w:rsid w:val="00346F4E"/>
    <w:rsid w:val="00350EEB"/>
    <w:rsid w:val="003568A8"/>
    <w:rsid w:val="00360B7B"/>
    <w:rsid w:val="003619A8"/>
    <w:rsid w:val="00366846"/>
    <w:rsid w:val="00366AB3"/>
    <w:rsid w:val="0038143F"/>
    <w:rsid w:val="00381651"/>
    <w:rsid w:val="00386E01"/>
    <w:rsid w:val="00390388"/>
    <w:rsid w:val="00391B29"/>
    <w:rsid w:val="00392E13"/>
    <w:rsid w:val="003A0BC1"/>
    <w:rsid w:val="003A215B"/>
    <w:rsid w:val="003A420F"/>
    <w:rsid w:val="003A4632"/>
    <w:rsid w:val="003B048A"/>
    <w:rsid w:val="003B0C2A"/>
    <w:rsid w:val="003B3BFE"/>
    <w:rsid w:val="003B6BA9"/>
    <w:rsid w:val="003B7C4C"/>
    <w:rsid w:val="003C12DF"/>
    <w:rsid w:val="003C1625"/>
    <w:rsid w:val="003C51A1"/>
    <w:rsid w:val="003D11A8"/>
    <w:rsid w:val="003D1B2E"/>
    <w:rsid w:val="003D5437"/>
    <w:rsid w:val="003E3BFB"/>
    <w:rsid w:val="003E3D0D"/>
    <w:rsid w:val="003E49CF"/>
    <w:rsid w:val="003F21EA"/>
    <w:rsid w:val="003F71B7"/>
    <w:rsid w:val="003F7929"/>
    <w:rsid w:val="0040109F"/>
    <w:rsid w:val="004016E4"/>
    <w:rsid w:val="00404E08"/>
    <w:rsid w:val="004141B8"/>
    <w:rsid w:val="00416374"/>
    <w:rsid w:val="00417C2F"/>
    <w:rsid w:val="0042069B"/>
    <w:rsid w:val="00421929"/>
    <w:rsid w:val="00421A94"/>
    <w:rsid w:val="004319BD"/>
    <w:rsid w:val="00431E26"/>
    <w:rsid w:val="0043252D"/>
    <w:rsid w:val="004349B4"/>
    <w:rsid w:val="0043558E"/>
    <w:rsid w:val="004356F1"/>
    <w:rsid w:val="00436415"/>
    <w:rsid w:val="00447347"/>
    <w:rsid w:val="00450424"/>
    <w:rsid w:val="004519A0"/>
    <w:rsid w:val="00452C74"/>
    <w:rsid w:val="00454ADF"/>
    <w:rsid w:val="004555DB"/>
    <w:rsid w:val="00455E76"/>
    <w:rsid w:val="00464F00"/>
    <w:rsid w:val="004657E1"/>
    <w:rsid w:val="00465DEA"/>
    <w:rsid w:val="0046639B"/>
    <w:rsid w:val="00481069"/>
    <w:rsid w:val="00491047"/>
    <w:rsid w:val="00491FA3"/>
    <w:rsid w:val="004949A7"/>
    <w:rsid w:val="00495AC7"/>
    <w:rsid w:val="00497550"/>
    <w:rsid w:val="004A0B82"/>
    <w:rsid w:val="004A100C"/>
    <w:rsid w:val="004A1EAF"/>
    <w:rsid w:val="004A3C3F"/>
    <w:rsid w:val="004A4006"/>
    <w:rsid w:val="004A7B00"/>
    <w:rsid w:val="004B3623"/>
    <w:rsid w:val="004B5889"/>
    <w:rsid w:val="004C5E33"/>
    <w:rsid w:val="004D40F8"/>
    <w:rsid w:val="004D73AA"/>
    <w:rsid w:val="004D7A81"/>
    <w:rsid w:val="004E3275"/>
    <w:rsid w:val="004E42C0"/>
    <w:rsid w:val="004E4EAD"/>
    <w:rsid w:val="004F56DE"/>
    <w:rsid w:val="004F6476"/>
    <w:rsid w:val="004F6D6C"/>
    <w:rsid w:val="00500AB3"/>
    <w:rsid w:val="005042F7"/>
    <w:rsid w:val="00505DE0"/>
    <w:rsid w:val="00507A44"/>
    <w:rsid w:val="0051012B"/>
    <w:rsid w:val="005113BB"/>
    <w:rsid w:val="00511E00"/>
    <w:rsid w:val="00512F47"/>
    <w:rsid w:val="00524517"/>
    <w:rsid w:val="0052616E"/>
    <w:rsid w:val="00530746"/>
    <w:rsid w:val="00532AF5"/>
    <w:rsid w:val="00532B73"/>
    <w:rsid w:val="00533D6C"/>
    <w:rsid w:val="00537637"/>
    <w:rsid w:val="00542C8A"/>
    <w:rsid w:val="00543B2C"/>
    <w:rsid w:val="00547EF8"/>
    <w:rsid w:val="00550560"/>
    <w:rsid w:val="00552931"/>
    <w:rsid w:val="0055433C"/>
    <w:rsid w:val="00554DF9"/>
    <w:rsid w:val="00556FC1"/>
    <w:rsid w:val="00560B0C"/>
    <w:rsid w:val="005620E8"/>
    <w:rsid w:val="00562652"/>
    <w:rsid w:val="005647F4"/>
    <w:rsid w:val="00572A98"/>
    <w:rsid w:val="0057396C"/>
    <w:rsid w:val="005753C5"/>
    <w:rsid w:val="00581714"/>
    <w:rsid w:val="005865D6"/>
    <w:rsid w:val="00590491"/>
    <w:rsid w:val="0059186F"/>
    <w:rsid w:val="005918CA"/>
    <w:rsid w:val="00591BE2"/>
    <w:rsid w:val="005926AC"/>
    <w:rsid w:val="00592B70"/>
    <w:rsid w:val="00594113"/>
    <w:rsid w:val="00596219"/>
    <w:rsid w:val="005A3DE1"/>
    <w:rsid w:val="005A7274"/>
    <w:rsid w:val="005B0169"/>
    <w:rsid w:val="005B0398"/>
    <w:rsid w:val="005B1C4C"/>
    <w:rsid w:val="005B21D6"/>
    <w:rsid w:val="005B242A"/>
    <w:rsid w:val="005B2719"/>
    <w:rsid w:val="005C1694"/>
    <w:rsid w:val="005C1C7F"/>
    <w:rsid w:val="005C4A93"/>
    <w:rsid w:val="005C50B2"/>
    <w:rsid w:val="005C530B"/>
    <w:rsid w:val="005C56CD"/>
    <w:rsid w:val="005C6828"/>
    <w:rsid w:val="005C6A26"/>
    <w:rsid w:val="005C7947"/>
    <w:rsid w:val="005C7EEB"/>
    <w:rsid w:val="005D10AD"/>
    <w:rsid w:val="005D123A"/>
    <w:rsid w:val="005D47FB"/>
    <w:rsid w:val="005D571F"/>
    <w:rsid w:val="005D5A84"/>
    <w:rsid w:val="005D67D9"/>
    <w:rsid w:val="005E4E00"/>
    <w:rsid w:val="005E56D3"/>
    <w:rsid w:val="005E6FDC"/>
    <w:rsid w:val="005F2AC9"/>
    <w:rsid w:val="00604F4F"/>
    <w:rsid w:val="00604F9C"/>
    <w:rsid w:val="006100DD"/>
    <w:rsid w:val="006108F7"/>
    <w:rsid w:val="006120CC"/>
    <w:rsid w:val="00612AF4"/>
    <w:rsid w:val="00615B56"/>
    <w:rsid w:val="00616A66"/>
    <w:rsid w:val="00617378"/>
    <w:rsid w:val="0062075C"/>
    <w:rsid w:val="00625148"/>
    <w:rsid w:val="00630C1B"/>
    <w:rsid w:val="00630C4B"/>
    <w:rsid w:val="00634C49"/>
    <w:rsid w:val="00637453"/>
    <w:rsid w:val="006411E8"/>
    <w:rsid w:val="0064120E"/>
    <w:rsid w:val="00641965"/>
    <w:rsid w:val="00642D78"/>
    <w:rsid w:val="006456EA"/>
    <w:rsid w:val="00645E58"/>
    <w:rsid w:val="00647263"/>
    <w:rsid w:val="006479BD"/>
    <w:rsid w:val="006539E4"/>
    <w:rsid w:val="00653A12"/>
    <w:rsid w:val="006565D2"/>
    <w:rsid w:val="00661EC7"/>
    <w:rsid w:val="00662787"/>
    <w:rsid w:val="00662F6A"/>
    <w:rsid w:val="0066529C"/>
    <w:rsid w:val="0066567D"/>
    <w:rsid w:val="00670C85"/>
    <w:rsid w:val="0067429C"/>
    <w:rsid w:val="00682A9B"/>
    <w:rsid w:val="00684B1A"/>
    <w:rsid w:val="00684F8C"/>
    <w:rsid w:val="00685EEA"/>
    <w:rsid w:val="006A191D"/>
    <w:rsid w:val="006A2CF1"/>
    <w:rsid w:val="006B2EA7"/>
    <w:rsid w:val="006B4D53"/>
    <w:rsid w:val="006B68F5"/>
    <w:rsid w:val="006B6AB1"/>
    <w:rsid w:val="006B6BEA"/>
    <w:rsid w:val="006B7CA7"/>
    <w:rsid w:val="006C166B"/>
    <w:rsid w:val="006C2EA6"/>
    <w:rsid w:val="006C415E"/>
    <w:rsid w:val="006C47F8"/>
    <w:rsid w:val="006C4F21"/>
    <w:rsid w:val="006C4F50"/>
    <w:rsid w:val="006C6556"/>
    <w:rsid w:val="006D2212"/>
    <w:rsid w:val="006D35E9"/>
    <w:rsid w:val="006D4AF0"/>
    <w:rsid w:val="006E6B83"/>
    <w:rsid w:val="006E7B0E"/>
    <w:rsid w:val="006F35D0"/>
    <w:rsid w:val="006F35F8"/>
    <w:rsid w:val="006F3E40"/>
    <w:rsid w:val="006F56BA"/>
    <w:rsid w:val="006F6D85"/>
    <w:rsid w:val="00702735"/>
    <w:rsid w:val="00705A43"/>
    <w:rsid w:val="00706DDE"/>
    <w:rsid w:val="00707816"/>
    <w:rsid w:val="00710010"/>
    <w:rsid w:val="00710E74"/>
    <w:rsid w:val="007131D0"/>
    <w:rsid w:val="00713B57"/>
    <w:rsid w:val="00716B58"/>
    <w:rsid w:val="0072035D"/>
    <w:rsid w:val="00720AD1"/>
    <w:rsid w:val="00720CCB"/>
    <w:rsid w:val="0072135E"/>
    <w:rsid w:val="00722665"/>
    <w:rsid w:val="00723C3D"/>
    <w:rsid w:val="00736A90"/>
    <w:rsid w:val="00737E19"/>
    <w:rsid w:val="0074084A"/>
    <w:rsid w:val="00742B2D"/>
    <w:rsid w:val="00743371"/>
    <w:rsid w:val="00745B1B"/>
    <w:rsid w:val="00750E5B"/>
    <w:rsid w:val="00751D89"/>
    <w:rsid w:val="00752F21"/>
    <w:rsid w:val="007530BC"/>
    <w:rsid w:val="00754E36"/>
    <w:rsid w:val="00760482"/>
    <w:rsid w:val="007640B0"/>
    <w:rsid w:val="00770D3B"/>
    <w:rsid w:val="00774D4C"/>
    <w:rsid w:val="00775BA5"/>
    <w:rsid w:val="00783FCC"/>
    <w:rsid w:val="00786882"/>
    <w:rsid w:val="00792839"/>
    <w:rsid w:val="00792A3D"/>
    <w:rsid w:val="00793C8A"/>
    <w:rsid w:val="00796EE2"/>
    <w:rsid w:val="007A24F0"/>
    <w:rsid w:val="007A4BA0"/>
    <w:rsid w:val="007B121F"/>
    <w:rsid w:val="007B2C63"/>
    <w:rsid w:val="007B2EA0"/>
    <w:rsid w:val="007B550E"/>
    <w:rsid w:val="007C52FC"/>
    <w:rsid w:val="007C63A4"/>
    <w:rsid w:val="007C755A"/>
    <w:rsid w:val="007C7664"/>
    <w:rsid w:val="007C7CA8"/>
    <w:rsid w:val="007D3722"/>
    <w:rsid w:val="007D4069"/>
    <w:rsid w:val="007E047E"/>
    <w:rsid w:val="007E14EE"/>
    <w:rsid w:val="007E31A1"/>
    <w:rsid w:val="007E3795"/>
    <w:rsid w:val="007E3935"/>
    <w:rsid w:val="007E4093"/>
    <w:rsid w:val="007E7CCE"/>
    <w:rsid w:val="007F07D1"/>
    <w:rsid w:val="007F6CC4"/>
    <w:rsid w:val="007F7D7A"/>
    <w:rsid w:val="0080027F"/>
    <w:rsid w:val="00806F06"/>
    <w:rsid w:val="00810830"/>
    <w:rsid w:val="00811D4F"/>
    <w:rsid w:val="00811FAE"/>
    <w:rsid w:val="00813978"/>
    <w:rsid w:val="00814192"/>
    <w:rsid w:val="00816276"/>
    <w:rsid w:val="008172FB"/>
    <w:rsid w:val="008201DB"/>
    <w:rsid w:val="00820B53"/>
    <w:rsid w:val="00821384"/>
    <w:rsid w:val="00823999"/>
    <w:rsid w:val="008273E9"/>
    <w:rsid w:val="0082770E"/>
    <w:rsid w:val="008318ED"/>
    <w:rsid w:val="00833DEB"/>
    <w:rsid w:val="00836F43"/>
    <w:rsid w:val="00845DC8"/>
    <w:rsid w:val="00846819"/>
    <w:rsid w:val="00850545"/>
    <w:rsid w:val="0085275E"/>
    <w:rsid w:val="00861088"/>
    <w:rsid w:val="00862A96"/>
    <w:rsid w:val="00866DCD"/>
    <w:rsid w:val="00870B87"/>
    <w:rsid w:val="00876F2F"/>
    <w:rsid w:val="00877FB0"/>
    <w:rsid w:val="0088188B"/>
    <w:rsid w:val="00885F02"/>
    <w:rsid w:val="008862B9"/>
    <w:rsid w:val="00886CB2"/>
    <w:rsid w:val="00892F51"/>
    <w:rsid w:val="0089304A"/>
    <w:rsid w:val="00894153"/>
    <w:rsid w:val="008A1E4C"/>
    <w:rsid w:val="008A30C5"/>
    <w:rsid w:val="008A6C90"/>
    <w:rsid w:val="008B10C1"/>
    <w:rsid w:val="008B20A5"/>
    <w:rsid w:val="008B4C95"/>
    <w:rsid w:val="008B54E3"/>
    <w:rsid w:val="008B5F76"/>
    <w:rsid w:val="008B6B85"/>
    <w:rsid w:val="008C4B1A"/>
    <w:rsid w:val="008C5BC0"/>
    <w:rsid w:val="008C7433"/>
    <w:rsid w:val="008D086D"/>
    <w:rsid w:val="008D0F13"/>
    <w:rsid w:val="008D1489"/>
    <w:rsid w:val="008D2284"/>
    <w:rsid w:val="008D56AC"/>
    <w:rsid w:val="008D6984"/>
    <w:rsid w:val="008D6DCB"/>
    <w:rsid w:val="008E3164"/>
    <w:rsid w:val="008E774C"/>
    <w:rsid w:val="008F1E6A"/>
    <w:rsid w:val="008F337E"/>
    <w:rsid w:val="008F3E64"/>
    <w:rsid w:val="00900767"/>
    <w:rsid w:val="009029FC"/>
    <w:rsid w:val="0090443D"/>
    <w:rsid w:val="00904C44"/>
    <w:rsid w:val="00905577"/>
    <w:rsid w:val="00910F80"/>
    <w:rsid w:val="009127EF"/>
    <w:rsid w:val="00913690"/>
    <w:rsid w:val="0091407F"/>
    <w:rsid w:val="009170C0"/>
    <w:rsid w:val="00917430"/>
    <w:rsid w:val="00920135"/>
    <w:rsid w:val="00923576"/>
    <w:rsid w:val="00933260"/>
    <w:rsid w:val="00933EDB"/>
    <w:rsid w:val="009352D0"/>
    <w:rsid w:val="00936142"/>
    <w:rsid w:val="009405A7"/>
    <w:rsid w:val="00945733"/>
    <w:rsid w:val="009461E3"/>
    <w:rsid w:val="00946906"/>
    <w:rsid w:val="00953D43"/>
    <w:rsid w:val="00955EA2"/>
    <w:rsid w:val="0095610C"/>
    <w:rsid w:val="00960AC8"/>
    <w:rsid w:val="00960C6C"/>
    <w:rsid w:val="009625BF"/>
    <w:rsid w:val="00962E9C"/>
    <w:rsid w:val="00964561"/>
    <w:rsid w:val="009704C1"/>
    <w:rsid w:val="009707FF"/>
    <w:rsid w:val="009727F9"/>
    <w:rsid w:val="009760AD"/>
    <w:rsid w:val="009848CF"/>
    <w:rsid w:val="00985217"/>
    <w:rsid w:val="00990A41"/>
    <w:rsid w:val="009923F0"/>
    <w:rsid w:val="00996B22"/>
    <w:rsid w:val="00997047"/>
    <w:rsid w:val="009975BF"/>
    <w:rsid w:val="009A0C76"/>
    <w:rsid w:val="009A0FEE"/>
    <w:rsid w:val="009A12AC"/>
    <w:rsid w:val="009A2504"/>
    <w:rsid w:val="009A3CF3"/>
    <w:rsid w:val="009A4793"/>
    <w:rsid w:val="009A6EAE"/>
    <w:rsid w:val="009A7565"/>
    <w:rsid w:val="009B012C"/>
    <w:rsid w:val="009B0305"/>
    <w:rsid w:val="009B572C"/>
    <w:rsid w:val="009C1F28"/>
    <w:rsid w:val="009C4274"/>
    <w:rsid w:val="009D4AB4"/>
    <w:rsid w:val="009D6692"/>
    <w:rsid w:val="009D6CD9"/>
    <w:rsid w:val="009D6E43"/>
    <w:rsid w:val="009E6777"/>
    <w:rsid w:val="009F56E0"/>
    <w:rsid w:val="009F59E0"/>
    <w:rsid w:val="009F6E6D"/>
    <w:rsid w:val="009F7122"/>
    <w:rsid w:val="00A00C49"/>
    <w:rsid w:val="00A013F0"/>
    <w:rsid w:val="00A02F3B"/>
    <w:rsid w:val="00A0381C"/>
    <w:rsid w:val="00A04333"/>
    <w:rsid w:val="00A04389"/>
    <w:rsid w:val="00A07BEC"/>
    <w:rsid w:val="00A1061A"/>
    <w:rsid w:val="00A12166"/>
    <w:rsid w:val="00A128BA"/>
    <w:rsid w:val="00A15929"/>
    <w:rsid w:val="00A1598F"/>
    <w:rsid w:val="00A16B42"/>
    <w:rsid w:val="00A2483A"/>
    <w:rsid w:val="00A24AB7"/>
    <w:rsid w:val="00A25D18"/>
    <w:rsid w:val="00A25FDC"/>
    <w:rsid w:val="00A30D68"/>
    <w:rsid w:val="00A30DBC"/>
    <w:rsid w:val="00A314F5"/>
    <w:rsid w:val="00A3540F"/>
    <w:rsid w:val="00A35F94"/>
    <w:rsid w:val="00A37B5B"/>
    <w:rsid w:val="00A453F5"/>
    <w:rsid w:val="00A464C2"/>
    <w:rsid w:val="00A46CEF"/>
    <w:rsid w:val="00A51B7F"/>
    <w:rsid w:val="00A5351E"/>
    <w:rsid w:val="00A6138C"/>
    <w:rsid w:val="00A62B95"/>
    <w:rsid w:val="00A671B0"/>
    <w:rsid w:val="00A714F4"/>
    <w:rsid w:val="00A71CBE"/>
    <w:rsid w:val="00A74724"/>
    <w:rsid w:val="00A76E15"/>
    <w:rsid w:val="00A7751D"/>
    <w:rsid w:val="00A82727"/>
    <w:rsid w:val="00A827C6"/>
    <w:rsid w:val="00A841F9"/>
    <w:rsid w:val="00A84262"/>
    <w:rsid w:val="00A879D7"/>
    <w:rsid w:val="00A9184D"/>
    <w:rsid w:val="00AA0318"/>
    <w:rsid w:val="00AA26F1"/>
    <w:rsid w:val="00AA30CA"/>
    <w:rsid w:val="00AA412D"/>
    <w:rsid w:val="00AA596B"/>
    <w:rsid w:val="00AA6BC8"/>
    <w:rsid w:val="00AB07DE"/>
    <w:rsid w:val="00AB1B77"/>
    <w:rsid w:val="00AC0E9F"/>
    <w:rsid w:val="00AC6A63"/>
    <w:rsid w:val="00AC701B"/>
    <w:rsid w:val="00AC7D66"/>
    <w:rsid w:val="00AD00E3"/>
    <w:rsid w:val="00AD48D7"/>
    <w:rsid w:val="00AD5855"/>
    <w:rsid w:val="00AD79E4"/>
    <w:rsid w:val="00AE1534"/>
    <w:rsid w:val="00AE2E1C"/>
    <w:rsid w:val="00AE3677"/>
    <w:rsid w:val="00AE3DF9"/>
    <w:rsid w:val="00AE4F5D"/>
    <w:rsid w:val="00AE5886"/>
    <w:rsid w:val="00AE7BCD"/>
    <w:rsid w:val="00AF0623"/>
    <w:rsid w:val="00AF0BE5"/>
    <w:rsid w:val="00AF0F20"/>
    <w:rsid w:val="00AF6489"/>
    <w:rsid w:val="00AF7D32"/>
    <w:rsid w:val="00B005FB"/>
    <w:rsid w:val="00B022F1"/>
    <w:rsid w:val="00B0278F"/>
    <w:rsid w:val="00B05FD9"/>
    <w:rsid w:val="00B06B37"/>
    <w:rsid w:val="00B12873"/>
    <w:rsid w:val="00B1789B"/>
    <w:rsid w:val="00B215CA"/>
    <w:rsid w:val="00B25085"/>
    <w:rsid w:val="00B2659E"/>
    <w:rsid w:val="00B277BD"/>
    <w:rsid w:val="00B305C1"/>
    <w:rsid w:val="00B315D9"/>
    <w:rsid w:val="00B342F0"/>
    <w:rsid w:val="00B35FF2"/>
    <w:rsid w:val="00B36BA4"/>
    <w:rsid w:val="00B37508"/>
    <w:rsid w:val="00B4520D"/>
    <w:rsid w:val="00B47E0A"/>
    <w:rsid w:val="00B50972"/>
    <w:rsid w:val="00B50EE3"/>
    <w:rsid w:val="00B53B62"/>
    <w:rsid w:val="00B53DD2"/>
    <w:rsid w:val="00B54C22"/>
    <w:rsid w:val="00B57A40"/>
    <w:rsid w:val="00B6187B"/>
    <w:rsid w:val="00B6242F"/>
    <w:rsid w:val="00B65862"/>
    <w:rsid w:val="00B677D0"/>
    <w:rsid w:val="00B67CC4"/>
    <w:rsid w:val="00B71E8D"/>
    <w:rsid w:val="00B7299C"/>
    <w:rsid w:val="00B72EBA"/>
    <w:rsid w:val="00B741F3"/>
    <w:rsid w:val="00B75CA7"/>
    <w:rsid w:val="00B8515D"/>
    <w:rsid w:val="00B85897"/>
    <w:rsid w:val="00B86979"/>
    <w:rsid w:val="00B86C5E"/>
    <w:rsid w:val="00B91263"/>
    <w:rsid w:val="00B914D7"/>
    <w:rsid w:val="00B954BA"/>
    <w:rsid w:val="00B964B8"/>
    <w:rsid w:val="00BA00BD"/>
    <w:rsid w:val="00BA08B0"/>
    <w:rsid w:val="00BA1073"/>
    <w:rsid w:val="00BA2285"/>
    <w:rsid w:val="00BA4C72"/>
    <w:rsid w:val="00BB5D32"/>
    <w:rsid w:val="00BC60F0"/>
    <w:rsid w:val="00BC6AA2"/>
    <w:rsid w:val="00BC7595"/>
    <w:rsid w:val="00BD16D3"/>
    <w:rsid w:val="00BD3C9A"/>
    <w:rsid w:val="00BD503E"/>
    <w:rsid w:val="00BE495E"/>
    <w:rsid w:val="00BE6922"/>
    <w:rsid w:val="00BE6B86"/>
    <w:rsid w:val="00BF0FC6"/>
    <w:rsid w:val="00BF2203"/>
    <w:rsid w:val="00BF230D"/>
    <w:rsid w:val="00BF2AA7"/>
    <w:rsid w:val="00BF41BA"/>
    <w:rsid w:val="00BF65AB"/>
    <w:rsid w:val="00BF7E5A"/>
    <w:rsid w:val="00C07326"/>
    <w:rsid w:val="00C07E5F"/>
    <w:rsid w:val="00C14B7F"/>
    <w:rsid w:val="00C15C6D"/>
    <w:rsid w:val="00C16501"/>
    <w:rsid w:val="00C16D71"/>
    <w:rsid w:val="00C17233"/>
    <w:rsid w:val="00C176B6"/>
    <w:rsid w:val="00C2006C"/>
    <w:rsid w:val="00C20886"/>
    <w:rsid w:val="00C27741"/>
    <w:rsid w:val="00C27DF9"/>
    <w:rsid w:val="00C309ED"/>
    <w:rsid w:val="00C31673"/>
    <w:rsid w:val="00C33503"/>
    <w:rsid w:val="00C346CD"/>
    <w:rsid w:val="00C35DBA"/>
    <w:rsid w:val="00C36467"/>
    <w:rsid w:val="00C37A95"/>
    <w:rsid w:val="00C37EFE"/>
    <w:rsid w:val="00C4320F"/>
    <w:rsid w:val="00C440AD"/>
    <w:rsid w:val="00C45BF9"/>
    <w:rsid w:val="00C47CA9"/>
    <w:rsid w:val="00C50ABD"/>
    <w:rsid w:val="00C51781"/>
    <w:rsid w:val="00C5272A"/>
    <w:rsid w:val="00C544CB"/>
    <w:rsid w:val="00C54DAC"/>
    <w:rsid w:val="00C559A6"/>
    <w:rsid w:val="00C5621D"/>
    <w:rsid w:val="00C578C7"/>
    <w:rsid w:val="00C603D6"/>
    <w:rsid w:val="00C61504"/>
    <w:rsid w:val="00C63B30"/>
    <w:rsid w:val="00C67BFF"/>
    <w:rsid w:val="00C719AB"/>
    <w:rsid w:val="00C73300"/>
    <w:rsid w:val="00C7506C"/>
    <w:rsid w:val="00C77E46"/>
    <w:rsid w:val="00C9154F"/>
    <w:rsid w:val="00C91E93"/>
    <w:rsid w:val="00C92D6B"/>
    <w:rsid w:val="00C94A36"/>
    <w:rsid w:val="00CA28E1"/>
    <w:rsid w:val="00CA320C"/>
    <w:rsid w:val="00CA4F9E"/>
    <w:rsid w:val="00CA7DA3"/>
    <w:rsid w:val="00CB3F61"/>
    <w:rsid w:val="00CB49B8"/>
    <w:rsid w:val="00CC0254"/>
    <w:rsid w:val="00CC1AD5"/>
    <w:rsid w:val="00CC28DB"/>
    <w:rsid w:val="00CC33A3"/>
    <w:rsid w:val="00CC509C"/>
    <w:rsid w:val="00CC5C73"/>
    <w:rsid w:val="00CC6B1D"/>
    <w:rsid w:val="00CD2573"/>
    <w:rsid w:val="00CD661B"/>
    <w:rsid w:val="00CD77D6"/>
    <w:rsid w:val="00CE5473"/>
    <w:rsid w:val="00CE7D66"/>
    <w:rsid w:val="00CE7F93"/>
    <w:rsid w:val="00CF071C"/>
    <w:rsid w:val="00CF452E"/>
    <w:rsid w:val="00CF4DFF"/>
    <w:rsid w:val="00CF71A5"/>
    <w:rsid w:val="00D004F2"/>
    <w:rsid w:val="00D00972"/>
    <w:rsid w:val="00D00C04"/>
    <w:rsid w:val="00D02579"/>
    <w:rsid w:val="00D03E26"/>
    <w:rsid w:val="00D04102"/>
    <w:rsid w:val="00D103C4"/>
    <w:rsid w:val="00D118DD"/>
    <w:rsid w:val="00D127B0"/>
    <w:rsid w:val="00D13B1D"/>
    <w:rsid w:val="00D14FDF"/>
    <w:rsid w:val="00D170BD"/>
    <w:rsid w:val="00D22C67"/>
    <w:rsid w:val="00D23826"/>
    <w:rsid w:val="00D24BF7"/>
    <w:rsid w:val="00D26DCB"/>
    <w:rsid w:val="00D30E1C"/>
    <w:rsid w:val="00D31582"/>
    <w:rsid w:val="00D31964"/>
    <w:rsid w:val="00D32171"/>
    <w:rsid w:val="00D33D42"/>
    <w:rsid w:val="00D45B51"/>
    <w:rsid w:val="00D45BB0"/>
    <w:rsid w:val="00D46146"/>
    <w:rsid w:val="00D51580"/>
    <w:rsid w:val="00D62399"/>
    <w:rsid w:val="00D63CF0"/>
    <w:rsid w:val="00D64EA7"/>
    <w:rsid w:val="00D707C1"/>
    <w:rsid w:val="00D7348C"/>
    <w:rsid w:val="00D737B2"/>
    <w:rsid w:val="00D748AB"/>
    <w:rsid w:val="00D75F23"/>
    <w:rsid w:val="00D76B0C"/>
    <w:rsid w:val="00D77705"/>
    <w:rsid w:val="00D80B7B"/>
    <w:rsid w:val="00D80C0C"/>
    <w:rsid w:val="00D825EC"/>
    <w:rsid w:val="00D83BE6"/>
    <w:rsid w:val="00D84198"/>
    <w:rsid w:val="00D854D7"/>
    <w:rsid w:val="00D86252"/>
    <w:rsid w:val="00D86D9A"/>
    <w:rsid w:val="00D90757"/>
    <w:rsid w:val="00D90D46"/>
    <w:rsid w:val="00D91915"/>
    <w:rsid w:val="00D94965"/>
    <w:rsid w:val="00DA161F"/>
    <w:rsid w:val="00DA3D5B"/>
    <w:rsid w:val="00DA521D"/>
    <w:rsid w:val="00DA5858"/>
    <w:rsid w:val="00DB2147"/>
    <w:rsid w:val="00DB6A67"/>
    <w:rsid w:val="00DC1743"/>
    <w:rsid w:val="00DC27AB"/>
    <w:rsid w:val="00DC3C64"/>
    <w:rsid w:val="00DC4EB5"/>
    <w:rsid w:val="00DC7107"/>
    <w:rsid w:val="00DD06E2"/>
    <w:rsid w:val="00DD34D4"/>
    <w:rsid w:val="00DD3A74"/>
    <w:rsid w:val="00DD3AFA"/>
    <w:rsid w:val="00DE03FA"/>
    <w:rsid w:val="00DE131E"/>
    <w:rsid w:val="00DE44CC"/>
    <w:rsid w:val="00DE7790"/>
    <w:rsid w:val="00DF459D"/>
    <w:rsid w:val="00DF48DC"/>
    <w:rsid w:val="00DF4B9A"/>
    <w:rsid w:val="00DF69B5"/>
    <w:rsid w:val="00E008FA"/>
    <w:rsid w:val="00E01B91"/>
    <w:rsid w:val="00E02214"/>
    <w:rsid w:val="00E02357"/>
    <w:rsid w:val="00E04DB2"/>
    <w:rsid w:val="00E06B0A"/>
    <w:rsid w:val="00E07C6F"/>
    <w:rsid w:val="00E10E5E"/>
    <w:rsid w:val="00E168F1"/>
    <w:rsid w:val="00E24323"/>
    <w:rsid w:val="00E260B4"/>
    <w:rsid w:val="00E27360"/>
    <w:rsid w:val="00E30319"/>
    <w:rsid w:val="00E31B42"/>
    <w:rsid w:val="00E32ED8"/>
    <w:rsid w:val="00E33EC3"/>
    <w:rsid w:val="00E3406E"/>
    <w:rsid w:val="00E355F4"/>
    <w:rsid w:val="00E35CF2"/>
    <w:rsid w:val="00E3784F"/>
    <w:rsid w:val="00E4060A"/>
    <w:rsid w:val="00E43798"/>
    <w:rsid w:val="00E43BC1"/>
    <w:rsid w:val="00E45EBB"/>
    <w:rsid w:val="00E467E0"/>
    <w:rsid w:val="00E4735C"/>
    <w:rsid w:val="00E55298"/>
    <w:rsid w:val="00E61453"/>
    <w:rsid w:val="00E628C1"/>
    <w:rsid w:val="00E63DC1"/>
    <w:rsid w:val="00E668B3"/>
    <w:rsid w:val="00E715E8"/>
    <w:rsid w:val="00E7593D"/>
    <w:rsid w:val="00E76063"/>
    <w:rsid w:val="00E81F76"/>
    <w:rsid w:val="00E821AD"/>
    <w:rsid w:val="00E84EE8"/>
    <w:rsid w:val="00E852A9"/>
    <w:rsid w:val="00E859CB"/>
    <w:rsid w:val="00E92A70"/>
    <w:rsid w:val="00E93F4C"/>
    <w:rsid w:val="00E942F0"/>
    <w:rsid w:val="00E94722"/>
    <w:rsid w:val="00E95AB5"/>
    <w:rsid w:val="00E96A52"/>
    <w:rsid w:val="00EA0F64"/>
    <w:rsid w:val="00EA1AA6"/>
    <w:rsid w:val="00EA1CB9"/>
    <w:rsid w:val="00EA3F33"/>
    <w:rsid w:val="00EA48CE"/>
    <w:rsid w:val="00EB3480"/>
    <w:rsid w:val="00EB44E6"/>
    <w:rsid w:val="00EB5A4E"/>
    <w:rsid w:val="00EC1D11"/>
    <w:rsid w:val="00EC216C"/>
    <w:rsid w:val="00EC22DE"/>
    <w:rsid w:val="00EC276D"/>
    <w:rsid w:val="00EC44B2"/>
    <w:rsid w:val="00EC55C2"/>
    <w:rsid w:val="00EC736A"/>
    <w:rsid w:val="00ED1049"/>
    <w:rsid w:val="00ED1758"/>
    <w:rsid w:val="00ED3586"/>
    <w:rsid w:val="00EE245F"/>
    <w:rsid w:val="00EE33FC"/>
    <w:rsid w:val="00EE7FD1"/>
    <w:rsid w:val="00EF12F5"/>
    <w:rsid w:val="00EF2C32"/>
    <w:rsid w:val="00F019D2"/>
    <w:rsid w:val="00F05EAF"/>
    <w:rsid w:val="00F064E4"/>
    <w:rsid w:val="00F06A89"/>
    <w:rsid w:val="00F10941"/>
    <w:rsid w:val="00F123F2"/>
    <w:rsid w:val="00F13B8D"/>
    <w:rsid w:val="00F14C57"/>
    <w:rsid w:val="00F15207"/>
    <w:rsid w:val="00F15E8C"/>
    <w:rsid w:val="00F17A2A"/>
    <w:rsid w:val="00F17A73"/>
    <w:rsid w:val="00F20EED"/>
    <w:rsid w:val="00F21768"/>
    <w:rsid w:val="00F21AEF"/>
    <w:rsid w:val="00F22114"/>
    <w:rsid w:val="00F3525F"/>
    <w:rsid w:val="00F352EE"/>
    <w:rsid w:val="00F361F8"/>
    <w:rsid w:val="00F36E38"/>
    <w:rsid w:val="00F37D6C"/>
    <w:rsid w:val="00F42363"/>
    <w:rsid w:val="00F44F97"/>
    <w:rsid w:val="00F45568"/>
    <w:rsid w:val="00F45C7B"/>
    <w:rsid w:val="00F47588"/>
    <w:rsid w:val="00F50F98"/>
    <w:rsid w:val="00F5409A"/>
    <w:rsid w:val="00F611E7"/>
    <w:rsid w:val="00F63499"/>
    <w:rsid w:val="00F64CB9"/>
    <w:rsid w:val="00F7112F"/>
    <w:rsid w:val="00F727DF"/>
    <w:rsid w:val="00F74063"/>
    <w:rsid w:val="00F91A5B"/>
    <w:rsid w:val="00F95347"/>
    <w:rsid w:val="00FA1BB2"/>
    <w:rsid w:val="00FB1DDE"/>
    <w:rsid w:val="00FB2017"/>
    <w:rsid w:val="00FB3075"/>
    <w:rsid w:val="00FB78C8"/>
    <w:rsid w:val="00FC0B5B"/>
    <w:rsid w:val="00FC3836"/>
    <w:rsid w:val="00FC3D0A"/>
    <w:rsid w:val="00FC4501"/>
    <w:rsid w:val="00FC4730"/>
    <w:rsid w:val="00FC5D0E"/>
    <w:rsid w:val="00FC791F"/>
    <w:rsid w:val="00FD074B"/>
    <w:rsid w:val="00FD1666"/>
    <w:rsid w:val="00FD1E3F"/>
    <w:rsid w:val="00FD214D"/>
    <w:rsid w:val="00FD23BD"/>
    <w:rsid w:val="00FD748A"/>
    <w:rsid w:val="00FE17C1"/>
    <w:rsid w:val="00FE1838"/>
    <w:rsid w:val="00FE7D7E"/>
    <w:rsid w:val="00FF157E"/>
    <w:rsid w:val="00FF27B1"/>
    <w:rsid w:val="00FF2C4E"/>
    <w:rsid w:val="00FF73F3"/>
    <w:rsid w:val="00FF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42"/>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603352">
      <w:bodyDiv w:val="1"/>
      <w:marLeft w:val="0"/>
      <w:marRight w:val="0"/>
      <w:marTop w:val="0"/>
      <w:marBottom w:val="0"/>
      <w:divBdr>
        <w:top w:val="none" w:sz="0" w:space="0" w:color="auto"/>
        <w:left w:val="none" w:sz="0" w:space="0" w:color="auto"/>
        <w:bottom w:val="none" w:sz="0" w:space="0" w:color="auto"/>
        <w:right w:val="none" w:sz="0" w:space="0" w:color="auto"/>
      </w:divBdr>
      <w:divsChild>
        <w:div w:id="281809793">
          <w:marLeft w:val="0"/>
          <w:marRight w:val="0"/>
          <w:marTop w:val="0"/>
          <w:marBottom w:val="0"/>
          <w:divBdr>
            <w:top w:val="none" w:sz="0" w:space="0" w:color="auto"/>
            <w:left w:val="none" w:sz="0" w:space="0" w:color="auto"/>
            <w:bottom w:val="none" w:sz="0" w:space="0" w:color="auto"/>
            <w:right w:val="none" w:sz="0" w:space="0" w:color="auto"/>
          </w:divBdr>
        </w:div>
      </w:divsChild>
    </w:div>
    <w:div w:id="1287466393">
      <w:bodyDiv w:val="1"/>
      <w:marLeft w:val="0"/>
      <w:marRight w:val="0"/>
      <w:marTop w:val="0"/>
      <w:marBottom w:val="0"/>
      <w:divBdr>
        <w:top w:val="none" w:sz="0" w:space="0" w:color="auto"/>
        <w:left w:val="none" w:sz="0" w:space="0" w:color="auto"/>
        <w:bottom w:val="none" w:sz="0" w:space="0" w:color="auto"/>
        <w:right w:val="none" w:sz="0" w:space="0" w:color="auto"/>
      </w:divBdr>
      <w:divsChild>
        <w:div w:id="602608737">
          <w:marLeft w:val="0"/>
          <w:marRight w:val="0"/>
          <w:marTop w:val="0"/>
          <w:marBottom w:val="0"/>
          <w:divBdr>
            <w:top w:val="none" w:sz="0" w:space="0" w:color="auto"/>
            <w:left w:val="none" w:sz="0" w:space="0" w:color="auto"/>
            <w:bottom w:val="none" w:sz="0" w:space="0" w:color="auto"/>
            <w:right w:val="none" w:sz="0" w:space="0" w:color="auto"/>
          </w:divBdr>
        </w:div>
      </w:divsChild>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huyen%20de%20chuyen%20mon\Chuy&#234;n%20&#273;&#7873;%20ph&#226;n%20r&#227;%20t&#259;ng%20tr&#432;&#7903;ng\g2015%20ng&#224;y%2005.1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SOLIEU15.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NSNN\Trai%20phieu%20chinh%20phu\tpcp%202015%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IIP%20c&#244;ng%20nghi&#7879;p%20ch&#7871;%20bi&#7871;n%20ch&#7871;%20t&#7841;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417;\tai%20lieu%20bao%20cao\b&#225;o%20c&#225;o%20Ch&#237;nh%20ph&#7911;\N&#259;m%202015\10\&#273;&#7891;%20th&#7883;%20XN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FSC\Data%20t&#7893;ng%20h&#7907;p\T&#236;nh%20h&#236;nh%20ho&#7841;t%20&#273;&#7897;ng%20D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t\Desktop\Consumer%20confidence%20index\VN%20Consumer%20confidence%20inde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Nh&#243;m%20ch&#7881;%20ti&#234;u%20CPI%20update%2008.14\T&#237;nh%20to&#225;n%20l&#7841;m%20ph&#225;t%20c&#417;%20b&#7843;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417;\tai%20lieu%20bao%20cao\b&#225;o%20c&#225;o%20Ch&#237;nh%20ph&#7911;\N&#259;m%202015\10\Daily%20market%20update%20Oct%2023rd%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845970810742212E-2"/>
          <c:y val="5.2083333333333495E-2"/>
          <c:w val="0.86940431753989456"/>
          <c:h val="0.47066584762011127"/>
        </c:manualLayout>
      </c:layout>
      <c:barChart>
        <c:barDir val="col"/>
        <c:grouping val="clustered"/>
        <c:ser>
          <c:idx val="0"/>
          <c:order val="0"/>
          <c:tx>
            <c:strRef>
              <c:f>Graph!$B$1</c:f>
              <c:strCache>
                <c:ptCount val="1"/>
                <c:pt idx="0">
                  <c:v>Tăng trưởng</c:v>
                </c:pt>
              </c:strCache>
            </c:strRef>
          </c:tx>
          <c:cat>
            <c:strRef>
              <c:f>Graph!$A$2:$A$21</c:f>
              <c:strCache>
                <c:ptCount val="20"/>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strCache>
            </c:strRef>
          </c:cat>
          <c:val>
            <c:numRef>
              <c:f>Graph!$B$2:$B$21</c:f>
              <c:numCache>
                <c:formatCode>0.00</c:formatCode>
                <c:ptCount val="20"/>
                <c:pt idx="0">
                  <c:v>5.9</c:v>
                </c:pt>
                <c:pt idx="1">
                  <c:v>5.9300000000000024</c:v>
                </c:pt>
                <c:pt idx="2">
                  <c:v>6.21</c:v>
                </c:pt>
                <c:pt idx="3">
                  <c:v>6.71</c:v>
                </c:pt>
                <c:pt idx="4">
                  <c:v>4.75</c:v>
                </c:pt>
                <c:pt idx="5">
                  <c:v>5.08</c:v>
                </c:pt>
                <c:pt idx="6">
                  <c:v>5.39</c:v>
                </c:pt>
                <c:pt idx="7">
                  <c:v>5.57</c:v>
                </c:pt>
                <c:pt idx="8">
                  <c:v>4.76</c:v>
                </c:pt>
                <c:pt idx="9">
                  <c:v>5</c:v>
                </c:pt>
                <c:pt idx="10">
                  <c:v>5.54</c:v>
                </c:pt>
                <c:pt idx="11">
                  <c:v>6.04</c:v>
                </c:pt>
                <c:pt idx="12">
                  <c:v>5.0599999999999996</c:v>
                </c:pt>
                <c:pt idx="13">
                  <c:v>5.34</c:v>
                </c:pt>
                <c:pt idx="14">
                  <c:v>6.07</c:v>
                </c:pt>
                <c:pt idx="15">
                  <c:v>6.96</c:v>
                </c:pt>
                <c:pt idx="16">
                  <c:v>6.08</c:v>
                </c:pt>
                <c:pt idx="17">
                  <c:v>6.44</c:v>
                </c:pt>
                <c:pt idx="18">
                  <c:v>6.81</c:v>
                </c:pt>
                <c:pt idx="19">
                  <c:v>7.5196978560083778</c:v>
                </c:pt>
              </c:numCache>
            </c:numRef>
          </c:val>
        </c:ser>
        <c:axId val="64640128"/>
        <c:axId val="64641664"/>
      </c:barChart>
      <c:lineChart>
        <c:grouping val="standard"/>
        <c:ser>
          <c:idx val="1"/>
          <c:order val="1"/>
          <c:tx>
            <c:strRef>
              <c:f>Graph!$C$1</c:f>
              <c:strCache>
                <c:ptCount val="1"/>
                <c:pt idx="0">
                  <c:v>Tăng trưởng loại bỏ tính mùa vụ</c:v>
                </c:pt>
              </c:strCache>
            </c:strRef>
          </c:tx>
          <c:spPr>
            <a:ln w="22225"/>
          </c:spPr>
          <c:marker>
            <c:symbol val="circle"/>
            <c:size val="4"/>
          </c:marker>
          <c:cat>
            <c:strRef>
              <c:f>Graph!$A$2:$A$21</c:f>
              <c:strCache>
                <c:ptCount val="20"/>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strCache>
            </c:strRef>
          </c:cat>
          <c:val>
            <c:numRef>
              <c:f>Graph!$C$2:$C$21</c:f>
              <c:numCache>
                <c:formatCode>0.00</c:formatCode>
                <c:ptCount val="20"/>
                <c:pt idx="0">
                  <c:v>6.5823194967531133</c:v>
                </c:pt>
                <c:pt idx="1">
                  <c:v>6.2748717450408797</c:v>
                </c:pt>
                <c:pt idx="2">
                  <c:v>6.0535976516745498</c:v>
                </c:pt>
                <c:pt idx="3">
                  <c:v>5.9520055816410897</c:v>
                </c:pt>
                <c:pt idx="4">
                  <c:v>5.2704805575495355</c:v>
                </c:pt>
                <c:pt idx="5">
                  <c:v>5.352901237486158</c:v>
                </c:pt>
                <c:pt idx="6">
                  <c:v>5.2626066731896204</c:v>
                </c:pt>
                <c:pt idx="7">
                  <c:v>4.9695248247201196</c:v>
                </c:pt>
                <c:pt idx="8">
                  <c:v>5.2507482326166599</c:v>
                </c:pt>
                <c:pt idx="9">
                  <c:v>5.2675112433816045</c:v>
                </c:pt>
                <c:pt idx="10">
                  <c:v>5.3927492844263334</c:v>
                </c:pt>
                <c:pt idx="11">
                  <c:v>5.42882911984585</c:v>
                </c:pt>
                <c:pt idx="12">
                  <c:v>5.5527201992468003</c:v>
                </c:pt>
                <c:pt idx="13">
                  <c:v>5.6200763805502465</c:v>
                </c:pt>
                <c:pt idx="14">
                  <c:v>5.9139506658988497</c:v>
                </c:pt>
                <c:pt idx="15">
                  <c:v>6.2643319024707695</c:v>
                </c:pt>
                <c:pt idx="16">
                  <c:v>6.6634266081062838</c:v>
                </c:pt>
                <c:pt idx="17">
                  <c:v>6.7761251136533129</c:v>
                </c:pt>
                <c:pt idx="18">
                  <c:v>6.6360901960385323</c:v>
                </c:pt>
                <c:pt idx="19">
                  <c:v>6.769129957221681</c:v>
                </c:pt>
              </c:numCache>
            </c:numRef>
          </c:val>
        </c:ser>
        <c:marker val="1"/>
        <c:axId val="64640128"/>
        <c:axId val="64641664"/>
      </c:lineChart>
      <c:catAx>
        <c:axId val="64640128"/>
        <c:scaling>
          <c:orientation val="minMax"/>
        </c:scaling>
        <c:axPos val="b"/>
        <c:tickLblPos val="nextTo"/>
        <c:txPr>
          <a:bodyPr/>
          <a:lstStyle/>
          <a:p>
            <a:pPr>
              <a:defRPr sz="700"/>
            </a:pPr>
            <a:endParaRPr lang="en-US"/>
          </a:p>
        </c:txPr>
        <c:crossAx val="64641664"/>
        <c:crosses val="autoZero"/>
        <c:auto val="1"/>
        <c:lblAlgn val="ctr"/>
        <c:lblOffset val="100"/>
      </c:catAx>
      <c:valAx>
        <c:axId val="64641664"/>
        <c:scaling>
          <c:orientation val="minMax"/>
          <c:max val="8"/>
          <c:min val="4"/>
        </c:scaling>
        <c:axPos val="l"/>
        <c:majorGridlines>
          <c:spPr>
            <a:ln>
              <a:prstDash val="sysDot"/>
            </a:ln>
          </c:spPr>
        </c:majorGridlines>
        <c:numFmt formatCode="0" sourceLinked="0"/>
        <c:tickLblPos val="nextTo"/>
        <c:crossAx val="64640128"/>
        <c:crosses val="autoZero"/>
        <c:crossBetween val="between"/>
        <c:majorUnit val="1"/>
      </c:valAx>
    </c:plotArea>
    <c:legend>
      <c:legendPos val="b"/>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So với dự toán</c:v>
          </c:tx>
          <c:spPr>
            <a:solidFill>
              <a:schemeClr val="tx2">
                <a:lumMod val="40000"/>
                <a:lumOff val="60000"/>
              </a:schemeClr>
            </a:solidFill>
            <a:ln>
              <a:solidFill>
                <a:schemeClr val="tx2">
                  <a:lumMod val="75000"/>
                </a:schemeClr>
              </a:solidFill>
            </a:ln>
          </c:spPr>
          <c:dLbls>
            <c:showVal val="1"/>
          </c:dLbls>
          <c:cat>
            <c:strRef>
              <c:f>'Thu chi NSNN 15 ngày'!$HR$27:$HR$30</c:f>
              <c:strCache>
                <c:ptCount val="4"/>
                <c:pt idx="0">
                  <c:v>Tổng thu NSNN</c:v>
                </c:pt>
                <c:pt idx="1">
                  <c:v>Thu nội địa (73.61%)</c:v>
                </c:pt>
                <c:pt idx="2">
                  <c:v>Thu từ dầu thô (7.59%)</c:v>
                </c:pt>
                <c:pt idx="3">
                  <c:v>Thu từ XNK (18.3%)</c:v>
                </c:pt>
              </c:strCache>
            </c:strRef>
          </c:cat>
          <c:val>
            <c:numRef>
              <c:f>'Thu chi NSNN 15 ngày'!$HS$27:$HS$30</c:f>
              <c:numCache>
                <c:formatCode>General</c:formatCode>
                <c:ptCount val="4"/>
                <c:pt idx="0">
                  <c:v>77.900000000000006</c:v>
                </c:pt>
                <c:pt idx="1">
                  <c:v>81.8</c:v>
                </c:pt>
                <c:pt idx="2">
                  <c:v>57.9</c:v>
                </c:pt>
                <c:pt idx="3">
                  <c:v>74.2</c:v>
                </c:pt>
              </c:numCache>
            </c:numRef>
          </c:val>
        </c:ser>
        <c:ser>
          <c:idx val="1"/>
          <c:order val="1"/>
          <c:tx>
            <c:v>So với cùng kỳ 2014</c:v>
          </c:tx>
          <c:spPr>
            <a:solidFill>
              <a:schemeClr val="accent1">
                <a:lumMod val="75000"/>
              </a:schemeClr>
            </a:solidFill>
            <a:ln>
              <a:solidFill>
                <a:schemeClr val="tx2">
                  <a:lumMod val="75000"/>
                </a:schemeClr>
              </a:solidFill>
            </a:ln>
          </c:spPr>
          <c:dLbls>
            <c:dLbl>
              <c:idx val="3"/>
              <c:layout>
                <c:manualLayout>
                  <c:x val="6.5895943559863834E-3"/>
                  <c:y val="8.6325139182741054E-2"/>
                </c:manualLayout>
              </c:layout>
              <c:showVal val="1"/>
            </c:dLbl>
            <c:showVal val="1"/>
          </c:dLbls>
          <c:cat>
            <c:strRef>
              <c:f>'Thu chi NSNN 15 ngày'!$HR$27:$HR$30</c:f>
              <c:strCache>
                <c:ptCount val="4"/>
                <c:pt idx="0">
                  <c:v>Tổng thu NSNN</c:v>
                </c:pt>
                <c:pt idx="1">
                  <c:v>Thu nội địa (73.61%)</c:v>
                </c:pt>
                <c:pt idx="2">
                  <c:v>Thu từ dầu thô (7.59%)</c:v>
                </c:pt>
                <c:pt idx="3">
                  <c:v>Thu từ XNK (18.3%)</c:v>
                </c:pt>
              </c:strCache>
            </c:strRef>
          </c:cat>
          <c:val>
            <c:numRef>
              <c:f>'Thu chi NSNN 15 ngày'!$HT$27:$HT$30</c:f>
              <c:numCache>
                <c:formatCode>0.00</c:formatCode>
                <c:ptCount val="4"/>
                <c:pt idx="0">
                  <c:v>5.5761307691163555</c:v>
                </c:pt>
                <c:pt idx="1">
                  <c:v>16.402682171578675</c:v>
                </c:pt>
                <c:pt idx="2">
                  <c:v>-35.265119634483831</c:v>
                </c:pt>
                <c:pt idx="3">
                  <c:v>-5.2211033274956211</c:v>
                </c:pt>
              </c:numCache>
            </c:numRef>
          </c:val>
        </c:ser>
        <c:gapWidth val="75"/>
        <c:overlap val="-3"/>
        <c:axId val="81095680"/>
        <c:axId val="81122048"/>
      </c:barChart>
      <c:catAx>
        <c:axId val="81095680"/>
        <c:scaling>
          <c:orientation val="minMax"/>
        </c:scaling>
        <c:axPos val="b"/>
        <c:majorTickMark val="none"/>
        <c:tickLblPos val="nextTo"/>
        <c:crossAx val="81122048"/>
        <c:crosses val="autoZero"/>
        <c:auto val="1"/>
        <c:lblAlgn val="ctr"/>
        <c:lblOffset val="100"/>
      </c:catAx>
      <c:valAx>
        <c:axId val="81122048"/>
        <c:scaling>
          <c:orientation val="minMax"/>
        </c:scaling>
        <c:axPos val="l"/>
        <c:majorGridlines>
          <c:spPr>
            <a:ln>
              <a:prstDash val="sysDash"/>
            </a:ln>
          </c:spPr>
        </c:majorGridlines>
        <c:numFmt formatCode="General" sourceLinked="1"/>
        <c:majorTickMark val="none"/>
        <c:tickLblPos val="nextTo"/>
        <c:spPr>
          <a:noFill/>
          <a:ln>
            <a:noFill/>
            <a:prstDash val="sysDot"/>
          </a:ln>
        </c:spPr>
        <c:crossAx val="81095680"/>
        <c:crosses val="autoZero"/>
        <c:crossBetween val="between"/>
        <c:majorUnit val="25"/>
      </c:valAx>
    </c:plotArea>
    <c:legend>
      <c:legendPos val="b"/>
      <c:txPr>
        <a:bodyPr/>
        <a:lstStyle/>
        <a:p>
          <a:pPr>
            <a:defRPr b="1"/>
          </a:pPr>
          <a:endParaRPr lang="en-US"/>
        </a:p>
      </c:txPr>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0"/>
          <c:dLbls>
            <c:dLblPos val="t"/>
            <c:showVal val="1"/>
          </c:dLbls>
          <c:val>
            <c:numRef>
              <c:f>'Tổng hợp theo tháng'!$E$5:$E$14</c:f>
              <c:numCache>
                <c:formatCode>0.0</c:formatCode>
                <c:ptCount val="10"/>
                <c:pt idx="0">
                  <c:v>91.578947368420515</c:v>
                </c:pt>
                <c:pt idx="1">
                  <c:v>91.897280000000023</c:v>
                </c:pt>
                <c:pt idx="2">
                  <c:v>51.207213114754111</c:v>
                </c:pt>
                <c:pt idx="3">
                  <c:v>41.577512195122011</c:v>
                </c:pt>
                <c:pt idx="4">
                  <c:v>18.421621621621622</c:v>
                </c:pt>
                <c:pt idx="5">
                  <c:v>43.418823529411746</c:v>
                </c:pt>
                <c:pt idx="6">
                  <c:v>60.191621632653046</c:v>
                </c:pt>
                <c:pt idx="7">
                  <c:v>30.039589285714229</c:v>
                </c:pt>
                <c:pt idx="8">
                  <c:v>16.686666666666667</c:v>
                </c:pt>
                <c:pt idx="9">
                  <c:v>74.198181818181226</c:v>
                </c:pt>
              </c:numCache>
            </c:numRef>
          </c:val>
        </c:ser>
        <c:marker val="1"/>
        <c:axId val="97517952"/>
        <c:axId val="97519488"/>
      </c:lineChart>
      <c:catAx>
        <c:axId val="97517952"/>
        <c:scaling>
          <c:orientation val="minMax"/>
        </c:scaling>
        <c:axPos val="b"/>
        <c:tickLblPos val="nextTo"/>
        <c:crossAx val="97519488"/>
        <c:crosses val="autoZero"/>
        <c:auto val="1"/>
        <c:lblAlgn val="ctr"/>
        <c:lblOffset val="100"/>
      </c:catAx>
      <c:valAx>
        <c:axId val="97519488"/>
        <c:scaling>
          <c:orientation val="minMax"/>
        </c:scaling>
        <c:delete val="1"/>
        <c:axPos val="l"/>
        <c:majorGridlines>
          <c:spPr>
            <a:ln>
              <a:prstDash val="sysDash"/>
            </a:ln>
          </c:spPr>
        </c:majorGridlines>
        <c:numFmt formatCode="0" sourceLinked="0"/>
        <c:tickLblPos val="none"/>
        <c:crossAx val="97517952"/>
        <c:crosses val="autoZero"/>
        <c:crossBetween val="between"/>
        <c:majorUnit val="20"/>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0807163810406225E-2"/>
          <c:y val="7.2524407252440956E-2"/>
          <c:w val="0.86605558128763316"/>
          <c:h val="0.44689283714057632"/>
        </c:manualLayout>
      </c:layout>
      <c:lineChart>
        <c:grouping val="standard"/>
        <c:ser>
          <c:idx val="0"/>
          <c:order val="0"/>
          <c:tx>
            <c:v>toàn ngành công nghiệp</c:v>
          </c:tx>
          <c:spPr>
            <a:ln w="25400"/>
          </c:spPr>
          <c:marker>
            <c:symbol val="diamond"/>
            <c:size val="5"/>
          </c:marker>
          <c:cat>
            <c:strRef>
              <c:f>Sheet3!$A$26:$A$38</c:f>
              <c:strCache>
                <c:ptCount val="13"/>
                <c:pt idx="0">
                  <c:v>T10/14</c:v>
                </c:pt>
                <c:pt idx="1">
                  <c:v>T11/14</c:v>
                </c:pt>
                <c:pt idx="2">
                  <c:v>T12/14</c:v>
                </c:pt>
                <c:pt idx="3">
                  <c:v>T1/15</c:v>
                </c:pt>
                <c:pt idx="4">
                  <c:v>T2/15</c:v>
                </c:pt>
                <c:pt idx="5">
                  <c:v>T3/15</c:v>
                </c:pt>
                <c:pt idx="6">
                  <c:v>T4/15</c:v>
                </c:pt>
                <c:pt idx="7">
                  <c:v>T5/15</c:v>
                </c:pt>
                <c:pt idx="8">
                  <c:v>T6/15</c:v>
                </c:pt>
                <c:pt idx="9">
                  <c:v>T7/15</c:v>
                </c:pt>
                <c:pt idx="10">
                  <c:v>T8/15</c:v>
                </c:pt>
                <c:pt idx="11">
                  <c:v>T9/15</c:v>
                </c:pt>
                <c:pt idx="12">
                  <c:v>T10/15</c:v>
                </c:pt>
              </c:strCache>
            </c:strRef>
          </c:cat>
          <c:val>
            <c:numRef>
              <c:f>Sheet3!$B$26:$B$38</c:f>
              <c:numCache>
                <c:formatCode>General</c:formatCode>
                <c:ptCount val="13"/>
                <c:pt idx="0">
                  <c:v>6.9</c:v>
                </c:pt>
                <c:pt idx="1">
                  <c:v>7.5</c:v>
                </c:pt>
                <c:pt idx="2">
                  <c:v>7.6</c:v>
                </c:pt>
                <c:pt idx="3">
                  <c:v>17.5</c:v>
                </c:pt>
                <c:pt idx="4">
                  <c:v>12</c:v>
                </c:pt>
                <c:pt idx="5">
                  <c:v>9.1</c:v>
                </c:pt>
                <c:pt idx="6">
                  <c:v>9.4</c:v>
                </c:pt>
                <c:pt idx="7">
                  <c:v>9.2000000000000011</c:v>
                </c:pt>
                <c:pt idx="8">
                  <c:v>9.6</c:v>
                </c:pt>
                <c:pt idx="9">
                  <c:v>9.9</c:v>
                </c:pt>
                <c:pt idx="10">
                  <c:v>9.8000000000000007</c:v>
                </c:pt>
                <c:pt idx="11">
                  <c:v>9.8000000000000007</c:v>
                </c:pt>
                <c:pt idx="12">
                  <c:v>9.7000000000000011</c:v>
                </c:pt>
              </c:numCache>
            </c:numRef>
          </c:val>
        </c:ser>
        <c:ser>
          <c:idx val="1"/>
          <c:order val="1"/>
          <c:tx>
            <c:v>Công nghiệp chế biến, chế tạo</c:v>
          </c:tx>
          <c:spPr>
            <a:ln w="25400">
              <a:prstDash val="sysDot"/>
            </a:ln>
          </c:spPr>
          <c:marker>
            <c:symbol val="circle"/>
            <c:size val="5"/>
          </c:marker>
          <c:cat>
            <c:strRef>
              <c:f>Sheet3!$A$26:$A$38</c:f>
              <c:strCache>
                <c:ptCount val="13"/>
                <c:pt idx="0">
                  <c:v>T10/14</c:v>
                </c:pt>
                <c:pt idx="1">
                  <c:v>T11/14</c:v>
                </c:pt>
                <c:pt idx="2">
                  <c:v>T12/14</c:v>
                </c:pt>
                <c:pt idx="3">
                  <c:v>T1/15</c:v>
                </c:pt>
                <c:pt idx="4">
                  <c:v>T2/15</c:v>
                </c:pt>
                <c:pt idx="5">
                  <c:v>T3/15</c:v>
                </c:pt>
                <c:pt idx="6">
                  <c:v>T4/15</c:v>
                </c:pt>
                <c:pt idx="7">
                  <c:v>T5/15</c:v>
                </c:pt>
                <c:pt idx="8">
                  <c:v>T6/15</c:v>
                </c:pt>
                <c:pt idx="9">
                  <c:v>T7/15</c:v>
                </c:pt>
                <c:pt idx="10">
                  <c:v>T8/15</c:v>
                </c:pt>
                <c:pt idx="11">
                  <c:v>T9/15</c:v>
                </c:pt>
                <c:pt idx="12">
                  <c:v>T10/15</c:v>
                </c:pt>
              </c:strCache>
            </c:strRef>
          </c:cat>
          <c:val>
            <c:numRef>
              <c:f>Sheet3!$C$26:$C$38</c:f>
              <c:numCache>
                <c:formatCode>General</c:formatCode>
                <c:ptCount val="13"/>
                <c:pt idx="0">
                  <c:v>8.4</c:v>
                </c:pt>
                <c:pt idx="1">
                  <c:v>8.6</c:v>
                </c:pt>
                <c:pt idx="2">
                  <c:v>8.7000000000000011</c:v>
                </c:pt>
                <c:pt idx="3">
                  <c:v>19.399999999999999</c:v>
                </c:pt>
                <c:pt idx="4">
                  <c:v>12.9</c:v>
                </c:pt>
                <c:pt idx="5">
                  <c:v>9.6</c:v>
                </c:pt>
                <c:pt idx="6">
                  <c:v>10.1</c:v>
                </c:pt>
                <c:pt idx="7">
                  <c:v>9.9</c:v>
                </c:pt>
                <c:pt idx="8">
                  <c:v>10</c:v>
                </c:pt>
                <c:pt idx="9">
                  <c:v>10.1</c:v>
                </c:pt>
                <c:pt idx="10">
                  <c:v>10.200000000000001</c:v>
                </c:pt>
                <c:pt idx="11">
                  <c:v>10</c:v>
                </c:pt>
                <c:pt idx="12">
                  <c:v>10</c:v>
                </c:pt>
              </c:numCache>
            </c:numRef>
          </c:val>
        </c:ser>
        <c:marker val="1"/>
        <c:axId val="64662144"/>
        <c:axId val="62894464"/>
      </c:lineChart>
      <c:catAx>
        <c:axId val="64662144"/>
        <c:scaling>
          <c:orientation val="minMax"/>
        </c:scaling>
        <c:axPos val="b"/>
        <c:tickLblPos val="nextTo"/>
        <c:crossAx val="62894464"/>
        <c:crosses val="autoZero"/>
        <c:auto val="1"/>
        <c:lblAlgn val="ctr"/>
        <c:lblOffset val="100"/>
      </c:catAx>
      <c:valAx>
        <c:axId val="62894464"/>
        <c:scaling>
          <c:orientation val="minMax"/>
          <c:max val="20"/>
          <c:min val="5"/>
        </c:scaling>
        <c:axPos val="l"/>
        <c:majorGridlines>
          <c:spPr>
            <a:ln>
              <a:prstDash val="sysDot"/>
            </a:ln>
          </c:spPr>
        </c:majorGridlines>
        <c:numFmt formatCode="General" sourceLinked="1"/>
        <c:tickLblPos val="nextTo"/>
        <c:spPr>
          <a:ln>
            <a:noFill/>
          </a:ln>
        </c:spPr>
        <c:crossAx val="64662144"/>
        <c:crosses val="autoZero"/>
        <c:crossBetween val="between"/>
        <c:majorUnit val="5"/>
      </c:valAx>
    </c:plotArea>
    <c:legend>
      <c:legendPos val="b"/>
      <c:layout>
        <c:manualLayout>
          <c:xMode val="edge"/>
          <c:yMode val="edge"/>
          <c:x val="0"/>
          <c:y val="0.80078361599030889"/>
          <c:w val="1"/>
          <c:h val="0.15915228144558854"/>
        </c:manualLayout>
      </c:layout>
    </c:legend>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6.3909667541557302E-2"/>
          <c:y val="6.0185185185185147E-2"/>
          <c:w val="0.89997922134733155"/>
          <c:h val="0.75925925925925963"/>
        </c:manualLayout>
      </c:layout>
      <c:barChart>
        <c:barDir val="col"/>
        <c:grouping val="clustered"/>
        <c:ser>
          <c:idx val="0"/>
          <c:order val="0"/>
          <c:tx>
            <c:strRef>
              <c:f>PMI!$A$2</c:f>
              <c:strCache>
                <c:ptCount val="1"/>
                <c:pt idx="0">
                  <c:v>PMI</c:v>
                </c:pt>
              </c:strCache>
            </c:strRef>
          </c:tx>
          <c:spPr>
            <a:solidFill>
              <a:schemeClr val="tx1"/>
            </a:solidFill>
          </c:spPr>
          <c:dLbls>
            <c:showVal val="1"/>
          </c:dLbls>
          <c:cat>
            <c:strRef>
              <c:f>PMI!$AE$1:$AQ$1</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PMI!$AE$2:$AQ$2</c:f>
              <c:numCache>
                <c:formatCode>General</c:formatCode>
                <c:ptCount val="13"/>
                <c:pt idx="0">
                  <c:v>51.7</c:v>
                </c:pt>
                <c:pt idx="1">
                  <c:v>51</c:v>
                </c:pt>
                <c:pt idx="2">
                  <c:v>52.1</c:v>
                </c:pt>
                <c:pt idx="3">
                  <c:v>52.7</c:v>
                </c:pt>
                <c:pt idx="4">
                  <c:v>51.5</c:v>
                </c:pt>
                <c:pt idx="5">
                  <c:v>51.7</c:v>
                </c:pt>
                <c:pt idx="6">
                  <c:v>50.7</c:v>
                </c:pt>
                <c:pt idx="7">
                  <c:v>53.5</c:v>
                </c:pt>
                <c:pt idx="8">
                  <c:v>54.8</c:v>
                </c:pt>
                <c:pt idx="9">
                  <c:v>52.2</c:v>
                </c:pt>
                <c:pt idx="10">
                  <c:v>52.6</c:v>
                </c:pt>
                <c:pt idx="11">
                  <c:v>51.3</c:v>
                </c:pt>
                <c:pt idx="12">
                  <c:v>49.5</c:v>
                </c:pt>
              </c:numCache>
            </c:numRef>
          </c:val>
        </c:ser>
        <c:axId val="64770048"/>
        <c:axId val="64771584"/>
      </c:barChart>
      <c:catAx>
        <c:axId val="64770048"/>
        <c:scaling>
          <c:orientation val="minMax"/>
        </c:scaling>
        <c:axPos val="b"/>
        <c:tickLblPos val="low"/>
        <c:crossAx val="64771584"/>
        <c:crossesAt val="50"/>
        <c:auto val="1"/>
        <c:lblAlgn val="ctr"/>
        <c:lblOffset val="100"/>
      </c:catAx>
      <c:valAx>
        <c:axId val="64771584"/>
        <c:scaling>
          <c:orientation val="minMax"/>
          <c:max val="55"/>
          <c:min val="49"/>
        </c:scaling>
        <c:axPos val="l"/>
        <c:majorGridlines>
          <c:spPr>
            <a:ln w="12700">
              <a:prstDash val="sysDot"/>
            </a:ln>
          </c:spPr>
        </c:majorGridlines>
        <c:numFmt formatCode="General" sourceLinked="1"/>
        <c:tickLblPos val="nextTo"/>
        <c:spPr>
          <a:ln>
            <a:noFill/>
          </a:ln>
        </c:spPr>
        <c:crossAx val="64770048"/>
        <c:crosses val="autoZero"/>
        <c:crossBetween val="between"/>
        <c:majorUnit val="1"/>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050764138846761"/>
          <c:y val="6.2160201655183246E-2"/>
          <c:w val="0.83775392646302727"/>
          <c:h val="0.64152257293532355"/>
        </c:manualLayout>
      </c:layout>
      <c:barChart>
        <c:barDir val="col"/>
        <c:grouping val="clustered"/>
        <c:ser>
          <c:idx val="0"/>
          <c:order val="0"/>
          <c:tx>
            <c:strRef>
              <c:f>Sheet1!$B$1</c:f>
              <c:strCache>
                <c:ptCount val="1"/>
                <c:pt idx="0">
                  <c:v>XK</c:v>
                </c:pt>
              </c:strCache>
            </c:strRef>
          </c:tx>
          <c:spPr>
            <a:solidFill>
              <a:srgbClr val="0070C0"/>
            </a:solidFill>
            <a:ln>
              <a:solidFill>
                <a:srgbClr val="FF0000"/>
              </a:solidFill>
            </a:ln>
          </c:spPr>
          <c:cat>
            <c:strRef>
              <c:f>Sheet1!$A$2:$A$11</c:f>
              <c:strCache>
                <c:ptCount val="10"/>
                <c:pt idx="0">
                  <c:v>1T</c:v>
                </c:pt>
                <c:pt idx="1">
                  <c:v>2T</c:v>
                </c:pt>
                <c:pt idx="2">
                  <c:v>3T</c:v>
                </c:pt>
                <c:pt idx="3">
                  <c:v>4T</c:v>
                </c:pt>
                <c:pt idx="4">
                  <c:v>5T</c:v>
                </c:pt>
                <c:pt idx="5">
                  <c:v>6T</c:v>
                </c:pt>
                <c:pt idx="6">
                  <c:v>7T</c:v>
                </c:pt>
                <c:pt idx="7">
                  <c:v>8T</c:v>
                </c:pt>
                <c:pt idx="8">
                  <c:v>9T</c:v>
                </c:pt>
                <c:pt idx="9">
                  <c:v>10T</c:v>
                </c:pt>
              </c:strCache>
            </c:strRef>
          </c:cat>
          <c:val>
            <c:numRef>
              <c:f>Sheet1!$B$2:$B$11</c:f>
              <c:numCache>
                <c:formatCode>General</c:formatCode>
                <c:ptCount val="10"/>
                <c:pt idx="0">
                  <c:v>12.9</c:v>
                </c:pt>
                <c:pt idx="1">
                  <c:v>23</c:v>
                </c:pt>
                <c:pt idx="2">
                  <c:v>35.700000000000003</c:v>
                </c:pt>
                <c:pt idx="3">
                  <c:v>50.1</c:v>
                </c:pt>
                <c:pt idx="4">
                  <c:v>63.2</c:v>
                </c:pt>
                <c:pt idx="5">
                  <c:v>77.7</c:v>
                </c:pt>
                <c:pt idx="6">
                  <c:v>92.3</c:v>
                </c:pt>
                <c:pt idx="7">
                  <c:v>106.3</c:v>
                </c:pt>
                <c:pt idx="8">
                  <c:v>120.7</c:v>
                </c:pt>
                <c:pt idx="9">
                  <c:v>134.6</c:v>
                </c:pt>
              </c:numCache>
            </c:numRef>
          </c:val>
        </c:ser>
        <c:ser>
          <c:idx val="1"/>
          <c:order val="1"/>
          <c:tx>
            <c:strRef>
              <c:f>Sheet1!$C$1</c:f>
              <c:strCache>
                <c:ptCount val="1"/>
                <c:pt idx="0">
                  <c:v>NK</c:v>
                </c:pt>
              </c:strCache>
            </c:strRef>
          </c:tx>
          <c:spPr>
            <a:solidFill>
              <a:schemeClr val="accent6">
                <a:lumMod val="75000"/>
              </a:schemeClr>
            </a:solidFill>
            <a:ln>
              <a:solidFill>
                <a:schemeClr val="accent6">
                  <a:lumMod val="75000"/>
                </a:schemeClr>
              </a:solidFill>
            </a:ln>
          </c:spPr>
          <c:cat>
            <c:strRef>
              <c:f>Sheet1!$A$2:$A$11</c:f>
              <c:strCache>
                <c:ptCount val="10"/>
                <c:pt idx="0">
                  <c:v>1T</c:v>
                </c:pt>
                <c:pt idx="1">
                  <c:v>2T</c:v>
                </c:pt>
                <c:pt idx="2">
                  <c:v>3T</c:v>
                </c:pt>
                <c:pt idx="3">
                  <c:v>4T</c:v>
                </c:pt>
                <c:pt idx="4">
                  <c:v>5T</c:v>
                </c:pt>
                <c:pt idx="5">
                  <c:v>6T</c:v>
                </c:pt>
                <c:pt idx="6">
                  <c:v>7T</c:v>
                </c:pt>
                <c:pt idx="7">
                  <c:v>8T</c:v>
                </c:pt>
                <c:pt idx="8">
                  <c:v>9T</c:v>
                </c:pt>
                <c:pt idx="9">
                  <c:v>10T</c:v>
                </c:pt>
              </c:strCache>
            </c:strRef>
          </c:cat>
          <c:val>
            <c:numRef>
              <c:f>Sheet1!$C$2:$C$11</c:f>
              <c:numCache>
                <c:formatCode>General</c:formatCode>
                <c:ptCount val="10"/>
                <c:pt idx="0">
                  <c:v>13.4</c:v>
                </c:pt>
                <c:pt idx="1">
                  <c:v>23</c:v>
                </c:pt>
                <c:pt idx="2">
                  <c:v>37.5</c:v>
                </c:pt>
                <c:pt idx="3">
                  <c:v>53.1</c:v>
                </c:pt>
                <c:pt idx="4">
                  <c:v>66.2</c:v>
                </c:pt>
                <c:pt idx="5">
                  <c:v>81.5</c:v>
                </c:pt>
                <c:pt idx="6">
                  <c:v>95.6</c:v>
                </c:pt>
                <c:pt idx="7">
                  <c:v>109.9</c:v>
                </c:pt>
                <c:pt idx="8">
                  <c:v>124.5</c:v>
                </c:pt>
                <c:pt idx="9">
                  <c:v>138.69999999999999</c:v>
                </c:pt>
              </c:numCache>
            </c:numRef>
          </c:val>
        </c:ser>
        <c:ser>
          <c:idx val="2"/>
          <c:order val="2"/>
          <c:tx>
            <c:strRef>
              <c:f>Sheet1!$D$1</c:f>
              <c:strCache>
                <c:ptCount val="1"/>
                <c:pt idx="0">
                  <c:v>NS</c:v>
                </c:pt>
              </c:strCache>
            </c:strRef>
          </c:tx>
          <c:spPr>
            <a:solidFill>
              <a:srgbClr val="FF0000"/>
            </a:solidFill>
            <a:ln>
              <a:solidFill>
                <a:srgbClr val="FF0000"/>
              </a:solidFill>
            </a:ln>
          </c:spPr>
          <c:cat>
            <c:strRef>
              <c:f>Sheet1!$A$2:$A$11</c:f>
              <c:strCache>
                <c:ptCount val="10"/>
                <c:pt idx="0">
                  <c:v>1T</c:v>
                </c:pt>
                <c:pt idx="1">
                  <c:v>2T</c:v>
                </c:pt>
                <c:pt idx="2">
                  <c:v>3T</c:v>
                </c:pt>
                <c:pt idx="3">
                  <c:v>4T</c:v>
                </c:pt>
                <c:pt idx="4">
                  <c:v>5T</c:v>
                </c:pt>
                <c:pt idx="5">
                  <c:v>6T</c:v>
                </c:pt>
                <c:pt idx="6">
                  <c:v>7T</c:v>
                </c:pt>
                <c:pt idx="7">
                  <c:v>8T</c:v>
                </c:pt>
                <c:pt idx="8">
                  <c:v>9T</c:v>
                </c:pt>
                <c:pt idx="9">
                  <c:v>10T</c:v>
                </c:pt>
              </c:strCache>
            </c:strRef>
          </c:cat>
          <c:val>
            <c:numRef>
              <c:f>Sheet1!$D$2:$D$11</c:f>
              <c:numCache>
                <c:formatCode>General</c:formatCode>
                <c:ptCount val="10"/>
                <c:pt idx="0">
                  <c:v>-0.5</c:v>
                </c:pt>
                <c:pt idx="1">
                  <c:v>-6.1000000000000013E-2</c:v>
                </c:pt>
                <c:pt idx="2">
                  <c:v>-1.8</c:v>
                </c:pt>
                <c:pt idx="3">
                  <c:v>-3</c:v>
                </c:pt>
                <c:pt idx="4">
                  <c:v>-3</c:v>
                </c:pt>
                <c:pt idx="5">
                  <c:v>-3.7</c:v>
                </c:pt>
                <c:pt idx="6">
                  <c:v>-3.4</c:v>
                </c:pt>
                <c:pt idx="7">
                  <c:v>-3.6</c:v>
                </c:pt>
                <c:pt idx="8">
                  <c:v>-3.9</c:v>
                </c:pt>
                <c:pt idx="9">
                  <c:v>-4.0999999999999996</c:v>
                </c:pt>
              </c:numCache>
            </c:numRef>
          </c:val>
        </c:ser>
        <c:gapWidth val="119"/>
        <c:axId val="72054656"/>
        <c:axId val="72056192"/>
      </c:barChart>
      <c:catAx>
        <c:axId val="72054656"/>
        <c:scaling>
          <c:orientation val="minMax"/>
        </c:scaling>
        <c:axPos val="b"/>
        <c:tickLblPos val="low"/>
        <c:crossAx val="72056192"/>
        <c:crosses val="autoZero"/>
        <c:auto val="1"/>
        <c:lblAlgn val="ctr"/>
        <c:lblOffset val="100"/>
      </c:catAx>
      <c:valAx>
        <c:axId val="72056192"/>
        <c:scaling>
          <c:orientation val="minMax"/>
          <c:max val="140"/>
          <c:min val="-10"/>
        </c:scaling>
        <c:axPos val="l"/>
        <c:numFmt formatCode="General" sourceLinked="1"/>
        <c:tickLblPos val="nextTo"/>
        <c:crossAx val="72054656"/>
        <c:crosses val="autoZero"/>
        <c:crossBetween val="between"/>
        <c:majorUnit val="20"/>
      </c:valAx>
    </c:plotArea>
    <c:legend>
      <c:legendPos val="b"/>
      <c:layout>
        <c:manualLayout>
          <c:xMode val="edge"/>
          <c:yMode val="edge"/>
          <c:x val="8.8925112440362858E-2"/>
          <c:y val="0.85686568446537925"/>
          <c:w val="0.83026468233563544"/>
          <c:h val="0.11508784798406795"/>
        </c:manualLayout>
      </c:layout>
    </c:legend>
    <c:plotVisOnly val="1"/>
  </c:chart>
  <c:spPr>
    <a:ln>
      <a:noFill/>
    </a:ln>
  </c:spPr>
  <c:txPr>
    <a:bodyPr/>
    <a:lstStyle/>
    <a:p>
      <a:pPr>
        <a:defRPr sz="800" b="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0123946437342734E-2"/>
          <c:y val="2.9592807627332591E-2"/>
          <c:w val="0.90886555193210417"/>
          <c:h val="0.64693128719031145"/>
        </c:manualLayout>
      </c:layout>
      <c:barChart>
        <c:barDir val="col"/>
        <c:grouping val="clustered"/>
        <c:ser>
          <c:idx val="0"/>
          <c:order val="0"/>
          <c:tx>
            <c:strRef>
              <c:f>Sheet1!$A$19</c:f>
              <c:strCache>
                <c:ptCount val="1"/>
                <c:pt idx="0">
                  <c:v>Số DN thành lập mới</c:v>
                </c:pt>
              </c:strCache>
            </c:strRef>
          </c:tx>
          <c:spPr>
            <a:pattFill prst="pct30">
              <a:fgClr>
                <a:srgbClr val="538ED5"/>
              </a:fgClr>
              <a:bgClr>
                <a:srgbClr val="17375D"/>
              </a:bgClr>
            </a:pattFill>
          </c:spPr>
          <c:dLbls>
            <c:dLbl>
              <c:idx val="2"/>
              <c:layout>
                <c:manualLayout>
                  <c:x val="8.9636191475981064E-2"/>
                  <c:y val="1.9728538418221767E-2"/>
                </c:manualLayout>
              </c:layout>
              <c:showVal val="1"/>
            </c:dLbl>
            <c:showVal val="1"/>
          </c:dLbls>
          <c:cat>
            <c:strRef>
              <c:f>Sheet1!$B$18:$D$18</c:f>
              <c:strCache>
                <c:ptCount val="3"/>
                <c:pt idx="0">
                  <c:v>10T/2013</c:v>
                </c:pt>
                <c:pt idx="1">
                  <c:v>10T/2014</c:v>
                </c:pt>
                <c:pt idx="2">
                  <c:v>10T/2015</c:v>
                </c:pt>
              </c:strCache>
            </c:strRef>
          </c:cat>
          <c:val>
            <c:numRef>
              <c:f>Sheet1!$B$19:$D$19</c:f>
              <c:numCache>
                <c:formatCode>_-* #,##0.0\ _₫_-;\-* #,##0.0\ _₫_-;_-* "-"??\ _₫_-;_-@_-</c:formatCode>
                <c:ptCount val="3"/>
                <c:pt idx="0">
                  <c:v>64.186999999999998</c:v>
                </c:pt>
                <c:pt idx="1">
                  <c:v>60.023000000000003</c:v>
                </c:pt>
                <c:pt idx="2">
                  <c:v>77.542000000000002</c:v>
                </c:pt>
              </c:numCache>
            </c:numRef>
          </c:val>
        </c:ser>
        <c:ser>
          <c:idx val="1"/>
          <c:order val="1"/>
          <c:tx>
            <c:strRef>
              <c:f>Sheet1!$A$20</c:f>
              <c:strCache>
                <c:ptCount val="1"/>
                <c:pt idx="0">
                  <c:v>Vốn thành lập mới</c:v>
                </c:pt>
              </c:strCache>
            </c:strRef>
          </c:tx>
          <c:cat>
            <c:strRef>
              <c:f>Sheet1!$B$18:$D$18</c:f>
              <c:strCache>
                <c:ptCount val="3"/>
                <c:pt idx="0">
                  <c:v>10T/2013</c:v>
                </c:pt>
                <c:pt idx="1">
                  <c:v>10T/2014</c:v>
                </c:pt>
                <c:pt idx="2">
                  <c:v>10T/2015</c:v>
                </c:pt>
              </c:strCache>
            </c:strRef>
          </c:cat>
          <c:val>
            <c:numRef>
              <c:f>Sheet1!$B$20:$D$20</c:f>
            </c:numRef>
          </c:val>
        </c:ser>
        <c:ser>
          <c:idx val="2"/>
          <c:order val="2"/>
          <c:tx>
            <c:strRef>
              <c:f>Sheet1!$A$21</c:f>
              <c:strCache>
                <c:ptCount val="1"/>
                <c:pt idx="0">
                  <c:v>Số DN giải thể, chấm dứt hoạt động</c:v>
                </c:pt>
              </c:strCache>
            </c:strRef>
          </c:tx>
          <c:spPr>
            <a:pattFill prst="wdDnDiag">
              <a:fgClr>
                <a:srgbClr val="9BBB59"/>
              </a:fgClr>
              <a:bgClr>
                <a:srgbClr val="FAC090"/>
              </a:bgClr>
            </a:pattFill>
          </c:spPr>
          <c:dLbls>
            <c:showVal val="1"/>
          </c:dLbls>
          <c:cat>
            <c:strRef>
              <c:f>Sheet1!$B$18:$D$18</c:f>
              <c:strCache>
                <c:ptCount val="3"/>
                <c:pt idx="0">
                  <c:v>10T/2013</c:v>
                </c:pt>
                <c:pt idx="1">
                  <c:v>10T/2014</c:v>
                </c:pt>
                <c:pt idx="2">
                  <c:v>10T/2015</c:v>
                </c:pt>
              </c:strCache>
            </c:strRef>
          </c:cat>
          <c:val>
            <c:numRef>
              <c:f>Sheet1!$B$21:$D$21</c:f>
              <c:numCache>
                <c:formatCode>_-* #,##0.00\ _₫_-;\-* #,##0.00\ _₫_-;_-* "-"??\ _₫_-;_-@_-</c:formatCode>
                <c:ptCount val="3"/>
                <c:pt idx="0">
                  <c:v>8.1080000000000005</c:v>
                </c:pt>
                <c:pt idx="1">
                  <c:v>7.782</c:v>
                </c:pt>
                <c:pt idx="2">
                  <c:v>7.5810000000000004</c:v>
                </c:pt>
              </c:numCache>
            </c:numRef>
          </c:val>
        </c:ser>
        <c:axId val="60163200"/>
        <c:axId val="60164736"/>
      </c:barChart>
      <c:catAx>
        <c:axId val="60163200"/>
        <c:scaling>
          <c:orientation val="minMax"/>
        </c:scaling>
        <c:axPos val="b"/>
        <c:majorTickMark val="none"/>
        <c:tickLblPos val="nextTo"/>
        <c:crossAx val="60164736"/>
        <c:crosses val="autoZero"/>
        <c:auto val="1"/>
        <c:lblAlgn val="ctr"/>
        <c:lblOffset val="100"/>
      </c:catAx>
      <c:valAx>
        <c:axId val="60164736"/>
        <c:scaling>
          <c:orientation val="minMax"/>
          <c:max val="80"/>
        </c:scaling>
        <c:delete val="1"/>
        <c:axPos val="l"/>
        <c:numFmt formatCode="_-* #,##0.0\ _₫_-;\-* #,##0.0\ _₫_-;_-* &quot;-&quot;??\ _₫_-;_-@_-" sourceLinked="1"/>
        <c:majorTickMark val="none"/>
        <c:tickLblPos val="none"/>
        <c:crossAx val="60163200"/>
        <c:crosses val="autoZero"/>
        <c:crossBetween val="between"/>
        <c:minorUnit val="10"/>
      </c:valAx>
    </c:plotArea>
    <c:legend>
      <c:legendPos val="b"/>
      <c:layout>
        <c:manualLayout>
          <c:xMode val="edge"/>
          <c:yMode val="edge"/>
          <c:x val="0"/>
          <c:y val="0.79985236220472444"/>
          <c:w val="0.9554169562457776"/>
          <c:h val="0.16889763779527603"/>
        </c:manualLayout>
      </c:layout>
    </c:legend>
    <c:plotVisOnly val="1"/>
  </c:chart>
  <c:spPr>
    <a:noFill/>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794055113480168"/>
          <c:y val="6.3205732887824065E-2"/>
          <c:w val="0.85026190014220038"/>
          <c:h val="0.61826535552931461"/>
        </c:manualLayout>
      </c:layout>
      <c:barChart>
        <c:barDir val="col"/>
        <c:grouping val="clustered"/>
        <c:ser>
          <c:idx val="0"/>
          <c:order val="0"/>
          <c:cat>
            <c:strRef>
              <c:f>Sheet1!$B$2:$V$2</c:f>
              <c:strCache>
                <c:ptCount val="21"/>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pt idx="20">
                  <c:v>T9/15</c:v>
                </c:pt>
              </c:strCache>
            </c:strRef>
          </c:cat>
          <c:val>
            <c:numRef>
              <c:f>Sheet1!$B$3:$V$3</c:f>
              <c:numCache>
                <c:formatCode>General</c:formatCode>
                <c:ptCount val="21"/>
                <c:pt idx="0">
                  <c:v>126.5</c:v>
                </c:pt>
                <c:pt idx="1">
                  <c:v>136.4</c:v>
                </c:pt>
                <c:pt idx="2">
                  <c:v>136.4</c:v>
                </c:pt>
                <c:pt idx="3">
                  <c:v>129.6</c:v>
                </c:pt>
                <c:pt idx="4">
                  <c:v>123.3</c:v>
                </c:pt>
                <c:pt idx="5">
                  <c:v>131</c:v>
                </c:pt>
                <c:pt idx="6">
                  <c:v>134.1</c:v>
                </c:pt>
                <c:pt idx="7">
                  <c:v>135.5</c:v>
                </c:pt>
                <c:pt idx="8">
                  <c:v>135</c:v>
                </c:pt>
                <c:pt idx="9">
                  <c:v>134.69999999999999</c:v>
                </c:pt>
                <c:pt idx="10">
                  <c:v>140.9</c:v>
                </c:pt>
                <c:pt idx="11">
                  <c:v>135.6</c:v>
                </c:pt>
                <c:pt idx="12">
                  <c:v>135.4</c:v>
                </c:pt>
                <c:pt idx="13">
                  <c:v>142.30000000000001</c:v>
                </c:pt>
                <c:pt idx="14">
                  <c:v>141.5</c:v>
                </c:pt>
                <c:pt idx="15">
                  <c:v>140.19999999999999</c:v>
                </c:pt>
                <c:pt idx="16">
                  <c:v>140.19999999999999</c:v>
                </c:pt>
                <c:pt idx="17">
                  <c:v>143.1</c:v>
                </c:pt>
                <c:pt idx="18">
                  <c:v>138.6</c:v>
                </c:pt>
                <c:pt idx="19">
                  <c:v>133.69999999999999</c:v>
                </c:pt>
                <c:pt idx="20">
                  <c:v>135.30000000000001</c:v>
                </c:pt>
              </c:numCache>
            </c:numRef>
          </c:val>
        </c:ser>
        <c:axId val="60193024"/>
        <c:axId val="60207104"/>
      </c:barChart>
      <c:catAx>
        <c:axId val="60193024"/>
        <c:scaling>
          <c:orientation val="minMax"/>
        </c:scaling>
        <c:axPos val="b"/>
        <c:tickLblPos val="nextTo"/>
        <c:crossAx val="60207104"/>
        <c:crosses val="autoZero"/>
        <c:auto val="1"/>
        <c:lblAlgn val="ctr"/>
        <c:lblOffset val="100"/>
      </c:catAx>
      <c:valAx>
        <c:axId val="60207104"/>
        <c:scaling>
          <c:orientation val="minMax"/>
        </c:scaling>
        <c:axPos val="l"/>
        <c:majorGridlines>
          <c:spPr>
            <a:ln>
              <a:prstDash val="sysDot"/>
            </a:ln>
          </c:spPr>
        </c:majorGridlines>
        <c:numFmt formatCode="General" sourceLinked="1"/>
        <c:tickLblPos val="nextTo"/>
        <c:crossAx val="60193024"/>
        <c:crosses val="autoZero"/>
        <c:crossBetween val="between"/>
      </c:valAx>
    </c:plotArea>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'Tong muc ban le'!$A$9:$A$13</c:f>
              <c:strCache>
                <c:ptCount val="5"/>
                <c:pt idx="0">
                  <c:v>2011</c:v>
                </c:pt>
                <c:pt idx="1">
                  <c:v>2012</c:v>
                </c:pt>
                <c:pt idx="2">
                  <c:v>2013</c:v>
                </c:pt>
                <c:pt idx="3">
                  <c:v>2014</c:v>
                </c:pt>
                <c:pt idx="4">
                  <c:v>2015</c:v>
                </c:pt>
              </c:strCache>
            </c:strRef>
          </c:cat>
          <c:val>
            <c:numRef>
              <c:f>'Tong muc ban le'!$K$9:$K$13</c:f>
              <c:numCache>
                <c:formatCode>General</c:formatCode>
                <c:ptCount val="5"/>
                <c:pt idx="0">
                  <c:v>3.9</c:v>
                </c:pt>
                <c:pt idx="1">
                  <c:v>6.8</c:v>
                </c:pt>
                <c:pt idx="2">
                  <c:v>5.5</c:v>
                </c:pt>
                <c:pt idx="3">
                  <c:v>6.4</c:v>
                </c:pt>
                <c:pt idx="4">
                  <c:v>8.4</c:v>
                </c:pt>
              </c:numCache>
            </c:numRef>
          </c:val>
        </c:ser>
        <c:axId val="60213888"/>
        <c:axId val="77922688"/>
      </c:barChart>
      <c:catAx>
        <c:axId val="60213888"/>
        <c:scaling>
          <c:orientation val="minMax"/>
        </c:scaling>
        <c:axPos val="b"/>
        <c:numFmt formatCode="General" sourceLinked="1"/>
        <c:tickLblPos val="nextTo"/>
        <c:crossAx val="77922688"/>
        <c:crosses val="autoZero"/>
        <c:auto val="1"/>
        <c:lblAlgn val="ctr"/>
        <c:lblOffset val="100"/>
        <c:tickLblSkip val="1"/>
        <c:tickMarkSkip val="1"/>
      </c:catAx>
      <c:valAx>
        <c:axId val="77922688"/>
        <c:scaling>
          <c:orientation val="minMax"/>
        </c:scaling>
        <c:delete val="1"/>
        <c:axPos val="l"/>
        <c:numFmt formatCode="General" sourceLinked="1"/>
        <c:tickLblPos val="none"/>
        <c:crossAx val="60213888"/>
        <c:crossesAt val="1"/>
        <c:crossBetween val="between"/>
        <c:majorUnit val="3"/>
      </c:valAx>
    </c:plotArea>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8456304073102199E-2"/>
          <c:y val="4.5098039215686406E-2"/>
          <c:w val="0.84722270827257762"/>
          <c:h val="0.46204801605681645"/>
        </c:manualLayout>
      </c:layout>
      <c:lineChart>
        <c:grouping val="standard"/>
        <c:ser>
          <c:idx val="0"/>
          <c:order val="0"/>
          <c:tx>
            <c:v>Lạm phát</c:v>
          </c:tx>
          <c:cat>
            <c:strRef>
              <c:f>'Biểu đồ so cùng kỳ'!$W$4:$AI$4</c:f>
              <c:strCache>
                <c:ptCount val="13"/>
                <c:pt idx="0">
                  <c:v>T10/14</c:v>
                </c:pt>
                <c:pt idx="1">
                  <c:v>T11/14</c:v>
                </c:pt>
                <c:pt idx="2">
                  <c:v>T12/14</c:v>
                </c:pt>
                <c:pt idx="3">
                  <c:v>T1/15</c:v>
                </c:pt>
                <c:pt idx="4">
                  <c:v>T2/15</c:v>
                </c:pt>
                <c:pt idx="5">
                  <c:v>T3/15</c:v>
                </c:pt>
                <c:pt idx="6">
                  <c:v>T4/15</c:v>
                </c:pt>
                <c:pt idx="7">
                  <c:v>T5/15</c:v>
                </c:pt>
                <c:pt idx="8">
                  <c:v>T6/15</c:v>
                </c:pt>
                <c:pt idx="9">
                  <c:v>T7/15</c:v>
                </c:pt>
                <c:pt idx="10">
                  <c:v>T8/15</c:v>
                </c:pt>
                <c:pt idx="11">
                  <c:v>T9/15</c:v>
                </c:pt>
                <c:pt idx="12">
                  <c:v>T10/15</c:v>
                </c:pt>
              </c:strCache>
            </c:strRef>
          </c:cat>
          <c:val>
            <c:numRef>
              <c:f>'Biểu đồ so cùng kỳ'!$W$5:$AI$5</c:f>
              <c:numCache>
                <c:formatCode>0.00</c:formatCode>
                <c:ptCount val="13"/>
                <c:pt idx="0">
                  <c:v>3.2300000000000035</c:v>
                </c:pt>
                <c:pt idx="1">
                  <c:v>2.5999999999999943</c:v>
                </c:pt>
                <c:pt idx="2">
                  <c:v>1.8400000000000041</c:v>
                </c:pt>
                <c:pt idx="3">
                  <c:v>0.93999999999999773</c:v>
                </c:pt>
                <c:pt idx="4">
                  <c:v>0.34000000000000341</c:v>
                </c:pt>
                <c:pt idx="5">
                  <c:v>0.93000000000000682</c:v>
                </c:pt>
                <c:pt idx="6">
                  <c:v>0.98999999999999488</c:v>
                </c:pt>
                <c:pt idx="7">
                  <c:v>0.95000000000000295</c:v>
                </c:pt>
                <c:pt idx="8">
                  <c:v>1</c:v>
                </c:pt>
                <c:pt idx="9">
                  <c:v>0.85999999999999965</c:v>
                </c:pt>
                <c:pt idx="10">
                  <c:v>0.82999999999999863</c:v>
                </c:pt>
                <c:pt idx="11">
                  <c:v>0.73943618851212956</c:v>
                </c:pt>
                <c:pt idx="12">
                  <c:v>0.67000000000000315</c:v>
                </c:pt>
              </c:numCache>
            </c:numRef>
          </c:val>
        </c:ser>
        <c:ser>
          <c:idx val="4"/>
          <c:order val="1"/>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kỳ'!$V$6:$AH$6</c:f>
            </c:numRef>
          </c:val>
        </c:ser>
        <c:ser>
          <c:idx val="1"/>
          <c:order val="2"/>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kỳ'!$V$7:$AH$7</c:f>
            </c:numRef>
          </c:val>
        </c:ser>
        <c:ser>
          <c:idx val="2"/>
          <c:order val="3"/>
          <c:cat>
            <c:strRef>
              <c:f>'Biểu đồ so cùng kỳ'!$V$4:$AH$4</c:f>
              <c:strCache>
                <c:ptCount val="13"/>
                <c:pt idx="0">
                  <c:v>T9/14</c:v>
                </c:pt>
                <c:pt idx="1">
                  <c:v>T10/14</c:v>
                </c:pt>
                <c:pt idx="2">
                  <c:v>T11/14</c:v>
                </c:pt>
                <c:pt idx="3">
                  <c:v>T12/14</c:v>
                </c:pt>
                <c:pt idx="4">
                  <c:v>T1/15</c:v>
                </c:pt>
                <c:pt idx="5">
                  <c:v>T2/15</c:v>
                </c:pt>
                <c:pt idx="6">
                  <c:v>T3/15</c:v>
                </c:pt>
                <c:pt idx="7">
                  <c:v>T4/15</c:v>
                </c:pt>
                <c:pt idx="8">
                  <c:v>T5/15</c:v>
                </c:pt>
                <c:pt idx="9">
                  <c:v>T6/15</c:v>
                </c:pt>
                <c:pt idx="10">
                  <c:v>T7/15</c:v>
                </c:pt>
                <c:pt idx="11">
                  <c:v>T8/15</c:v>
                </c:pt>
                <c:pt idx="12">
                  <c:v>T9/15</c:v>
                </c:pt>
              </c:strCache>
            </c:strRef>
          </c:cat>
          <c:val>
            <c:numRef>
              <c:f>'Biểu đồ so cùng kỳ'!$V$8:$AH$8</c:f>
            </c:numRef>
          </c:val>
        </c:ser>
        <c:ser>
          <c:idx val="3"/>
          <c:order val="4"/>
          <c:tx>
            <c:v>Lạm phát cơ bản</c:v>
          </c:tx>
          <c:cat>
            <c:strRef>
              <c:f>'Biểu đồ so cùng kỳ'!$W$4:$AI$4</c:f>
              <c:strCache>
                <c:ptCount val="13"/>
                <c:pt idx="0">
                  <c:v>T10/14</c:v>
                </c:pt>
                <c:pt idx="1">
                  <c:v>T11/14</c:v>
                </c:pt>
                <c:pt idx="2">
                  <c:v>T12/14</c:v>
                </c:pt>
                <c:pt idx="3">
                  <c:v>T1/15</c:v>
                </c:pt>
                <c:pt idx="4">
                  <c:v>T2/15</c:v>
                </c:pt>
                <c:pt idx="5">
                  <c:v>T3/15</c:v>
                </c:pt>
                <c:pt idx="6">
                  <c:v>T4/15</c:v>
                </c:pt>
                <c:pt idx="7">
                  <c:v>T5/15</c:v>
                </c:pt>
                <c:pt idx="8">
                  <c:v>T6/15</c:v>
                </c:pt>
                <c:pt idx="9">
                  <c:v>T7/15</c:v>
                </c:pt>
                <c:pt idx="10">
                  <c:v>T8/15</c:v>
                </c:pt>
                <c:pt idx="11">
                  <c:v>T9/15</c:v>
                </c:pt>
                <c:pt idx="12">
                  <c:v>T10/15</c:v>
                </c:pt>
              </c:strCache>
            </c:strRef>
          </c:cat>
          <c:val>
            <c:numRef>
              <c:f>'Biểu đồ so cùng kỳ'!$W$9:$AI$9</c:f>
              <c:numCache>
                <c:formatCode>0.00</c:formatCode>
                <c:ptCount val="13"/>
                <c:pt idx="0">
                  <c:v>3.0904382259767771</c:v>
                </c:pt>
                <c:pt idx="1">
                  <c:v>2.9752587117212026</c:v>
                </c:pt>
                <c:pt idx="2">
                  <c:v>2.9005147835269409</c:v>
                </c:pt>
                <c:pt idx="3">
                  <c:v>2.5801293558606084</c:v>
                </c:pt>
                <c:pt idx="4">
                  <c:v>2.3081731784582962</c:v>
                </c:pt>
                <c:pt idx="5">
                  <c:v>2.4822676874340197</c:v>
                </c:pt>
                <c:pt idx="6">
                  <c:v>2.419046990496283</c:v>
                </c:pt>
                <c:pt idx="7">
                  <c:v>2.4063727560718142</c:v>
                </c:pt>
                <c:pt idx="8">
                  <c:v>2.3668136219640927</c:v>
                </c:pt>
                <c:pt idx="9">
                  <c:v>2.4163727560718073</c:v>
                </c:pt>
                <c:pt idx="10">
                  <c:v>2.4131335797254452</c:v>
                </c:pt>
                <c:pt idx="11">
                  <c:v>2.3937551520987652</c:v>
                </c:pt>
                <c:pt idx="12">
                  <c:v>2.3777085533263009</c:v>
                </c:pt>
              </c:numCache>
            </c:numRef>
          </c:val>
        </c:ser>
        <c:marker val="1"/>
        <c:axId val="77941760"/>
        <c:axId val="77951744"/>
      </c:lineChart>
      <c:catAx>
        <c:axId val="77941760"/>
        <c:scaling>
          <c:orientation val="minMax"/>
        </c:scaling>
        <c:axPos val="b"/>
        <c:numFmt formatCode="0.00" sourceLinked="1"/>
        <c:tickLblPos val="nextTo"/>
        <c:crossAx val="77951744"/>
        <c:crosses val="autoZero"/>
        <c:lblAlgn val="ctr"/>
        <c:lblOffset val="100"/>
      </c:catAx>
      <c:valAx>
        <c:axId val="77951744"/>
        <c:scaling>
          <c:orientation val="minMax"/>
        </c:scaling>
        <c:axPos val="l"/>
        <c:majorGridlines>
          <c:spPr>
            <a:ln>
              <a:prstDash val="sysDot"/>
            </a:ln>
          </c:spPr>
        </c:majorGridlines>
        <c:numFmt formatCode="0" sourceLinked="0"/>
        <c:tickLblPos val="nextTo"/>
        <c:crossAx val="77941760"/>
        <c:crosses val="autoZero"/>
        <c:crossBetween val="between"/>
        <c:majorUnit val="1"/>
      </c:valAx>
      <c:spPr>
        <a:noFill/>
        <a:ln w="25400">
          <a:noFill/>
        </a:ln>
      </c:spPr>
    </c:plotArea>
    <c:legend>
      <c:legendPos val="b"/>
    </c:legend>
    <c:plotVisOnly val="1"/>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02291656579224"/>
          <c:y val="5.0925925925925923E-2"/>
          <c:w val="0.80859962429098464"/>
          <c:h val="0.58383434400758716"/>
        </c:manualLayout>
      </c:layout>
      <c:lineChart>
        <c:grouping val="standard"/>
        <c:ser>
          <c:idx val="0"/>
          <c:order val="0"/>
          <c:tx>
            <c:strRef>
              <c:f>Sheet1!$B$1</c:f>
              <c:strCache>
                <c:ptCount val="1"/>
                <c:pt idx="0">
                  <c:v>ON</c:v>
                </c:pt>
              </c:strCache>
            </c:strRef>
          </c:tx>
          <c:spPr>
            <a:ln w="25400">
              <a:solidFill>
                <a:schemeClr val="tx1"/>
              </a:solidFill>
              <a:prstDash val="sysDash"/>
            </a:ln>
          </c:spPr>
          <c:marker>
            <c:symbol val="none"/>
          </c:marker>
          <c:cat>
            <c:numRef>
              <c:f>Sheet1!$A$2:$A$199</c:f>
              <c:numCache>
                <c:formatCode>m/d/yyyy</c:formatCode>
                <c:ptCount val="198"/>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pt idx="155">
                  <c:v>42241</c:v>
                </c:pt>
                <c:pt idx="156">
                  <c:v>42242</c:v>
                </c:pt>
                <c:pt idx="157">
                  <c:v>42243</c:v>
                </c:pt>
                <c:pt idx="158">
                  <c:v>42244</c:v>
                </c:pt>
                <c:pt idx="159">
                  <c:v>42247</c:v>
                </c:pt>
                <c:pt idx="160">
                  <c:v>42248</c:v>
                </c:pt>
                <c:pt idx="161">
                  <c:v>42250</c:v>
                </c:pt>
                <c:pt idx="162">
                  <c:v>42251</c:v>
                </c:pt>
                <c:pt idx="163">
                  <c:v>42254</c:v>
                </c:pt>
                <c:pt idx="164">
                  <c:v>42255</c:v>
                </c:pt>
                <c:pt idx="165">
                  <c:v>42256</c:v>
                </c:pt>
                <c:pt idx="166">
                  <c:v>42257</c:v>
                </c:pt>
                <c:pt idx="167">
                  <c:v>42258</c:v>
                </c:pt>
                <c:pt idx="168">
                  <c:v>42261</c:v>
                </c:pt>
                <c:pt idx="169">
                  <c:v>42262</c:v>
                </c:pt>
                <c:pt idx="170">
                  <c:v>42263</c:v>
                </c:pt>
                <c:pt idx="171">
                  <c:v>42264</c:v>
                </c:pt>
                <c:pt idx="172">
                  <c:v>42265</c:v>
                </c:pt>
                <c:pt idx="173">
                  <c:v>42268</c:v>
                </c:pt>
                <c:pt idx="174">
                  <c:v>42269</c:v>
                </c:pt>
                <c:pt idx="175">
                  <c:v>42270</c:v>
                </c:pt>
                <c:pt idx="176">
                  <c:v>42271</c:v>
                </c:pt>
                <c:pt idx="177">
                  <c:v>42272</c:v>
                </c:pt>
                <c:pt idx="178">
                  <c:v>42275</c:v>
                </c:pt>
                <c:pt idx="179">
                  <c:v>42276</c:v>
                </c:pt>
                <c:pt idx="180">
                  <c:v>42277</c:v>
                </c:pt>
                <c:pt idx="181">
                  <c:v>42278</c:v>
                </c:pt>
                <c:pt idx="182">
                  <c:v>42279</c:v>
                </c:pt>
                <c:pt idx="183">
                  <c:v>42282</c:v>
                </c:pt>
                <c:pt idx="184">
                  <c:v>42283</c:v>
                </c:pt>
                <c:pt idx="185">
                  <c:v>42284</c:v>
                </c:pt>
                <c:pt idx="186">
                  <c:v>42285</c:v>
                </c:pt>
                <c:pt idx="187">
                  <c:v>42286</c:v>
                </c:pt>
                <c:pt idx="188">
                  <c:v>42289</c:v>
                </c:pt>
                <c:pt idx="189">
                  <c:v>42290</c:v>
                </c:pt>
                <c:pt idx="190">
                  <c:v>42291</c:v>
                </c:pt>
                <c:pt idx="191">
                  <c:v>42292</c:v>
                </c:pt>
                <c:pt idx="192">
                  <c:v>42293</c:v>
                </c:pt>
                <c:pt idx="193">
                  <c:v>42296</c:v>
                </c:pt>
                <c:pt idx="194">
                  <c:v>42297</c:v>
                </c:pt>
                <c:pt idx="195">
                  <c:v>42298</c:v>
                </c:pt>
                <c:pt idx="196">
                  <c:v>42299</c:v>
                </c:pt>
                <c:pt idx="197">
                  <c:v>42300</c:v>
                </c:pt>
              </c:numCache>
            </c:numRef>
          </c:cat>
          <c:val>
            <c:numRef>
              <c:f>Sheet1!$B$2:$B$199</c:f>
              <c:numCache>
                <c:formatCode>0.0%</c:formatCode>
                <c:ptCount val="198"/>
                <c:pt idx="0">
                  <c:v>4.0300000000000023E-2</c:v>
                </c:pt>
                <c:pt idx="1">
                  <c:v>4.0400000000000012E-2</c:v>
                </c:pt>
                <c:pt idx="2">
                  <c:v>3.9399999999999998E-2</c:v>
                </c:pt>
                <c:pt idx="3">
                  <c:v>3.8300000000000001E-2</c:v>
                </c:pt>
                <c:pt idx="4">
                  <c:v>3.6799999999999999E-2</c:v>
                </c:pt>
                <c:pt idx="5">
                  <c:v>3.6799999999999999E-2</c:v>
                </c:pt>
                <c:pt idx="6">
                  <c:v>3.7200000000000052E-2</c:v>
                </c:pt>
                <c:pt idx="7">
                  <c:v>3.7800000000000139E-2</c:v>
                </c:pt>
                <c:pt idx="8">
                  <c:v>3.8000000000000006E-2</c:v>
                </c:pt>
                <c:pt idx="9">
                  <c:v>3.8200000000000005E-2</c:v>
                </c:pt>
                <c:pt idx="10">
                  <c:v>3.8300000000000001E-2</c:v>
                </c:pt>
                <c:pt idx="11">
                  <c:v>3.8200000000000005E-2</c:v>
                </c:pt>
                <c:pt idx="12">
                  <c:v>3.6799999999999999E-2</c:v>
                </c:pt>
                <c:pt idx="13">
                  <c:v>3.4799999999999998E-2</c:v>
                </c:pt>
                <c:pt idx="14">
                  <c:v>3.3500000000000002E-2</c:v>
                </c:pt>
                <c:pt idx="15">
                  <c:v>3.3799999999999997E-2</c:v>
                </c:pt>
                <c:pt idx="16">
                  <c:v>3.4799999999999998E-2</c:v>
                </c:pt>
                <c:pt idx="17">
                  <c:v>3.6500000000000005E-2</c:v>
                </c:pt>
                <c:pt idx="18">
                  <c:v>3.6400000000000016E-2</c:v>
                </c:pt>
                <c:pt idx="19">
                  <c:v>3.6000000000000011E-2</c:v>
                </c:pt>
                <c:pt idx="20">
                  <c:v>4.6500000000000007E-2</c:v>
                </c:pt>
                <c:pt idx="21">
                  <c:v>4.8800000000000003E-2</c:v>
                </c:pt>
                <c:pt idx="22">
                  <c:v>4.8000000000000001E-2</c:v>
                </c:pt>
                <c:pt idx="23">
                  <c:v>4.6799999999999994E-2</c:v>
                </c:pt>
                <c:pt idx="24">
                  <c:v>4.8700000000000014E-2</c:v>
                </c:pt>
                <c:pt idx="25">
                  <c:v>4.9699999999999994E-2</c:v>
                </c:pt>
                <c:pt idx="26">
                  <c:v>5.0500000000000003E-2</c:v>
                </c:pt>
                <c:pt idx="27">
                  <c:v>5.1000000000000004E-2</c:v>
                </c:pt>
                <c:pt idx="28">
                  <c:v>5.0500000000000003E-2</c:v>
                </c:pt>
                <c:pt idx="29">
                  <c:v>5.0800000000000012E-2</c:v>
                </c:pt>
                <c:pt idx="30">
                  <c:v>4.6599999999999996E-2</c:v>
                </c:pt>
                <c:pt idx="31">
                  <c:v>4.0300000000000023E-2</c:v>
                </c:pt>
                <c:pt idx="32">
                  <c:v>3.1700000000000006E-2</c:v>
                </c:pt>
                <c:pt idx="33">
                  <c:v>3.85E-2</c:v>
                </c:pt>
                <c:pt idx="34">
                  <c:v>3.8800000000000001E-2</c:v>
                </c:pt>
                <c:pt idx="35">
                  <c:v>3.8200000000000005E-2</c:v>
                </c:pt>
                <c:pt idx="36">
                  <c:v>3.8200000000000005E-2</c:v>
                </c:pt>
                <c:pt idx="37">
                  <c:v>3.9000000000000014E-2</c:v>
                </c:pt>
                <c:pt idx="38">
                  <c:v>4.6300000000000001E-2</c:v>
                </c:pt>
                <c:pt idx="39">
                  <c:v>4.7800000000000023E-2</c:v>
                </c:pt>
                <c:pt idx="40">
                  <c:v>4.6199999999999998E-2</c:v>
                </c:pt>
                <c:pt idx="41">
                  <c:v>3.9800000000000002E-2</c:v>
                </c:pt>
                <c:pt idx="42">
                  <c:v>4.0800000000000003E-2</c:v>
                </c:pt>
                <c:pt idx="43">
                  <c:v>4.1299999999999996E-2</c:v>
                </c:pt>
                <c:pt idx="44">
                  <c:v>4.3500000000000004E-2</c:v>
                </c:pt>
                <c:pt idx="45">
                  <c:v>4.3000000000000003E-2</c:v>
                </c:pt>
                <c:pt idx="46">
                  <c:v>4.1800000000000004E-2</c:v>
                </c:pt>
                <c:pt idx="47">
                  <c:v>4.2000000000000023E-2</c:v>
                </c:pt>
                <c:pt idx="48">
                  <c:v>4.2000000000000023E-2</c:v>
                </c:pt>
                <c:pt idx="49">
                  <c:v>4.4800000000000034E-2</c:v>
                </c:pt>
                <c:pt idx="50">
                  <c:v>4.6799999999999994E-2</c:v>
                </c:pt>
                <c:pt idx="51">
                  <c:v>4.0500000000000001E-2</c:v>
                </c:pt>
                <c:pt idx="52">
                  <c:v>4.0500000000000001E-2</c:v>
                </c:pt>
                <c:pt idx="53">
                  <c:v>3.9199999999999999E-2</c:v>
                </c:pt>
                <c:pt idx="54">
                  <c:v>3.1000000000000052E-2</c:v>
                </c:pt>
                <c:pt idx="55">
                  <c:v>3.6600000000000042E-2</c:v>
                </c:pt>
                <c:pt idx="56">
                  <c:v>3.500000000000001E-2</c:v>
                </c:pt>
                <c:pt idx="57">
                  <c:v>3.32E-2</c:v>
                </c:pt>
                <c:pt idx="58">
                  <c:v>3.2000000000000042E-2</c:v>
                </c:pt>
                <c:pt idx="59">
                  <c:v>3.2300000000000002E-2</c:v>
                </c:pt>
                <c:pt idx="60">
                  <c:v>3.8300000000000001E-2</c:v>
                </c:pt>
                <c:pt idx="61">
                  <c:v>4.4000000000000032E-2</c:v>
                </c:pt>
                <c:pt idx="62">
                  <c:v>4.7500000000000014E-2</c:v>
                </c:pt>
                <c:pt idx="63">
                  <c:v>4.8500000000000008E-2</c:v>
                </c:pt>
                <c:pt idx="64">
                  <c:v>0.05</c:v>
                </c:pt>
                <c:pt idx="65">
                  <c:v>5.0300000000000032E-2</c:v>
                </c:pt>
                <c:pt idx="66">
                  <c:v>5.0300000000000032E-2</c:v>
                </c:pt>
                <c:pt idx="67">
                  <c:v>5.0500000000000003E-2</c:v>
                </c:pt>
                <c:pt idx="68">
                  <c:v>5.1000000000000004E-2</c:v>
                </c:pt>
                <c:pt idx="69">
                  <c:v>5.1399999999999994E-2</c:v>
                </c:pt>
                <c:pt idx="70">
                  <c:v>5.0300000000000032E-2</c:v>
                </c:pt>
                <c:pt idx="71">
                  <c:v>4.5700000000000032E-2</c:v>
                </c:pt>
                <c:pt idx="72">
                  <c:v>3.6000000000000011E-2</c:v>
                </c:pt>
                <c:pt idx="73">
                  <c:v>3.6000000000000011E-2</c:v>
                </c:pt>
                <c:pt idx="74">
                  <c:v>4.9300000000000191E-2</c:v>
                </c:pt>
                <c:pt idx="75">
                  <c:v>0.05</c:v>
                </c:pt>
                <c:pt idx="76">
                  <c:v>0.05</c:v>
                </c:pt>
                <c:pt idx="77">
                  <c:v>4.4400000000000113E-2</c:v>
                </c:pt>
                <c:pt idx="78">
                  <c:v>3.6300000000000006E-2</c:v>
                </c:pt>
                <c:pt idx="79">
                  <c:v>3.3000000000000002E-2</c:v>
                </c:pt>
                <c:pt idx="80">
                  <c:v>3.1800000000000002E-2</c:v>
                </c:pt>
                <c:pt idx="81">
                  <c:v>3.2800000000000142E-2</c:v>
                </c:pt>
                <c:pt idx="82">
                  <c:v>3.4000000000000002E-2</c:v>
                </c:pt>
                <c:pt idx="83">
                  <c:v>3.4000000000000002E-2</c:v>
                </c:pt>
                <c:pt idx="84">
                  <c:v>3.3799999999999997E-2</c:v>
                </c:pt>
                <c:pt idx="85">
                  <c:v>3.3799999999999997E-2</c:v>
                </c:pt>
                <c:pt idx="86">
                  <c:v>2.8999999999999998E-2</c:v>
                </c:pt>
                <c:pt idx="87">
                  <c:v>2.4E-2</c:v>
                </c:pt>
                <c:pt idx="88">
                  <c:v>2.1000000000000012E-2</c:v>
                </c:pt>
                <c:pt idx="89">
                  <c:v>2.0000000000000011E-2</c:v>
                </c:pt>
                <c:pt idx="90">
                  <c:v>1.8300000000000021E-2</c:v>
                </c:pt>
                <c:pt idx="91">
                  <c:v>1.8000000000000023E-2</c:v>
                </c:pt>
                <c:pt idx="92">
                  <c:v>1.4999999999999998E-2</c:v>
                </c:pt>
                <c:pt idx="93">
                  <c:v>1.2400000000000001E-2</c:v>
                </c:pt>
                <c:pt idx="94">
                  <c:v>2.1800000000000052E-2</c:v>
                </c:pt>
                <c:pt idx="95">
                  <c:v>3.0000000000000002E-2</c:v>
                </c:pt>
                <c:pt idx="96">
                  <c:v>3.1800000000000002E-2</c:v>
                </c:pt>
                <c:pt idx="97">
                  <c:v>3.4599999999999999E-2</c:v>
                </c:pt>
                <c:pt idx="98">
                  <c:v>3.5200000000000002E-2</c:v>
                </c:pt>
                <c:pt idx="99">
                  <c:v>3.9199999999999999E-2</c:v>
                </c:pt>
                <c:pt idx="100">
                  <c:v>4.1399999999999999E-2</c:v>
                </c:pt>
                <c:pt idx="101">
                  <c:v>4.5500000000000013E-2</c:v>
                </c:pt>
                <c:pt idx="102">
                  <c:v>4.5000000000000012E-2</c:v>
                </c:pt>
                <c:pt idx="103">
                  <c:v>4.4800000000000034E-2</c:v>
                </c:pt>
                <c:pt idx="104">
                  <c:v>4.5000000000000012E-2</c:v>
                </c:pt>
                <c:pt idx="105">
                  <c:v>4.2000000000000023E-2</c:v>
                </c:pt>
                <c:pt idx="106">
                  <c:v>3.3000000000000002E-2</c:v>
                </c:pt>
                <c:pt idx="107">
                  <c:v>3.4000000000000002E-2</c:v>
                </c:pt>
                <c:pt idx="108">
                  <c:v>3.2000000000000042E-2</c:v>
                </c:pt>
                <c:pt idx="109">
                  <c:v>3.0400000000000052E-2</c:v>
                </c:pt>
                <c:pt idx="110">
                  <c:v>2.8000000000000004E-2</c:v>
                </c:pt>
                <c:pt idx="111">
                  <c:v>2.7000000000000097E-2</c:v>
                </c:pt>
                <c:pt idx="112">
                  <c:v>2.4E-2</c:v>
                </c:pt>
                <c:pt idx="113">
                  <c:v>2.4500000000000001E-2</c:v>
                </c:pt>
                <c:pt idx="114">
                  <c:v>2.3599999999999993E-2</c:v>
                </c:pt>
                <c:pt idx="115">
                  <c:v>2.3799999999999998E-2</c:v>
                </c:pt>
                <c:pt idx="116">
                  <c:v>3.6200000000000052E-2</c:v>
                </c:pt>
                <c:pt idx="117">
                  <c:v>3.5300000000000005E-2</c:v>
                </c:pt>
                <c:pt idx="118">
                  <c:v>3.3399999999999999E-2</c:v>
                </c:pt>
                <c:pt idx="119">
                  <c:v>3.2600000000000136E-2</c:v>
                </c:pt>
                <c:pt idx="120">
                  <c:v>2.8500000000000001E-2</c:v>
                </c:pt>
                <c:pt idx="121">
                  <c:v>2.5500000000000002E-2</c:v>
                </c:pt>
                <c:pt idx="122">
                  <c:v>2.4199999999999989E-2</c:v>
                </c:pt>
                <c:pt idx="123">
                  <c:v>2.1500000000000002E-2</c:v>
                </c:pt>
                <c:pt idx="124">
                  <c:v>2.1800000000000052E-2</c:v>
                </c:pt>
                <c:pt idx="125">
                  <c:v>2.2400000000000052E-2</c:v>
                </c:pt>
                <c:pt idx="126">
                  <c:v>2.1800000000000052E-2</c:v>
                </c:pt>
                <c:pt idx="127">
                  <c:v>2.0799999999999999E-2</c:v>
                </c:pt>
                <c:pt idx="128">
                  <c:v>2.0299999999999999E-2</c:v>
                </c:pt>
                <c:pt idx="129">
                  <c:v>1.8800000000000067E-2</c:v>
                </c:pt>
                <c:pt idx="130">
                  <c:v>1.8000000000000023E-2</c:v>
                </c:pt>
                <c:pt idx="131">
                  <c:v>2.0000000000000011E-2</c:v>
                </c:pt>
                <c:pt idx="132">
                  <c:v>2.1500000000000002E-2</c:v>
                </c:pt>
                <c:pt idx="133">
                  <c:v>2.5200000000000011E-2</c:v>
                </c:pt>
                <c:pt idx="134">
                  <c:v>2.6600000000000016E-2</c:v>
                </c:pt>
                <c:pt idx="135">
                  <c:v>2.8999999999999998E-2</c:v>
                </c:pt>
                <c:pt idx="136">
                  <c:v>3.0300000000000011E-2</c:v>
                </c:pt>
                <c:pt idx="137">
                  <c:v>3.3000000000000002E-2</c:v>
                </c:pt>
                <c:pt idx="138">
                  <c:v>4.0300000000000023E-2</c:v>
                </c:pt>
                <c:pt idx="139">
                  <c:v>4.36E-2</c:v>
                </c:pt>
                <c:pt idx="140">
                  <c:v>4.1399999999999999E-2</c:v>
                </c:pt>
                <c:pt idx="141">
                  <c:v>3.7800000000000139E-2</c:v>
                </c:pt>
                <c:pt idx="142">
                  <c:v>3.6799999999999999E-2</c:v>
                </c:pt>
                <c:pt idx="143">
                  <c:v>3.6400000000000016E-2</c:v>
                </c:pt>
                <c:pt idx="144">
                  <c:v>3.6600000000000042E-2</c:v>
                </c:pt>
                <c:pt idx="145">
                  <c:v>3.95E-2</c:v>
                </c:pt>
                <c:pt idx="146">
                  <c:v>4.7300000000000113E-2</c:v>
                </c:pt>
                <c:pt idx="147">
                  <c:v>4.8599999999999997E-2</c:v>
                </c:pt>
                <c:pt idx="148">
                  <c:v>5.0400000000000014E-2</c:v>
                </c:pt>
                <c:pt idx="149">
                  <c:v>0.05</c:v>
                </c:pt>
                <c:pt idx="150">
                  <c:v>5.0400000000000014E-2</c:v>
                </c:pt>
                <c:pt idx="151">
                  <c:v>5.0400000000000014E-2</c:v>
                </c:pt>
                <c:pt idx="152">
                  <c:v>0.05</c:v>
                </c:pt>
                <c:pt idx="153">
                  <c:v>5.0300000000000032E-2</c:v>
                </c:pt>
                <c:pt idx="154">
                  <c:v>5.1800000000000013E-2</c:v>
                </c:pt>
                <c:pt idx="155">
                  <c:v>5.0300000000000032E-2</c:v>
                </c:pt>
                <c:pt idx="156">
                  <c:v>4.7600000000000003E-2</c:v>
                </c:pt>
                <c:pt idx="157">
                  <c:v>3.8200000000000005E-2</c:v>
                </c:pt>
                <c:pt idx="158">
                  <c:v>3.2000000000000042E-2</c:v>
                </c:pt>
                <c:pt idx="159">
                  <c:v>3.3500000000000002E-2</c:v>
                </c:pt>
                <c:pt idx="160">
                  <c:v>4.1299999999999996E-2</c:v>
                </c:pt>
                <c:pt idx="161">
                  <c:v>4.2500000000000003E-2</c:v>
                </c:pt>
                <c:pt idx="162">
                  <c:v>4.2199999999999994E-2</c:v>
                </c:pt>
                <c:pt idx="163">
                  <c:v>4.2400000000000014E-2</c:v>
                </c:pt>
                <c:pt idx="164">
                  <c:v>4.0500000000000001E-2</c:v>
                </c:pt>
                <c:pt idx="165">
                  <c:v>4.1000000000000002E-2</c:v>
                </c:pt>
                <c:pt idx="166">
                  <c:v>3.9000000000000014E-2</c:v>
                </c:pt>
                <c:pt idx="167">
                  <c:v>4.1000000000000002E-2</c:v>
                </c:pt>
                <c:pt idx="168">
                  <c:v>4.1000000000000002E-2</c:v>
                </c:pt>
                <c:pt idx="169">
                  <c:v>4.3299999999999998E-2</c:v>
                </c:pt>
                <c:pt idx="170">
                  <c:v>4.4299999999999999E-2</c:v>
                </c:pt>
                <c:pt idx="171">
                  <c:v>4.4800000000000034E-2</c:v>
                </c:pt>
                <c:pt idx="172">
                  <c:v>4.4800000000000034E-2</c:v>
                </c:pt>
                <c:pt idx="173">
                  <c:v>4.4800000000000034E-2</c:v>
                </c:pt>
                <c:pt idx="174">
                  <c:v>4.5800000000000014E-2</c:v>
                </c:pt>
                <c:pt idx="175">
                  <c:v>4.3500000000000004E-2</c:v>
                </c:pt>
                <c:pt idx="176">
                  <c:v>3.85E-2</c:v>
                </c:pt>
                <c:pt idx="177">
                  <c:v>3.3500000000000002E-2</c:v>
                </c:pt>
                <c:pt idx="178">
                  <c:v>3.15E-2</c:v>
                </c:pt>
                <c:pt idx="179">
                  <c:v>2.7800000000000109E-2</c:v>
                </c:pt>
                <c:pt idx="180">
                  <c:v>2.3399999999999997E-2</c:v>
                </c:pt>
                <c:pt idx="181">
                  <c:v>3.6000000000000011E-2</c:v>
                </c:pt>
                <c:pt idx="182">
                  <c:v>3.5400000000000001E-2</c:v>
                </c:pt>
                <c:pt idx="183">
                  <c:v>3.4500000000000003E-2</c:v>
                </c:pt>
                <c:pt idx="184">
                  <c:v>3.1600000000000052E-2</c:v>
                </c:pt>
                <c:pt idx="185">
                  <c:v>3.0700000000000002E-2</c:v>
                </c:pt>
                <c:pt idx="186">
                  <c:v>3.0400000000000052E-2</c:v>
                </c:pt>
                <c:pt idx="187">
                  <c:v>3.0800000000000011E-2</c:v>
                </c:pt>
                <c:pt idx="188">
                  <c:v>3.1600000000000052E-2</c:v>
                </c:pt>
                <c:pt idx="189">
                  <c:v>3.4000000000000002E-2</c:v>
                </c:pt>
                <c:pt idx="190">
                  <c:v>3.4599999999999999E-2</c:v>
                </c:pt>
                <c:pt idx="191">
                  <c:v>3.4000000000000002E-2</c:v>
                </c:pt>
                <c:pt idx="192">
                  <c:v>3.2800000000000142E-2</c:v>
                </c:pt>
                <c:pt idx="193">
                  <c:v>3.0800000000000011E-2</c:v>
                </c:pt>
                <c:pt idx="194">
                  <c:v>2.9300000000000003E-2</c:v>
                </c:pt>
                <c:pt idx="195">
                  <c:v>2.6500000000000006E-2</c:v>
                </c:pt>
                <c:pt idx="196">
                  <c:v>2.4299999999999999E-2</c:v>
                </c:pt>
                <c:pt idx="197">
                  <c:v>2.4E-2</c:v>
                </c:pt>
              </c:numCache>
            </c:numRef>
          </c:val>
          <c:smooth val="1"/>
        </c:ser>
        <c:ser>
          <c:idx val="1"/>
          <c:order val="1"/>
          <c:tx>
            <c:strRef>
              <c:f>Sheet1!$C$1</c:f>
              <c:strCache>
                <c:ptCount val="1"/>
                <c:pt idx="0">
                  <c:v>1M</c:v>
                </c:pt>
              </c:strCache>
            </c:strRef>
          </c:tx>
          <c:spPr>
            <a:ln w="25400">
              <a:solidFill>
                <a:schemeClr val="tx1"/>
              </a:solidFill>
            </a:ln>
          </c:spPr>
          <c:marker>
            <c:symbol val="none"/>
          </c:marker>
          <c:cat>
            <c:numRef>
              <c:f>Sheet1!$A$2:$A$199</c:f>
              <c:numCache>
                <c:formatCode>m/d/yyyy</c:formatCode>
                <c:ptCount val="198"/>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pt idx="155">
                  <c:v>42241</c:v>
                </c:pt>
                <c:pt idx="156">
                  <c:v>42242</c:v>
                </c:pt>
                <c:pt idx="157">
                  <c:v>42243</c:v>
                </c:pt>
                <c:pt idx="158">
                  <c:v>42244</c:v>
                </c:pt>
                <c:pt idx="159">
                  <c:v>42247</c:v>
                </c:pt>
                <c:pt idx="160">
                  <c:v>42248</c:v>
                </c:pt>
                <c:pt idx="161">
                  <c:v>42250</c:v>
                </c:pt>
                <c:pt idx="162">
                  <c:v>42251</c:v>
                </c:pt>
                <c:pt idx="163">
                  <c:v>42254</c:v>
                </c:pt>
                <c:pt idx="164">
                  <c:v>42255</c:v>
                </c:pt>
                <c:pt idx="165">
                  <c:v>42256</c:v>
                </c:pt>
                <c:pt idx="166">
                  <c:v>42257</c:v>
                </c:pt>
                <c:pt idx="167">
                  <c:v>42258</c:v>
                </c:pt>
                <c:pt idx="168">
                  <c:v>42261</c:v>
                </c:pt>
                <c:pt idx="169">
                  <c:v>42262</c:v>
                </c:pt>
                <c:pt idx="170">
                  <c:v>42263</c:v>
                </c:pt>
                <c:pt idx="171">
                  <c:v>42264</c:v>
                </c:pt>
                <c:pt idx="172">
                  <c:v>42265</c:v>
                </c:pt>
                <c:pt idx="173">
                  <c:v>42268</c:v>
                </c:pt>
                <c:pt idx="174">
                  <c:v>42269</c:v>
                </c:pt>
                <c:pt idx="175">
                  <c:v>42270</c:v>
                </c:pt>
                <c:pt idx="176">
                  <c:v>42271</c:v>
                </c:pt>
                <c:pt idx="177">
                  <c:v>42272</c:v>
                </c:pt>
                <c:pt idx="178">
                  <c:v>42275</c:v>
                </c:pt>
                <c:pt idx="179">
                  <c:v>42276</c:v>
                </c:pt>
                <c:pt idx="180">
                  <c:v>42277</c:v>
                </c:pt>
                <c:pt idx="181">
                  <c:v>42278</c:v>
                </c:pt>
                <c:pt idx="182">
                  <c:v>42279</c:v>
                </c:pt>
                <c:pt idx="183">
                  <c:v>42282</c:v>
                </c:pt>
                <c:pt idx="184">
                  <c:v>42283</c:v>
                </c:pt>
                <c:pt idx="185">
                  <c:v>42284</c:v>
                </c:pt>
                <c:pt idx="186">
                  <c:v>42285</c:v>
                </c:pt>
                <c:pt idx="187">
                  <c:v>42286</c:v>
                </c:pt>
                <c:pt idx="188">
                  <c:v>42289</c:v>
                </c:pt>
                <c:pt idx="189">
                  <c:v>42290</c:v>
                </c:pt>
                <c:pt idx="190">
                  <c:v>42291</c:v>
                </c:pt>
                <c:pt idx="191">
                  <c:v>42292</c:v>
                </c:pt>
                <c:pt idx="192">
                  <c:v>42293</c:v>
                </c:pt>
                <c:pt idx="193">
                  <c:v>42296</c:v>
                </c:pt>
                <c:pt idx="194">
                  <c:v>42297</c:v>
                </c:pt>
                <c:pt idx="195">
                  <c:v>42298</c:v>
                </c:pt>
                <c:pt idx="196">
                  <c:v>42299</c:v>
                </c:pt>
                <c:pt idx="197">
                  <c:v>42300</c:v>
                </c:pt>
              </c:numCache>
            </c:numRef>
          </c:cat>
          <c:val>
            <c:numRef>
              <c:f>Sheet1!$C$2:$C$199</c:f>
              <c:numCache>
                <c:formatCode>0.0%</c:formatCode>
                <c:ptCount val="198"/>
                <c:pt idx="0">
                  <c:v>4.5300000000000014E-2</c:v>
                </c:pt>
                <c:pt idx="1">
                  <c:v>4.5000000000000012E-2</c:v>
                </c:pt>
                <c:pt idx="2">
                  <c:v>4.4800000000000034E-2</c:v>
                </c:pt>
                <c:pt idx="3">
                  <c:v>4.5000000000000012E-2</c:v>
                </c:pt>
                <c:pt idx="4">
                  <c:v>4.5000000000000012E-2</c:v>
                </c:pt>
                <c:pt idx="5">
                  <c:v>4.4500000000000033E-2</c:v>
                </c:pt>
                <c:pt idx="6">
                  <c:v>4.4600000000000022E-2</c:v>
                </c:pt>
                <c:pt idx="7">
                  <c:v>4.4500000000000033E-2</c:v>
                </c:pt>
                <c:pt idx="8">
                  <c:v>4.4600000000000022E-2</c:v>
                </c:pt>
                <c:pt idx="9">
                  <c:v>4.4800000000000034E-2</c:v>
                </c:pt>
                <c:pt idx="10">
                  <c:v>4.4500000000000033E-2</c:v>
                </c:pt>
                <c:pt idx="11">
                  <c:v>4.4600000000000022E-2</c:v>
                </c:pt>
                <c:pt idx="12">
                  <c:v>4.4299999999999999E-2</c:v>
                </c:pt>
                <c:pt idx="13">
                  <c:v>4.3800000000000013E-2</c:v>
                </c:pt>
                <c:pt idx="14">
                  <c:v>4.3500000000000004E-2</c:v>
                </c:pt>
                <c:pt idx="15">
                  <c:v>4.3500000000000004E-2</c:v>
                </c:pt>
                <c:pt idx="16">
                  <c:v>4.3400000000000001E-2</c:v>
                </c:pt>
                <c:pt idx="17">
                  <c:v>4.3800000000000013E-2</c:v>
                </c:pt>
                <c:pt idx="18">
                  <c:v>4.3800000000000013E-2</c:v>
                </c:pt>
                <c:pt idx="19">
                  <c:v>4.4000000000000032E-2</c:v>
                </c:pt>
                <c:pt idx="20">
                  <c:v>4.8300000000000003E-2</c:v>
                </c:pt>
                <c:pt idx="21">
                  <c:v>4.9600000000000012E-2</c:v>
                </c:pt>
                <c:pt idx="22">
                  <c:v>4.9300000000000191E-2</c:v>
                </c:pt>
                <c:pt idx="23">
                  <c:v>4.9000000000000113E-2</c:v>
                </c:pt>
                <c:pt idx="24">
                  <c:v>4.9300000000000191E-2</c:v>
                </c:pt>
                <c:pt idx="25">
                  <c:v>0.05</c:v>
                </c:pt>
                <c:pt idx="26">
                  <c:v>5.0500000000000003E-2</c:v>
                </c:pt>
                <c:pt idx="27">
                  <c:v>5.0300000000000032E-2</c:v>
                </c:pt>
                <c:pt idx="28">
                  <c:v>0.05</c:v>
                </c:pt>
                <c:pt idx="29">
                  <c:v>5.0400000000000014E-2</c:v>
                </c:pt>
                <c:pt idx="30">
                  <c:v>4.9000000000000113E-2</c:v>
                </c:pt>
                <c:pt idx="31">
                  <c:v>4.7000000000000014E-2</c:v>
                </c:pt>
                <c:pt idx="32">
                  <c:v>4.3299999999999998E-2</c:v>
                </c:pt>
                <c:pt idx="33">
                  <c:v>4.3800000000000013E-2</c:v>
                </c:pt>
                <c:pt idx="34">
                  <c:v>4.3500000000000004E-2</c:v>
                </c:pt>
                <c:pt idx="35">
                  <c:v>4.2600000000000013E-2</c:v>
                </c:pt>
                <c:pt idx="36">
                  <c:v>4.2800000000000032E-2</c:v>
                </c:pt>
                <c:pt idx="37">
                  <c:v>4.3000000000000003E-2</c:v>
                </c:pt>
                <c:pt idx="38">
                  <c:v>4.6799999999999994E-2</c:v>
                </c:pt>
                <c:pt idx="39">
                  <c:v>4.7800000000000023E-2</c:v>
                </c:pt>
                <c:pt idx="40">
                  <c:v>4.7000000000000014E-2</c:v>
                </c:pt>
                <c:pt idx="41">
                  <c:v>4.4600000000000022E-2</c:v>
                </c:pt>
                <c:pt idx="42">
                  <c:v>4.5000000000000012E-2</c:v>
                </c:pt>
                <c:pt idx="43">
                  <c:v>4.5000000000000012E-2</c:v>
                </c:pt>
                <c:pt idx="44">
                  <c:v>4.5000000000000012E-2</c:v>
                </c:pt>
                <c:pt idx="45">
                  <c:v>4.5300000000000014E-2</c:v>
                </c:pt>
                <c:pt idx="46">
                  <c:v>4.5400000000000003E-2</c:v>
                </c:pt>
                <c:pt idx="47">
                  <c:v>4.5600000000000002E-2</c:v>
                </c:pt>
                <c:pt idx="48">
                  <c:v>4.5700000000000032E-2</c:v>
                </c:pt>
                <c:pt idx="49">
                  <c:v>4.6599999999999996E-2</c:v>
                </c:pt>
                <c:pt idx="50">
                  <c:v>4.8000000000000001E-2</c:v>
                </c:pt>
                <c:pt idx="51">
                  <c:v>4.5800000000000014E-2</c:v>
                </c:pt>
                <c:pt idx="52">
                  <c:v>4.5800000000000014E-2</c:v>
                </c:pt>
                <c:pt idx="53">
                  <c:v>4.5400000000000003E-2</c:v>
                </c:pt>
                <c:pt idx="54">
                  <c:v>4.4800000000000034E-2</c:v>
                </c:pt>
                <c:pt idx="55">
                  <c:v>4.4600000000000022E-2</c:v>
                </c:pt>
                <c:pt idx="56">
                  <c:v>4.36E-2</c:v>
                </c:pt>
                <c:pt idx="57">
                  <c:v>4.36E-2</c:v>
                </c:pt>
                <c:pt idx="58">
                  <c:v>4.2500000000000003E-2</c:v>
                </c:pt>
                <c:pt idx="59">
                  <c:v>4.2500000000000003E-2</c:v>
                </c:pt>
                <c:pt idx="60">
                  <c:v>4.4000000000000032E-2</c:v>
                </c:pt>
                <c:pt idx="61">
                  <c:v>4.6300000000000001E-2</c:v>
                </c:pt>
                <c:pt idx="62">
                  <c:v>4.9000000000000113E-2</c:v>
                </c:pt>
                <c:pt idx="63">
                  <c:v>4.9800000000000122E-2</c:v>
                </c:pt>
                <c:pt idx="64">
                  <c:v>5.1199999999999996E-2</c:v>
                </c:pt>
                <c:pt idx="65">
                  <c:v>5.1299999999999998E-2</c:v>
                </c:pt>
                <c:pt idx="66">
                  <c:v>5.2000000000000032E-2</c:v>
                </c:pt>
                <c:pt idx="67">
                  <c:v>5.2300000000000034E-2</c:v>
                </c:pt>
                <c:pt idx="68">
                  <c:v>5.2500000000000012E-2</c:v>
                </c:pt>
                <c:pt idx="69">
                  <c:v>5.2600000000000001E-2</c:v>
                </c:pt>
                <c:pt idx="70">
                  <c:v>5.2300000000000034E-2</c:v>
                </c:pt>
                <c:pt idx="71">
                  <c:v>5.1299999999999998E-2</c:v>
                </c:pt>
                <c:pt idx="72">
                  <c:v>4.7000000000000014E-2</c:v>
                </c:pt>
                <c:pt idx="73">
                  <c:v>4.7000000000000014E-2</c:v>
                </c:pt>
                <c:pt idx="74">
                  <c:v>5.0300000000000032E-2</c:v>
                </c:pt>
                <c:pt idx="75">
                  <c:v>5.0800000000000012E-2</c:v>
                </c:pt>
                <c:pt idx="76">
                  <c:v>5.0800000000000012E-2</c:v>
                </c:pt>
                <c:pt idx="77">
                  <c:v>4.8800000000000003E-2</c:v>
                </c:pt>
                <c:pt idx="78">
                  <c:v>4.5300000000000014E-2</c:v>
                </c:pt>
                <c:pt idx="79">
                  <c:v>4.36E-2</c:v>
                </c:pt>
                <c:pt idx="80">
                  <c:v>4.3000000000000003E-2</c:v>
                </c:pt>
                <c:pt idx="81">
                  <c:v>4.3000000000000003E-2</c:v>
                </c:pt>
                <c:pt idx="82">
                  <c:v>4.3800000000000013E-2</c:v>
                </c:pt>
                <c:pt idx="83">
                  <c:v>4.3800000000000013E-2</c:v>
                </c:pt>
                <c:pt idx="84">
                  <c:v>4.3500000000000004E-2</c:v>
                </c:pt>
                <c:pt idx="85">
                  <c:v>4.3500000000000004E-2</c:v>
                </c:pt>
                <c:pt idx="86">
                  <c:v>4.2199999999999994E-2</c:v>
                </c:pt>
                <c:pt idx="87">
                  <c:v>4.0800000000000003E-2</c:v>
                </c:pt>
                <c:pt idx="88">
                  <c:v>3.8599999999999995E-2</c:v>
                </c:pt>
                <c:pt idx="89">
                  <c:v>3.8000000000000006E-2</c:v>
                </c:pt>
                <c:pt idx="90">
                  <c:v>3.7800000000000139E-2</c:v>
                </c:pt>
                <c:pt idx="91">
                  <c:v>3.8000000000000006E-2</c:v>
                </c:pt>
                <c:pt idx="92">
                  <c:v>3.7800000000000139E-2</c:v>
                </c:pt>
                <c:pt idx="93">
                  <c:v>3.7400000000000148E-2</c:v>
                </c:pt>
                <c:pt idx="94">
                  <c:v>3.7600000000000133E-2</c:v>
                </c:pt>
                <c:pt idx="95">
                  <c:v>3.8300000000000001E-2</c:v>
                </c:pt>
                <c:pt idx="96">
                  <c:v>3.9000000000000014E-2</c:v>
                </c:pt>
                <c:pt idx="97">
                  <c:v>4.2000000000000023E-2</c:v>
                </c:pt>
                <c:pt idx="98">
                  <c:v>4.2800000000000032E-2</c:v>
                </c:pt>
                <c:pt idx="99">
                  <c:v>4.4600000000000022E-2</c:v>
                </c:pt>
                <c:pt idx="100">
                  <c:v>4.6199999999999998E-2</c:v>
                </c:pt>
                <c:pt idx="101">
                  <c:v>4.7500000000000014E-2</c:v>
                </c:pt>
                <c:pt idx="102">
                  <c:v>4.7400000000000032E-2</c:v>
                </c:pt>
                <c:pt idx="103">
                  <c:v>4.8400000000000012E-2</c:v>
                </c:pt>
                <c:pt idx="104">
                  <c:v>4.8300000000000003E-2</c:v>
                </c:pt>
                <c:pt idx="105">
                  <c:v>4.7200000000000013E-2</c:v>
                </c:pt>
                <c:pt idx="106">
                  <c:v>4.4800000000000034E-2</c:v>
                </c:pt>
                <c:pt idx="107">
                  <c:v>4.5000000000000012E-2</c:v>
                </c:pt>
                <c:pt idx="108">
                  <c:v>4.4000000000000032E-2</c:v>
                </c:pt>
                <c:pt idx="109">
                  <c:v>4.3000000000000003E-2</c:v>
                </c:pt>
                <c:pt idx="110">
                  <c:v>4.2500000000000003E-2</c:v>
                </c:pt>
                <c:pt idx="111">
                  <c:v>4.2800000000000032E-2</c:v>
                </c:pt>
                <c:pt idx="112">
                  <c:v>4.2600000000000013E-2</c:v>
                </c:pt>
                <c:pt idx="113">
                  <c:v>4.2500000000000003E-2</c:v>
                </c:pt>
                <c:pt idx="114">
                  <c:v>4.1800000000000004E-2</c:v>
                </c:pt>
                <c:pt idx="115">
                  <c:v>4.2800000000000032E-2</c:v>
                </c:pt>
                <c:pt idx="116">
                  <c:v>4.3400000000000001E-2</c:v>
                </c:pt>
                <c:pt idx="117">
                  <c:v>4.2500000000000003E-2</c:v>
                </c:pt>
                <c:pt idx="118">
                  <c:v>4.2400000000000014E-2</c:v>
                </c:pt>
                <c:pt idx="119">
                  <c:v>4.1800000000000004E-2</c:v>
                </c:pt>
                <c:pt idx="120">
                  <c:v>4.1299999999999996E-2</c:v>
                </c:pt>
                <c:pt idx="121">
                  <c:v>4.0300000000000023E-2</c:v>
                </c:pt>
                <c:pt idx="122">
                  <c:v>3.9599999999999996E-2</c:v>
                </c:pt>
                <c:pt idx="123">
                  <c:v>3.95E-2</c:v>
                </c:pt>
                <c:pt idx="124">
                  <c:v>3.9000000000000014E-2</c:v>
                </c:pt>
                <c:pt idx="125">
                  <c:v>3.8399999999999997E-2</c:v>
                </c:pt>
                <c:pt idx="126">
                  <c:v>3.8200000000000005E-2</c:v>
                </c:pt>
                <c:pt idx="127">
                  <c:v>3.7000000000000012E-2</c:v>
                </c:pt>
                <c:pt idx="128">
                  <c:v>3.6000000000000011E-2</c:v>
                </c:pt>
                <c:pt idx="129">
                  <c:v>3.4500000000000003E-2</c:v>
                </c:pt>
                <c:pt idx="130">
                  <c:v>3.3500000000000002E-2</c:v>
                </c:pt>
                <c:pt idx="131">
                  <c:v>3.5799999999999998E-2</c:v>
                </c:pt>
                <c:pt idx="132">
                  <c:v>3.6300000000000006E-2</c:v>
                </c:pt>
                <c:pt idx="133">
                  <c:v>3.8800000000000001E-2</c:v>
                </c:pt>
                <c:pt idx="134">
                  <c:v>3.9599999999999996E-2</c:v>
                </c:pt>
                <c:pt idx="135">
                  <c:v>4.0599999999999997E-2</c:v>
                </c:pt>
                <c:pt idx="136">
                  <c:v>4.0800000000000003E-2</c:v>
                </c:pt>
                <c:pt idx="137">
                  <c:v>4.1500000000000002E-2</c:v>
                </c:pt>
                <c:pt idx="138">
                  <c:v>4.4000000000000032E-2</c:v>
                </c:pt>
                <c:pt idx="139">
                  <c:v>4.4000000000000032E-2</c:v>
                </c:pt>
                <c:pt idx="140">
                  <c:v>4.3800000000000013E-2</c:v>
                </c:pt>
                <c:pt idx="141">
                  <c:v>4.2000000000000023E-2</c:v>
                </c:pt>
                <c:pt idx="142">
                  <c:v>4.1500000000000002E-2</c:v>
                </c:pt>
                <c:pt idx="143">
                  <c:v>4.1199999999999987E-2</c:v>
                </c:pt>
                <c:pt idx="144">
                  <c:v>4.1399999999999999E-2</c:v>
                </c:pt>
                <c:pt idx="145">
                  <c:v>4.2500000000000003E-2</c:v>
                </c:pt>
                <c:pt idx="146">
                  <c:v>4.7300000000000113E-2</c:v>
                </c:pt>
                <c:pt idx="147">
                  <c:v>4.7400000000000032E-2</c:v>
                </c:pt>
                <c:pt idx="148">
                  <c:v>4.9200000000000021E-2</c:v>
                </c:pt>
                <c:pt idx="149">
                  <c:v>4.9800000000000122E-2</c:v>
                </c:pt>
                <c:pt idx="150">
                  <c:v>0.05</c:v>
                </c:pt>
                <c:pt idx="151">
                  <c:v>0.05</c:v>
                </c:pt>
                <c:pt idx="152">
                  <c:v>4.9600000000000012E-2</c:v>
                </c:pt>
                <c:pt idx="153">
                  <c:v>0.05</c:v>
                </c:pt>
                <c:pt idx="154">
                  <c:v>4.9800000000000122E-2</c:v>
                </c:pt>
                <c:pt idx="155">
                  <c:v>0.05</c:v>
                </c:pt>
                <c:pt idx="156">
                  <c:v>4.9600000000000012E-2</c:v>
                </c:pt>
                <c:pt idx="157">
                  <c:v>4.6799999999999994E-2</c:v>
                </c:pt>
                <c:pt idx="158">
                  <c:v>4.5800000000000014E-2</c:v>
                </c:pt>
                <c:pt idx="159">
                  <c:v>4.6300000000000001E-2</c:v>
                </c:pt>
                <c:pt idx="160">
                  <c:v>4.6000000000000013E-2</c:v>
                </c:pt>
                <c:pt idx="161">
                  <c:v>4.7000000000000014E-2</c:v>
                </c:pt>
                <c:pt idx="162">
                  <c:v>4.7600000000000003E-2</c:v>
                </c:pt>
                <c:pt idx="163">
                  <c:v>4.7400000000000032E-2</c:v>
                </c:pt>
                <c:pt idx="164">
                  <c:v>4.6300000000000001E-2</c:v>
                </c:pt>
                <c:pt idx="165">
                  <c:v>4.6300000000000001E-2</c:v>
                </c:pt>
                <c:pt idx="166">
                  <c:v>4.5000000000000012E-2</c:v>
                </c:pt>
                <c:pt idx="167">
                  <c:v>4.6000000000000013E-2</c:v>
                </c:pt>
                <c:pt idx="168">
                  <c:v>4.6000000000000013E-2</c:v>
                </c:pt>
                <c:pt idx="169">
                  <c:v>4.6300000000000001E-2</c:v>
                </c:pt>
                <c:pt idx="170">
                  <c:v>4.7000000000000014E-2</c:v>
                </c:pt>
                <c:pt idx="171">
                  <c:v>4.7500000000000014E-2</c:v>
                </c:pt>
                <c:pt idx="172">
                  <c:v>4.7500000000000014E-2</c:v>
                </c:pt>
                <c:pt idx="173">
                  <c:v>4.7500000000000014E-2</c:v>
                </c:pt>
                <c:pt idx="174">
                  <c:v>4.7500000000000014E-2</c:v>
                </c:pt>
                <c:pt idx="175">
                  <c:v>4.7300000000000113E-2</c:v>
                </c:pt>
                <c:pt idx="176">
                  <c:v>4.6000000000000013E-2</c:v>
                </c:pt>
                <c:pt idx="177">
                  <c:v>4.4500000000000033E-2</c:v>
                </c:pt>
                <c:pt idx="178">
                  <c:v>4.3000000000000003E-2</c:v>
                </c:pt>
                <c:pt idx="179">
                  <c:v>4.2600000000000013E-2</c:v>
                </c:pt>
                <c:pt idx="180">
                  <c:v>4.2800000000000032E-2</c:v>
                </c:pt>
                <c:pt idx="181">
                  <c:v>4.4800000000000034E-2</c:v>
                </c:pt>
                <c:pt idx="182">
                  <c:v>4.4200000000000003E-2</c:v>
                </c:pt>
                <c:pt idx="183">
                  <c:v>4.3000000000000003E-2</c:v>
                </c:pt>
                <c:pt idx="184">
                  <c:v>4.1399999999999999E-2</c:v>
                </c:pt>
                <c:pt idx="185">
                  <c:v>4.0500000000000001E-2</c:v>
                </c:pt>
                <c:pt idx="186">
                  <c:v>4.0200000000000007E-2</c:v>
                </c:pt>
                <c:pt idx="187">
                  <c:v>4.0300000000000023E-2</c:v>
                </c:pt>
                <c:pt idx="188">
                  <c:v>4.0200000000000007E-2</c:v>
                </c:pt>
                <c:pt idx="189">
                  <c:v>4.1000000000000002E-2</c:v>
                </c:pt>
                <c:pt idx="190">
                  <c:v>4.1800000000000004E-2</c:v>
                </c:pt>
                <c:pt idx="191">
                  <c:v>4.1599999999999998E-2</c:v>
                </c:pt>
                <c:pt idx="192">
                  <c:v>4.1299999999999996E-2</c:v>
                </c:pt>
                <c:pt idx="193">
                  <c:v>4.0800000000000003E-2</c:v>
                </c:pt>
                <c:pt idx="194">
                  <c:v>3.9300000000000002E-2</c:v>
                </c:pt>
                <c:pt idx="195">
                  <c:v>3.8800000000000001E-2</c:v>
                </c:pt>
                <c:pt idx="196">
                  <c:v>3.7300000000000041E-2</c:v>
                </c:pt>
                <c:pt idx="197">
                  <c:v>3.7500000000000006E-2</c:v>
                </c:pt>
              </c:numCache>
            </c:numRef>
          </c:val>
          <c:smooth val="1"/>
        </c:ser>
        <c:ser>
          <c:idx val="2"/>
          <c:order val="2"/>
          <c:tx>
            <c:strRef>
              <c:f>Sheet1!$D$1</c:f>
              <c:strCache>
                <c:ptCount val="1"/>
                <c:pt idx="0">
                  <c:v>3M</c:v>
                </c:pt>
              </c:strCache>
            </c:strRef>
          </c:tx>
          <c:spPr>
            <a:ln w="25400">
              <a:solidFill>
                <a:schemeClr val="tx1"/>
              </a:solidFill>
              <a:prstDash val="lgDash"/>
            </a:ln>
          </c:spPr>
          <c:marker>
            <c:symbol val="none"/>
          </c:marker>
          <c:cat>
            <c:numRef>
              <c:f>Sheet1!$A$2:$A$199</c:f>
              <c:numCache>
                <c:formatCode>m/d/yyyy</c:formatCode>
                <c:ptCount val="198"/>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pt idx="155">
                  <c:v>42241</c:v>
                </c:pt>
                <c:pt idx="156">
                  <c:v>42242</c:v>
                </c:pt>
                <c:pt idx="157">
                  <c:v>42243</c:v>
                </c:pt>
                <c:pt idx="158">
                  <c:v>42244</c:v>
                </c:pt>
                <c:pt idx="159">
                  <c:v>42247</c:v>
                </c:pt>
                <c:pt idx="160">
                  <c:v>42248</c:v>
                </c:pt>
                <c:pt idx="161">
                  <c:v>42250</c:v>
                </c:pt>
                <c:pt idx="162">
                  <c:v>42251</c:v>
                </c:pt>
                <c:pt idx="163">
                  <c:v>42254</c:v>
                </c:pt>
                <c:pt idx="164">
                  <c:v>42255</c:v>
                </c:pt>
                <c:pt idx="165">
                  <c:v>42256</c:v>
                </c:pt>
                <c:pt idx="166">
                  <c:v>42257</c:v>
                </c:pt>
                <c:pt idx="167">
                  <c:v>42258</c:v>
                </c:pt>
                <c:pt idx="168">
                  <c:v>42261</c:v>
                </c:pt>
                <c:pt idx="169">
                  <c:v>42262</c:v>
                </c:pt>
                <c:pt idx="170">
                  <c:v>42263</c:v>
                </c:pt>
                <c:pt idx="171">
                  <c:v>42264</c:v>
                </c:pt>
                <c:pt idx="172">
                  <c:v>42265</c:v>
                </c:pt>
                <c:pt idx="173">
                  <c:v>42268</c:v>
                </c:pt>
                <c:pt idx="174">
                  <c:v>42269</c:v>
                </c:pt>
                <c:pt idx="175">
                  <c:v>42270</c:v>
                </c:pt>
                <c:pt idx="176">
                  <c:v>42271</c:v>
                </c:pt>
                <c:pt idx="177">
                  <c:v>42272</c:v>
                </c:pt>
                <c:pt idx="178">
                  <c:v>42275</c:v>
                </c:pt>
                <c:pt idx="179">
                  <c:v>42276</c:v>
                </c:pt>
                <c:pt idx="180">
                  <c:v>42277</c:v>
                </c:pt>
                <c:pt idx="181">
                  <c:v>42278</c:v>
                </c:pt>
                <c:pt idx="182">
                  <c:v>42279</c:v>
                </c:pt>
                <c:pt idx="183">
                  <c:v>42282</c:v>
                </c:pt>
                <c:pt idx="184">
                  <c:v>42283</c:v>
                </c:pt>
                <c:pt idx="185">
                  <c:v>42284</c:v>
                </c:pt>
                <c:pt idx="186">
                  <c:v>42285</c:v>
                </c:pt>
                <c:pt idx="187">
                  <c:v>42286</c:v>
                </c:pt>
                <c:pt idx="188">
                  <c:v>42289</c:v>
                </c:pt>
                <c:pt idx="189">
                  <c:v>42290</c:v>
                </c:pt>
                <c:pt idx="190">
                  <c:v>42291</c:v>
                </c:pt>
                <c:pt idx="191">
                  <c:v>42292</c:v>
                </c:pt>
                <c:pt idx="192">
                  <c:v>42293</c:v>
                </c:pt>
                <c:pt idx="193">
                  <c:v>42296</c:v>
                </c:pt>
                <c:pt idx="194">
                  <c:v>42297</c:v>
                </c:pt>
                <c:pt idx="195">
                  <c:v>42298</c:v>
                </c:pt>
                <c:pt idx="196">
                  <c:v>42299</c:v>
                </c:pt>
                <c:pt idx="197">
                  <c:v>42300</c:v>
                </c:pt>
              </c:numCache>
            </c:numRef>
          </c:cat>
          <c:val>
            <c:numRef>
              <c:f>Sheet1!$D$2:$D$199</c:f>
              <c:numCache>
                <c:formatCode>0.0%</c:formatCode>
                <c:ptCount val="198"/>
                <c:pt idx="0">
                  <c:v>4.7300000000000113E-2</c:v>
                </c:pt>
                <c:pt idx="1">
                  <c:v>4.7200000000000013E-2</c:v>
                </c:pt>
                <c:pt idx="2">
                  <c:v>4.7000000000000014E-2</c:v>
                </c:pt>
                <c:pt idx="3">
                  <c:v>4.7800000000000023E-2</c:v>
                </c:pt>
                <c:pt idx="4">
                  <c:v>4.7600000000000003E-2</c:v>
                </c:pt>
                <c:pt idx="5">
                  <c:v>4.7500000000000014E-2</c:v>
                </c:pt>
                <c:pt idx="6">
                  <c:v>4.7200000000000013E-2</c:v>
                </c:pt>
                <c:pt idx="7">
                  <c:v>4.7500000000000014E-2</c:v>
                </c:pt>
                <c:pt idx="8">
                  <c:v>4.7600000000000003E-2</c:v>
                </c:pt>
                <c:pt idx="9">
                  <c:v>4.7600000000000003E-2</c:v>
                </c:pt>
                <c:pt idx="10">
                  <c:v>4.7500000000000014E-2</c:v>
                </c:pt>
                <c:pt idx="11">
                  <c:v>4.7600000000000003E-2</c:v>
                </c:pt>
                <c:pt idx="12">
                  <c:v>4.7800000000000023E-2</c:v>
                </c:pt>
                <c:pt idx="13">
                  <c:v>4.6500000000000007E-2</c:v>
                </c:pt>
                <c:pt idx="14">
                  <c:v>4.6300000000000001E-2</c:v>
                </c:pt>
                <c:pt idx="15">
                  <c:v>4.6300000000000001E-2</c:v>
                </c:pt>
                <c:pt idx="16">
                  <c:v>4.6599999999999996E-2</c:v>
                </c:pt>
                <c:pt idx="17">
                  <c:v>4.6500000000000007E-2</c:v>
                </c:pt>
                <c:pt idx="18">
                  <c:v>4.6400000000000004E-2</c:v>
                </c:pt>
                <c:pt idx="19">
                  <c:v>4.6799999999999994E-2</c:v>
                </c:pt>
                <c:pt idx="20">
                  <c:v>4.8300000000000003E-2</c:v>
                </c:pt>
                <c:pt idx="21">
                  <c:v>4.8599999999999997E-2</c:v>
                </c:pt>
                <c:pt idx="22">
                  <c:v>4.9000000000000113E-2</c:v>
                </c:pt>
                <c:pt idx="23">
                  <c:v>4.8400000000000012E-2</c:v>
                </c:pt>
                <c:pt idx="24">
                  <c:v>4.8700000000000014E-2</c:v>
                </c:pt>
                <c:pt idx="25">
                  <c:v>4.9000000000000113E-2</c:v>
                </c:pt>
                <c:pt idx="26">
                  <c:v>0.05</c:v>
                </c:pt>
                <c:pt idx="27">
                  <c:v>0.05</c:v>
                </c:pt>
                <c:pt idx="28">
                  <c:v>0.05</c:v>
                </c:pt>
                <c:pt idx="29">
                  <c:v>4.9600000000000012E-2</c:v>
                </c:pt>
                <c:pt idx="30">
                  <c:v>4.9100000000000033E-2</c:v>
                </c:pt>
                <c:pt idx="31">
                  <c:v>4.7800000000000023E-2</c:v>
                </c:pt>
                <c:pt idx="32">
                  <c:v>4.6300000000000001E-2</c:v>
                </c:pt>
                <c:pt idx="33">
                  <c:v>4.6300000000000001E-2</c:v>
                </c:pt>
                <c:pt idx="34">
                  <c:v>4.5500000000000013E-2</c:v>
                </c:pt>
                <c:pt idx="35">
                  <c:v>4.4000000000000032E-2</c:v>
                </c:pt>
                <c:pt idx="36">
                  <c:v>4.4200000000000003E-2</c:v>
                </c:pt>
                <c:pt idx="37">
                  <c:v>4.4200000000000003E-2</c:v>
                </c:pt>
                <c:pt idx="38">
                  <c:v>4.6500000000000007E-2</c:v>
                </c:pt>
                <c:pt idx="39">
                  <c:v>4.6599999999999996E-2</c:v>
                </c:pt>
                <c:pt idx="40">
                  <c:v>4.6599999999999996E-2</c:v>
                </c:pt>
                <c:pt idx="41">
                  <c:v>4.6000000000000013E-2</c:v>
                </c:pt>
                <c:pt idx="42">
                  <c:v>4.5300000000000014E-2</c:v>
                </c:pt>
                <c:pt idx="43">
                  <c:v>4.5300000000000014E-2</c:v>
                </c:pt>
                <c:pt idx="44">
                  <c:v>4.5500000000000013E-2</c:v>
                </c:pt>
                <c:pt idx="45">
                  <c:v>4.5800000000000014E-2</c:v>
                </c:pt>
                <c:pt idx="46">
                  <c:v>4.5800000000000014E-2</c:v>
                </c:pt>
                <c:pt idx="47">
                  <c:v>4.6199999999999998E-2</c:v>
                </c:pt>
                <c:pt idx="48">
                  <c:v>4.5700000000000032E-2</c:v>
                </c:pt>
                <c:pt idx="49">
                  <c:v>4.7000000000000014E-2</c:v>
                </c:pt>
                <c:pt idx="50">
                  <c:v>4.7800000000000023E-2</c:v>
                </c:pt>
                <c:pt idx="51">
                  <c:v>4.7500000000000014E-2</c:v>
                </c:pt>
                <c:pt idx="52">
                  <c:v>4.7500000000000014E-2</c:v>
                </c:pt>
                <c:pt idx="53">
                  <c:v>4.7000000000000014E-2</c:v>
                </c:pt>
                <c:pt idx="54">
                  <c:v>4.7400000000000032E-2</c:v>
                </c:pt>
                <c:pt idx="55">
                  <c:v>4.7800000000000023E-2</c:v>
                </c:pt>
                <c:pt idx="56">
                  <c:v>4.6799999999999994E-2</c:v>
                </c:pt>
                <c:pt idx="57">
                  <c:v>4.6799999999999994E-2</c:v>
                </c:pt>
                <c:pt idx="58">
                  <c:v>4.6500000000000007E-2</c:v>
                </c:pt>
                <c:pt idx="59">
                  <c:v>4.6300000000000001E-2</c:v>
                </c:pt>
                <c:pt idx="60">
                  <c:v>4.6500000000000007E-2</c:v>
                </c:pt>
                <c:pt idx="61">
                  <c:v>4.6799999999999994E-2</c:v>
                </c:pt>
                <c:pt idx="62">
                  <c:v>4.9000000000000113E-2</c:v>
                </c:pt>
                <c:pt idx="63">
                  <c:v>4.9000000000000113E-2</c:v>
                </c:pt>
                <c:pt idx="64">
                  <c:v>5.0200000000000002E-2</c:v>
                </c:pt>
                <c:pt idx="65">
                  <c:v>0.05</c:v>
                </c:pt>
                <c:pt idx="66">
                  <c:v>5.0800000000000012E-2</c:v>
                </c:pt>
                <c:pt idx="67">
                  <c:v>5.1299999999999998E-2</c:v>
                </c:pt>
                <c:pt idx="68">
                  <c:v>5.1499999999999997E-2</c:v>
                </c:pt>
                <c:pt idx="69">
                  <c:v>5.16E-2</c:v>
                </c:pt>
                <c:pt idx="70">
                  <c:v>5.1800000000000013E-2</c:v>
                </c:pt>
                <c:pt idx="71">
                  <c:v>5.1299999999999998E-2</c:v>
                </c:pt>
                <c:pt idx="72">
                  <c:v>4.9000000000000113E-2</c:v>
                </c:pt>
                <c:pt idx="73">
                  <c:v>4.9000000000000113E-2</c:v>
                </c:pt>
                <c:pt idx="74">
                  <c:v>0.05</c:v>
                </c:pt>
                <c:pt idx="75">
                  <c:v>5.0300000000000032E-2</c:v>
                </c:pt>
                <c:pt idx="76">
                  <c:v>5.0300000000000032E-2</c:v>
                </c:pt>
                <c:pt idx="77">
                  <c:v>0.05</c:v>
                </c:pt>
                <c:pt idx="78">
                  <c:v>0.05</c:v>
                </c:pt>
                <c:pt idx="79">
                  <c:v>4.8500000000000008E-2</c:v>
                </c:pt>
                <c:pt idx="80">
                  <c:v>4.7500000000000014E-2</c:v>
                </c:pt>
                <c:pt idx="81">
                  <c:v>4.8000000000000001E-2</c:v>
                </c:pt>
                <c:pt idx="82">
                  <c:v>4.7800000000000023E-2</c:v>
                </c:pt>
                <c:pt idx="83">
                  <c:v>4.7800000000000023E-2</c:v>
                </c:pt>
                <c:pt idx="84">
                  <c:v>4.8000000000000001E-2</c:v>
                </c:pt>
                <c:pt idx="85">
                  <c:v>4.8000000000000001E-2</c:v>
                </c:pt>
                <c:pt idx="86">
                  <c:v>4.6400000000000004E-2</c:v>
                </c:pt>
                <c:pt idx="87">
                  <c:v>4.5600000000000002E-2</c:v>
                </c:pt>
                <c:pt idx="88">
                  <c:v>4.5300000000000014E-2</c:v>
                </c:pt>
                <c:pt idx="89">
                  <c:v>4.5300000000000014E-2</c:v>
                </c:pt>
                <c:pt idx="90">
                  <c:v>4.4400000000000113E-2</c:v>
                </c:pt>
                <c:pt idx="91">
                  <c:v>4.4500000000000033E-2</c:v>
                </c:pt>
                <c:pt idx="92">
                  <c:v>4.4200000000000003E-2</c:v>
                </c:pt>
                <c:pt idx="93">
                  <c:v>4.4500000000000033E-2</c:v>
                </c:pt>
                <c:pt idx="94">
                  <c:v>4.4000000000000032E-2</c:v>
                </c:pt>
                <c:pt idx="95">
                  <c:v>4.3400000000000001E-2</c:v>
                </c:pt>
                <c:pt idx="96">
                  <c:v>4.3800000000000013E-2</c:v>
                </c:pt>
                <c:pt idx="97">
                  <c:v>4.5300000000000014E-2</c:v>
                </c:pt>
                <c:pt idx="98">
                  <c:v>4.6000000000000013E-2</c:v>
                </c:pt>
                <c:pt idx="99">
                  <c:v>4.7500000000000014E-2</c:v>
                </c:pt>
                <c:pt idx="100">
                  <c:v>4.7600000000000003E-2</c:v>
                </c:pt>
                <c:pt idx="101">
                  <c:v>4.82E-2</c:v>
                </c:pt>
                <c:pt idx="102">
                  <c:v>4.8500000000000008E-2</c:v>
                </c:pt>
                <c:pt idx="103">
                  <c:v>4.8500000000000008E-2</c:v>
                </c:pt>
                <c:pt idx="104">
                  <c:v>4.9699999999999994E-2</c:v>
                </c:pt>
                <c:pt idx="105">
                  <c:v>4.9000000000000113E-2</c:v>
                </c:pt>
                <c:pt idx="106">
                  <c:v>4.7800000000000023E-2</c:v>
                </c:pt>
                <c:pt idx="107">
                  <c:v>4.7800000000000023E-2</c:v>
                </c:pt>
                <c:pt idx="108">
                  <c:v>4.6500000000000007E-2</c:v>
                </c:pt>
                <c:pt idx="109">
                  <c:v>4.6400000000000004E-2</c:v>
                </c:pt>
                <c:pt idx="110">
                  <c:v>4.6000000000000013E-2</c:v>
                </c:pt>
                <c:pt idx="111">
                  <c:v>4.6000000000000013E-2</c:v>
                </c:pt>
                <c:pt idx="112">
                  <c:v>4.6199999999999998E-2</c:v>
                </c:pt>
                <c:pt idx="113">
                  <c:v>4.6500000000000007E-2</c:v>
                </c:pt>
                <c:pt idx="114">
                  <c:v>4.6199999999999998E-2</c:v>
                </c:pt>
                <c:pt idx="115">
                  <c:v>4.7000000000000014E-2</c:v>
                </c:pt>
                <c:pt idx="116">
                  <c:v>4.7000000000000014E-2</c:v>
                </c:pt>
                <c:pt idx="117">
                  <c:v>4.6500000000000007E-2</c:v>
                </c:pt>
                <c:pt idx="118">
                  <c:v>4.5600000000000002E-2</c:v>
                </c:pt>
                <c:pt idx="119">
                  <c:v>4.5400000000000003E-2</c:v>
                </c:pt>
                <c:pt idx="120">
                  <c:v>4.5000000000000012E-2</c:v>
                </c:pt>
                <c:pt idx="121">
                  <c:v>4.4600000000000022E-2</c:v>
                </c:pt>
                <c:pt idx="122">
                  <c:v>4.4100000000000014E-2</c:v>
                </c:pt>
                <c:pt idx="123">
                  <c:v>4.4400000000000113E-2</c:v>
                </c:pt>
                <c:pt idx="124">
                  <c:v>4.3900000000000002E-2</c:v>
                </c:pt>
                <c:pt idx="125">
                  <c:v>4.3800000000000013E-2</c:v>
                </c:pt>
                <c:pt idx="126">
                  <c:v>4.36E-2</c:v>
                </c:pt>
                <c:pt idx="127">
                  <c:v>4.2800000000000032E-2</c:v>
                </c:pt>
                <c:pt idx="128">
                  <c:v>4.2000000000000023E-2</c:v>
                </c:pt>
                <c:pt idx="129">
                  <c:v>4.1299999999999996E-2</c:v>
                </c:pt>
                <c:pt idx="130">
                  <c:v>4.1500000000000002E-2</c:v>
                </c:pt>
                <c:pt idx="131">
                  <c:v>4.1800000000000004E-2</c:v>
                </c:pt>
                <c:pt idx="132">
                  <c:v>4.1500000000000002E-2</c:v>
                </c:pt>
                <c:pt idx="133">
                  <c:v>4.2199999999999994E-2</c:v>
                </c:pt>
                <c:pt idx="134">
                  <c:v>4.3400000000000001E-2</c:v>
                </c:pt>
                <c:pt idx="135">
                  <c:v>4.4200000000000003E-2</c:v>
                </c:pt>
                <c:pt idx="136">
                  <c:v>4.4000000000000032E-2</c:v>
                </c:pt>
                <c:pt idx="137">
                  <c:v>4.4500000000000033E-2</c:v>
                </c:pt>
                <c:pt idx="138">
                  <c:v>4.5800000000000014E-2</c:v>
                </c:pt>
                <c:pt idx="139">
                  <c:v>4.6000000000000013E-2</c:v>
                </c:pt>
                <c:pt idx="140">
                  <c:v>4.5400000000000003E-2</c:v>
                </c:pt>
                <c:pt idx="141">
                  <c:v>4.4800000000000034E-2</c:v>
                </c:pt>
                <c:pt idx="142">
                  <c:v>4.4299999999999999E-2</c:v>
                </c:pt>
                <c:pt idx="143">
                  <c:v>4.4400000000000113E-2</c:v>
                </c:pt>
                <c:pt idx="144">
                  <c:v>4.4400000000000113E-2</c:v>
                </c:pt>
                <c:pt idx="145">
                  <c:v>4.4800000000000034E-2</c:v>
                </c:pt>
                <c:pt idx="146">
                  <c:v>4.7000000000000014E-2</c:v>
                </c:pt>
                <c:pt idx="147">
                  <c:v>4.7000000000000014E-2</c:v>
                </c:pt>
                <c:pt idx="148">
                  <c:v>4.8800000000000003E-2</c:v>
                </c:pt>
                <c:pt idx="149">
                  <c:v>4.9000000000000113E-2</c:v>
                </c:pt>
                <c:pt idx="150">
                  <c:v>4.9600000000000012E-2</c:v>
                </c:pt>
                <c:pt idx="151">
                  <c:v>4.9800000000000122E-2</c:v>
                </c:pt>
                <c:pt idx="152">
                  <c:v>4.8800000000000003E-2</c:v>
                </c:pt>
                <c:pt idx="153">
                  <c:v>4.9300000000000191E-2</c:v>
                </c:pt>
                <c:pt idx="154">
                  <c:v>4.9200000000000021E-2</c:v>
                </c:pt>
                <c:pt idx="155">
                  <c:v>4.9800000000000122E-2</c:v>
                </c:pt>
                <c:pt idx="156">
                  <c:v>4.9600000000000012E-2</c:v>
                </c:pt>
                <c:pt idx="157">
                  <c:v>4.8500000000000008E-2</c:v>
                </c:pt>
                <c:pt idx="158">
                  <c:v>4.8500000000000008E-2</c:v>
                </c:pt>
                <c:pt idx="159">
                  <c:v>4.8300000000000003E-2</c:v>
                </c:pt>
                <c:pt idx="160">
                  <c:v>4.8300000000000003E-2</c:v>
                </c:pt>
                <c:pt idx="161">
                  <c:v>4.8700000000000014E-2</c:v>
                </c:pt>
                <c:pt idx="162">
                  <c:v>4.8800000000000003E-2</c:v>
                </c:pt>
                <c:pt idx="163">
                  <c:v>4.8599999999999997E-2</c:v>
                </c:pt>
                <c:pt idx="164">
                  <c:v>4.8500000000000008E-2</c:v>
                </c:pt>
                <c:pt idx="165">
                  <c:v>4.8800000000000003E-2</c:v>
                </c:pt>
                <c:pt idx="166">
                  <c:v>4.8400000000000012E-2</c:v>
                </c:pt>
                <c:pt idx="167">
                  <c:v>4.8000000000000001E-2</c:v>
                </c:pt>
                <c:pt idx="168">
                  <c:v>4.8000000000000001E-2</c:v>
                </c:pt>
                <c:pt idx="169">
                  <c:v>4.8500000000000008E-2</c:v>
                </c:pt>
                <c:pt idx="170">
                  <c:v>4.8800000000000003E-2</c:v>
                </c:pt>
                <c:pt idx="171">
                  <c:v>4.9000000000000113E-2</c:v>
                </c:pt>
                <c:pt idx="172">
                  <c:v>4.9000000000000113E-2</c:v>
                </c:pt>
                <c:pt idx="173">
                  <c:v>4.9000000000000113E-2</c:v>
                </c:pt>
                <c:pt idx="174">
                  <c:v>4.9000000000000113E-2</c:v>
                </c:pt>
                <c:pt idx="175">
                  <c:v>4.9300000000000191E-2</c:v>
                </c:pt>
                <c:pt idx="176">
                  <c:v>4.8800000000000003E-2</c:v>
                </c:pt>
                <c:pt idx="177">
                  <c:v>4.8500000000000008E-2</c:v>
                </c:pt>
                <c:pt idx="178">
                  <c:v>4.8800000000000003E-2</c:v>
                </c:pt>
                <c:pt idx="179">
                  <c:v>4.8599999999999997E-2</c:v>
                </c:pt>
                <c:pt idx="180">
                  <c:v>4.82E-2</c:v>
                </c:pt>
                <c:pt idx="181">
                  <c:v>4.8300000000000003E-2</c:v>
                </c:pt>
                <c:pt idx="182">
                  <c:v>4.8599999999999997E-2</c:v>
                </c:pt>
                <c:pt idx="183">
                  <c:v>4.8300000000000003E-2</c:v>
                </c:pt>
                <c:pt idx="184">
                  <c:v>4.8000000000000001E-2</c:v>
                </c:pt>
                <c:pt idx="185">
                  <c:v>4.7500000000000014E-2</c:v>
                </c:pt>
                <c:pt idx="186">
                  <c:v>4.8000000000000001E-2</c:v>
                </c:pt>
                <c:pt idx="187">
                  <c:v>4.7800000000000023E-2</c:v>
                </c:pt>
                <c:pt idx="188">
                  <c:v>4.7600000000000003E-2</c:v>
                </c:pt>
                <c:pt idx="189">
                  <c:v>4.7600000000000003E-2</c:v>
                </c:pt>
                <c:pt idx="190">
                  <c:v>4.7600000000000003E-2</c:v>
                </c:pt>
                <c:pt idx="191">
                  <c:v>4.8000000000000001E-2</c:v>
                </c:pt>
                <c:pt idx="192">
                  <c:v>4.7800000000000023E-2</c:v>
                </c:pt>
                <c:pt idx="193">
                  <c:v>4.7800000000000023E-2</c:v>
                </c:pt>
                <c:pt idx="194">
                  <c:v>4.5800000000000014E-2</c:v>
                </c:pt>
                <c:pt idx="195">
                  <c:v>4.7000000000000014E-2</c:v>
                </c:pt>
                <c:pt idx="196">
                  <c:v>4.6500000000000007E-2</c:v>
                </c:pt>
                <c:pt idx="197">
                  <c:v>4.6799999999999994E-2</c:v>
                </c:pt>
              </c:numCache>
            </c:numRef>
          </c:val>
          <c:smooth val="1"/>
        </c:ser>
        <c:marker val="1"/>
        <c:axId val="81072896"/>
        <c:axId val="81074432"/>
      </c:lineChart>
      <c:dateAx>
        <c:axId val="81072896"/>
        <c:scaling>
          <c:orientation val="minMax"/>
        </c:scaling>
        <c:axPos val="b"/>
        <c:numFmt formatCode="m/d/yyyy" sourceLinked="1"/>
        <c:tickLblPos val="nextTo"/>
        <c:txPr>
          <a:bodyPr/>
          <a:lstStyle/>
          <a:p>
            <a:pPr>
              <a:defRPr b="0"/>
            </a:pPr>
            <a:endParaRPr lang="en-US"/>
          </a:p>
        </c:txPr>
        <c:crossAx val="81074432"/>
        <c:crosses val="autoZero"/>
        <c:auto val="1"/>
        <c:lblOffset val="100"/>
      </c:dateAx>
      <c:valAx>
        <c:axId val="81074432"/>
        <c:scaling>
          <c:orientation val="minMax"/>
        </c:scaling>
        <c:axPos val="l"/>
        <c:numFmt formatCode="0%" sourceLinked="0"/>
        <c:tickLblPos val="nextTo"/>
        <c:txPr>
          <a:bodyPr/>
          <a:lstStyle/>
          <a:p>
            <a:pPr>
              <a:defRPr b="0"/>
            </a:pPr>
            <a:endParaRPr lang="en-US"/>
          </a:p>
        </c:txPr>
        <c:crossAx val="81072896"/>
        <c:crosses val="autoZero"/>
        <c:crossBetween val="between"/>
      </c:valAx>
    </c:plotArea>
    <c:legend>
      <c:legendPos val="b"/>
    </c:legend>
    <c:plotVisOnly val="1"/>
  </c:chart>
  <c:spPr>
    <a:ln>
      <a:noFill/>
    </a:ln>
  </c:spPr>
  <c:txPr>
    <a:bodyPr/>
    <a:lstStyle/>
    <a:p>
      <a:pPr>
        <a:defRPr sz="800" b="1">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6D6F-D631-4852-A7CC-5EE82EF9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1</TotalTime>
  <Pages>8</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thanhnx</cp:lastModifiedBy>
  <cp:revision>2</cp:revision>
  <cp:lastPrinted>2015-10-27T02:58:00Z</cp:lastPrinted>
  <dcterms:created xsi:type="dcterms:W3CDTF">2015-10-29T09:23:00Z</dcterms:created>
  <dcterms:modified xsi:type="dcterms:W3CDTF">2015-10-29T09:23:00Z</dcterms:modified>
</cp:coreProperties>
</file>