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5C6A26" w:rsidTr="00B0278F">
        <w:trPr>
          <w:jc w:val="center"/>
        </w:trPr>
        <w:tc>
          <w:tcPr>
            <w:tcW w:w="3556" w:type="dxa"/>
          </w:tcPr>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 xml:space="preserve">ỦY BAN GIÁM SÁT </w:t>
            </w:r>
          </w:p>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TÀI CHÍNH QUỐC GIA</w:t>
            </w:r>
          </w:p>
          <w:p w:rsidR="00900767" w:rsidRPr="005C6A26" w:rsidRDefault="000148A0" w:rsidP="00BC5190">
            <w:pPr>
              <w:widowControl w:val="0"/>
              <w:spacing w:after="0"/>
              <w:ind w:firstLine="0"/>
              <w:jc w:val="center"/>
              <w:rPr>
                <w:sz w:val="26"/>
                <w:szCs w:val="26"/>
                <w:lang w:val="vi-VN"/>
              </w:rPr>
            </w:pPr>
            <w:r>
              <w:rPr>
                <w:noProof/>
                <w:sz w:val="26"/>
                <w:szCs w:val="26"/>
              </w:rPr>
              <w:pict>
                <v:line id="Line 2" o:spid="_x0000_s1026" style="position:absolute;left:0;text-align:left;z-index:251656192;visibility:visible;mso-wrap-distance-top:-1e-4mm;mso-wrap-distance-bottom:-1e-4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5C6A26" w:rsidRDefault="00900767" w:rsidP="00BC5190">
            <w:pPr>
              <w:widowControl w:val="0"/>
              <w:spacing w:after="0"/>
              <w:ind w:firstLine="0"/>
              <w:jc w:val="center"/>
              <w:rPr>
                <w:sz w:val="26"/>
                <w:szCs w:val="26"/>
                <w:lang w:val="vi-VN"/>
              </w:rPr>
            </w:pPr>
            <w:r w:rsidRPr="005C6A26">
              <w:rPr>
                <w:sz w:val="26"/>
                <w:szCs w:val="26"/>
                <w:lang w:val="vi-VN"/>
              </w:rPr>
              <w:t>Số:        /</w:t>
            </w:r>
            <w:r w:rsidR="000E5F9F" w:rsidRPr="005C6A26">
              <w:rPr>
                <w:sz w:val="26"/>
                <w:szCs w:val="26"/>
              </w:rPr>
              <w:t>BC-</w:t>
            </w:r>
            <w:r w:rsidRPr="005C6A26">
              <w:rPr>
                <w:sz w:val="26"/>
                <w:szCs w:val="26"/>
                <w:lang w:val="vi-VN"/>
              </w:rPr>
              <w:t>UBGSTCQG</w:t>
            </w:r>
          </w:p>
        </w:tc>
        <w:tc>
          <w:tcPr>
            <w:tcW w:w="6488" w:type="dxa"/>
          </w:tcPr>
          <w:p w:rsidR="00900767" w:rsidRPr="005C6A26" w:rsidRDefault="00900767" w:rsidP="00BC5190">
            <w:pPr>
              <w:widowControl w:val="0"/>
              <w:spacing w:after="0"/>
              <w:jc w:val="center"/>
              <w:rPr>
                <w:b/>
                <w:bCs/>
                <w:sz w:val="26"/>
                <w:szCs w:val="26"/>
                <w:lang w:val="vi-VN"/>
              </w:rPr>
            </w:pPr>
            <w:r w:rsidRPr="005C6A26">
              <w:rPr>
                <w:b/>
                <w:bCs/>
                <w:sz w:val="26"/>
                <w:szCs w:val="26"/>
                <w:lang w:val="vi-VN"/>
              </w:rPr>
              <w:t>CỘNG HÒA XÃ HỘI CHỦ NGHĨA VIỆT NAM</w:t>
            </w:r>
          </w:p>
          <w:p w:rsidR="00900767" w:rsidRPr="005C6A26" w:rsidRDefault="00900767" w:rsidP="00BC5190">
            <w:pPr>
              <w:widowControl w:val="0"/>
              <w:spacing w:after="0"/>
              <w:jc w:val="center"/>
              <w:rPr>
                <w:b/>
                <w:bCs/>
                <w:sz w:val="26"/>
                <w:szCs w:val="26"/>
                <w:lang w:val="vi-VN"/>
              </w:rPr>
            </w:pPr>
            <w:r w:rsidRPr="005C6A26">
              <w:rPr>
                <w:b/>
                <w:bCs/>
                <w:sz w:val="26"/>
                <w:szCs w:val="26"/>
                <w:lang w:val="vi-VN"/>
              </w:rPr>
              <w:t>Độc lập - Tự do - Hạnh phúc</w:t>
            </w:r>
          </w:p>
          <w:p w:rsidR="00900767" w:rsidRPr="005C6A26" w:rsidRDefault="000148A0" w:rsidP="00BC5190">
            <w:pPr>
              <w:widowControl w:val="0"/>
              <w:spacing w:after="0"/>
              <w:ind w:left="397"/>
              <w:jc w:val="right"/>
              <w:rPr>
                <w:i/>
                <w:iCs/>
                <w:sz w:val="26"/>
                <w:szCs w:val="26"/>
              </w:rPr>
            </w:pPr>
            <w:r w:rsidRPr="000148A0">
              <w:rPr>
                <w:noProof/>
                <w:sz w:val="26"/>
                <w:szCs w:val="26"/>
              </w:rPr>
              <w:pict>
                <v:line id="Line 3" o:spid="_x0000_s1027" style="position:absolute;left:0;text-align:left;z-index:251657216;visibility:visible;mso-wrap-distance-top:-1e-4mm;mso-wrap-distance-bottom:-1e-4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"/>
              </w:pict>
            </w:r>
            <w:r w:rsidR="00900767" w:rsidRPr="005C6A26">
              <w:rPr>
                <w:i/>
                <w:iCs/>
                <w:sz w:val="26"/>
                <w:szCs w:val="26"/>
                <w:lang w:val="vi-VN"/>
              </w:rPr>
              <w:t xml:space="preserve">      </w:t>
            </w:r>
          </w:p>
          <w:p w:rsidR="00900767" w:rsidRPr="00BA4FFA" w:rsidRDefault="00900767" w:rsidP="00DA39AC">
            <w:pPr>
              <w:widowControl w:val="0"/>
              <w:spacing w:after="0"/>
              <w:ind w:firstLine="0"/>
              <w:jc w:val="right"/>
              <w:rPr>
                <w:i/>
                <w:iCs/>
                <w:sz w:val="26"/>
                <w:szCs w:val="26"/>
              </w:rPr>
            </w:pPr>
            <w:r w:rsidRPr="005C6A26">
              <w:rPr>
                <w:i/>
                <w:iCs/>
                <w:sz w:val="26"/>
                <w:szCs w:val="26"/>
                <w:lang w:val="vi-VN"/>
              </w:rPr>
              <w:t>Hà Nội, ngày</w:t>
            </w:r>
            <w:r w:rsidR="00B0278F" w:rsidRPr="005C6A26">
              <w:rPr>
                <w:i/>
                <w:iCs/>
                <w:sz w:val="26"/>
                <w:szCs w:val="26"/>
              </w:rPr>
              <w:t xml:space="preserve"> </w:t>
            </w:r>
            <w:r w:rsidR="00823999" w:rsidRPr="005C6A26">
              <w:rPr>
                <w:i/>
                <w:iCs/>
                <w:sz w:val="26"/>
                <w:szCs w:val="26"/>
              </w:rPr>
              <w:t>2</w:t>
            </w:r>
            <w:r w:rsidR="00772E0C">
              <w:rPr>
                <w:i/>
                <w:iCs/>
                <w:sz w:val="26"/>
                <w:szCs w:val="26"/>
              </w:rPr>
              <w:t>6</w:t>
            </w:r>
            <w:r w:rsidR="008D56AC">
              <w:rPr>
                <w:i/>
                <w:iCs/>
                <w:sz w:val="26"/>
                <w:szCs w:val="26"/>
              </w:rPr>
              <w:t xml:space="preserve"> </w:t>
            </w:r>
            <w:r w:rsidRPr="005C6A26">
              <w:rPr>
                <w:i/>
                <w:iCs/>
                <w:sz w:val="26"/>
                <w:szCs w:val="26"/>
                <w:lang w:val="vi-VN"/>
              </w:rPr>
              <w:t>tháng</w:t>
            </w:r>
            <w:r w:rsidR="00BA4FFA">
              <w:rPr>
                <w:i/>
                <w:iCs/>
                <w:sz w:val="26"/>
                <w:szCs w:val="26"/>
              </w:rPr>
              <w:t xml:space="preserve"> 0</w:t>
            </w:r>
            <w:r w:rsidR="00DA39AC">
              <w:rPr>
                <w:i/>
                <w:iCs/>
                <w:sz w:val="26"/>
                <w:szCs w:val="26"/>
              </w:rPr>
              <w:t>2</w:t>
            </w:r>
            <w:r w:rsidR="00D63CF0" w:rsidRPr="005C6A26">
              <w:rPr>
                <w:i/>
                <w:iCs/>
                <w:sz w:val="26"/>
                <w:szCs w:val="26"/>
              </w:rPr>
              <w:t xml:space="preserve"> </w:t>
            </w:r>
            <w:r w:rsidRPr="005C6A26">
              <w:rPr>
                <w:i/>
                <w:iCs/>
                <w:sz w:val="26"/>
                <w:szCs w:val="26"/>
                <w:lang w:val="vi-VN"/>
              </w:rPr>
              <w:t>năm 201</w:t>
            </w:r>
            <w:r w:rsidR="00BA4FFA">
              <w:rPr>
                <w:i/>
                <w:iCs/>
                <w:sz w:val="26"/>
                <w:szCs w:val="26"/>
              </w:rPr>
              <w:t>6</w:t>
            </w:r>
          </w:p>
        </w:tc>
      </w:tr>
    </w:tbl>
    <w:p w:rsidR="00900767" w:rsidRPr="005C6A26" w:rsidRDefault="00900767" w:rsidP="00BC5190">
      <w:pPr>
        <w:rPr>
          <w:sz w:val="26"/>
          <w:szCs w:val="26"/>
        </w:rPr>
      </w:pPr>
    </w:p>
    <w:p w:rsidR="00900767" w:rsidRPr="005C6A26" w:rsidRDefault="00900767" w:rsidP="00BC5190">
      <w:pPr>
        <w:ind w:firstLine="0"/>
        <w:jc w:val="center"/>
        <w:rPr>
          <w:b/>
          <w:sz w:val="26"/>
          <w:szCs w:val="26"/>
        </w:rPr>
      </w:pPr>
    </w:p>
    <w:p w:rsidR="00F22114" w:rsidRPr="005C6A26" w:rsidRDefault="00F22114" w:rsidP="00BC5190">
      <w:pPr>
        <w:spacing w:before="120"/>
        <w:ind w:firstLine="0"/>
        <w:jc w:val="center"/>
        <w:rPr>
          <w:b/>
          <w:sz w:val="26"/>
          <w:szCs w:val="26"/>
        </w:rPr>
      </w:pPr>
      <w:r w:rsidRPr="005C6A26">
        <w:rPr>
          <w:b/>
          <w:sz w:val="26"/>
          <w:szCs w:val="26"/>
          <w:lang w:val="vi-VN"/>
        </w:rPr>
        <w:t>BÁO CÁO</w:t>
      </w:r>
    </w:p>
    <w:p w:rsidR="00F22114" w:rsidRPr="005C6A26" w:rsidRDefault="00F22114" w:rsidP="00BC5190">
      <w:pPr>
        <w:spacing w:before="120"/>
        <w:ind w:firstLine="0"/>
        <w:jc w:val="center"/>
        <w:rPr>
          <w:b/>
          <w:sz w:val="26"/>
          <w:szCs w:val="26"/>
        </w:rPr>
      </w:pPr>
      <w:r w:rsidRPr="005C6A26">
        <w:rPr>
          <w:b/>
          <w:sz w:val="26"/>
          <w:szCs w:val="26"/>
        </w:rPr>
        <w:t xml:space="preserve">TÌNH HÌNH KINH TẾ THÁNG </w:t>
      </w:r>
      <w:r w:rsidR="00BA4FFA">
        <w:rPr>
          <w:b/>
          <w:sz w:val="26"/>
          <w:szCs w:val="26"/>
        </w:rPr>
        <w:t>0</w:t>
      </w:r>
      <w:r w:rsidR="00DA39AC">
        <w:rPr>
          <w:b/>
          <w:sz w:val="26"/>
          <w:szCs w:val="26"/>
        </w:rPr>
        <w:t>2</w:t>
      </w:r>
      <w:r w:rsidR="007F43DB">
        <w:rPr>
          <w:b/>
          <w:sz w:val="26"/>
          <w:szCs w:val="26"/>
        </w:rPr>
        <w:t xml:space="preserve"> VÀ 2 THÁNG ĐẦU </w:t>
      </w:r>
      <w:r w:rsidR="00BA4FFA">
        <w:rPr>
          <w:b/>
          <w:sz w:val="26"/>
          <w:szCs w:val="26"/>
        </w:rPr>
        <w:t xml:space="preserve">NĂM </w:t>
      </w:r>
      <w:r w:rsidRPr="005C6A26">
        <w:rPr>
          <w:b/>
          <w:sz w:val="26"/>
          <w:szCs w:val="26"/>
        </w:rPr>
        <w:t>201</w:t>
      </w:r>
      <w:r w:rsidR="00BA4FFA">
        <w:rPr>
          <w:b/>
          <w:sz w:val="26"/>
          <w:szCs w:val="26"/>
        </w:rPr>
        <w:t>6</w:t>
      </w:r>
    </w:p>
    <w:p w:rsidR="00F22114" w:rsidRPr="005C6A26" w:rsidRDefault="00F22114" w:rsidP="00BC5190">
      <w:pPr>
        <w:pStyle w:val="Footer"/>
        <w:spacing w:before="120"/>
        <w:ind w:firstLine="0"/>
        <w:jc w:val="center"/>
        <w:rPr>
          <w:i/>
          <w:sz w:val="26"/>
          <w:szCs w:val="26"/>
        </w:rPr>
      </w:pPr>
      <w:r w:rsidRPr="005C6A26">
        <w:rPr>
          <w:i/>
          <w:sz w:val="26"/>
          <w:szCs w:val="26"/>
          <w:lang w:val="vi-VN"/>
        </w:rPr>
        <w:t xml:space="preserve">(Tài liệu phục vụ </w:t>
      </w:r>
      <w:r w:rsidRPr="005C6A26">
        <w:rPr>
          <w:i/>
          <w:sz w:val="26"/>
          <w:szCs w:val="26"/>
        </w:rPr>
        <w:t>phiên họp</w:t>
      </w:r>
      <w:r w:rsidR="00D63CF0" w:rsidRPr="005C6A26">
        <w:rPr>
          <w:i/>
          <w:sz w:val="26"/>
          <w:szCs w:val="26"/>
        </w:rPr>
        <w:t xml:space="preserve"> Chính phủ tháng</w:t>
      </w:r>
      <w:r w:rsidR="00BA4FFA">
        <w:rPr>
          <w:i/>
          <w:sz w:val="26"/>
          <w:szCs w:val="26"/>
        </w:rPr>
        <w:t xml:space="preserve"> 0</w:t>
      </w:r>
      <w:r w:rsidR="00B751DC">
        <w:rPr>
          <w:i/>
          <w:sz w:val="26"/>
          <w:szCs w:val="26"/>
        </w:rPr>
        <w:t>2</w:t>
      </w:r>
      <w:r w:rsidRPr="005C6A26">
        <w:rPr>
          <w:i/>
          <w:sz w:val="26"/>
          <w:szCs w:val="26"/>
        </w:rPr>
        <w:t>/201</w:t>
      </w:r>
      <w:r w:rsidR="00BA4FFA">
        <w:rPr>
          <w:i/>
          <w:sz w:val="26"/>
          <w:szCs w:val="26"/>
        </w:rPr>
        <w:t>6</w:t>
      </w:r>
      <w:r w:rsidRPr="005C6A26">
        <w:rPr>
          <w:i/>
          <w:sz w:val="26"/>
          <w:szCs w:val="26"/>
          <w:lang w:val="vi-VN"/>
        </w:rPr>
        <w:t>)</w:t>
      </w:r>
    </w:p>
    <w:p w:rsidR="00900767" w:rsidRDefault="00900767" w:rsidP="00BC5190">
      <w:pPr>
        <w:pStyle w:val="Footer"/>
        <w:spacing w:before="120"/>
        <w:ind w:firstLine="0"/>
        <w:jc w:val="center"/>
        <w:rPr>
          <w:i/>
          <w:sz w:val="26"/>
          <w:szCs w:val="26"/>
        </w:rPr>
      </w:pPr>
    </w:p>
    <w:p w:rsidR="00546DC5" w:rsidRPr="005C6A26" w:rsidRDefault="00546DC5" w:rsidP="00BC5190">
      <w:pPr>
        <w:pStyle w:val="Footer"/>
        <w:spacing w:before="120"/>
        <w:ind w:firstLine="0"/>
        <w:jc w:val="center"/>
        <w:rPr>
          <w:i/>
          <w:sz w:val="26"/>
          <w:szCs w:val="26"/>
        </w:rPr>
      </w:pPr>
    </w:p>
    <w:p w:rsidR="006F39AD" w:rsidRPr="00546DC5" w:rsidRDefault="00A41EA9" w:rsidP="00546DC5">
      <w:pPr>
        <w:pStyle w:val="Footer"/>
        <w:numPr>
          <w:ilvl w:val="0"/>
          <w:numId w:val="13"/>
        </w:numPr>
        <w:spacing w:before="120" w:line="360" w:lineRule="auto"/>
        <w:ind w:left="851" w:hanging="567"/>
        <w:rPr>
          <w:i/>
          <w:szCs w:val="28"/>
        </w:rPr>
      </w:pPr>
      <w:r w:rsidRPr="00546DC5">
        <w:rPr>
          <w:i/>
          <w:szCs w:val="28"/>
          <w:lang w:val="de-DE"/>
        </w:rPr>
        <w:t>Kinh tế thế giới được dự báo sẽ tiếp tục đối mặt với nhiều thách thức trong năm 2016</w:t>
      </w:r>
      <w:r w:rsidR="006802F7" w:rsidRPr="00546DC5">
        <w:rPr>
          <w:i/>
          <w:szCs w:val="28"/>
          <w:lang w:val="de-DE"/>
        </w:rPr>
        <w:t xml:space="preserve">. </w:t>
      </w:r>
    </w:p>
    <w:p w:rsidR="006802F7" w:rsidRPr="00546DC5" w:rsidRDefault="00546DC5" w:rsidP="00546DC5">
      <w:pPr>
        <w:pStyle w:val="Footer"/>
        <w:numPr>
          <w:ilvl w:val="0"/>
          <w:numId w:val="13"/>
        </w:numPr>
        <w:spacing w:before="120" w:line="360" w:lineRule="auto"/>
        <w:ind w:left="851" w:hanging="567"/>
        <w:rPr>
          <w:i/>
          <w:szCs w:val="28"/>
          <w:lang w:val="de-DE"/>
        </w:rPr>
      </w:pPr>
      <w:r w:rsidRPr="00546DC5">
        <w:rPr>
          <w:i/>
          <w:szCs w:val="28"/>
          <w:lang w:val="de-DE"/>
        </w:rPr>
        <w:t xml:space="preserve">Giá dầu giảm mạnh đang gây khó khăn cho quá trình phục hồi kinh tế thế giới. </w:t>
      </w:r>
      <w:r w:rsidR="006802F7" w:rsidRPr="00546DC5">
        <w:rPr>
          <w:i/>
          <w:szCs w:val="28"/>
          <w:lang w:val="de-DE"/>
        </w:rPr>
        <w:t xml:space="preserve">Giá hàng hóa cơ bản vẫn tiếp tục xu hướng giảm sâu. </w:t>
      </w:r>
    </w:p>
    <w:p w:rsidR="006F39AD" w:rsidRPr="00CB443A" w:rsidRDefault="00546DC5" w:rsidP="00546DC5">
      <w:pPr>
        <w:pStyle w:val="Footer"/>
        <w:numPr>
          <w:ilvl w:val="0"/>
          <w:numId w:val="13"/>
        </w:numPr>
        <w:spacing w:before="120" w:line="360" w:lineRule="auto"/>
        <w:ind w:left="851" w:hanging="567"/>
        <w:rPr>
          <w:i/>
          <w:spacing w:val="2"/>
          <w:szCs w:val="28"/>
          <w:lang w:val="de-DE"/>
        </w:rPr>
      </w:pPr>
      <w:r w:rsidRPr="00546DC5">
        <w:rPr>
          <w:i/>
          <w:spacing w:val="2"/>
          <w:szCs w:val="28"/>
          <w:lang w:val="de-DE"/>
        </w:rPr>
        <w:t>Chỉ số giá tiêu dùng của Việt Nam trong</w:t>
      </w:r>
      <w:r w:rsidR="00E67B52" w:rsidRPr="00546DC5">
        <w:rPr>
          <w:i/>
          <w:spacing w:val="2"/>
          <w:szCs w:val="28"/>
          <w:lang w:val="de-DE"/>
        </w:rPr>
        <w:t xml:space="preserve"> 2 tháng đầu năm</w:t>
      </w:r>
      <w:r w:rsidRPr="00546DC5">
        <w:rPr>
          <w:i/>
          <w:spacing w:val="2"/>
          <w:szCs w:val="28"/>
          <w:lang w:val="de-DE"/>
        </w:rPr>
        <w:t xml:space="preserve"> 2016</w:t>
      </w:r>
      <w:r w:rsidR="00E67B52" w:rsidRPr="00546DC5">
        <w:rPr>
          <w:i/>
          <w:spacing w:val="2"/>
          <w:szCs w:val="28"/>
          <w:lang w:val="de-DE"/>
        </w:rPr>
        <w:t xml:space="preserve"> </w:t>
      </w:r>
      <w:r w:rsidRPr="00546DC5">
        <w:rPr>
          <w:i/>
          <w:spacing w:val="2"/>
          <w:szCs w:val="28"/>
          <w:lang w:val="de-DE"/>
        </w:rPr>
        <w:t xml:space="preserve">được </w:t>
      </w:r>
      <w:r w:rsidR="00E67B52" w:rsidRPr="00546DC5">
        <w:rPr>
          <w:i/>
          <w:spacing w:val="2"/>
          <w:szCs w:val="28"/>
          <w:lang w:val="de-DE"/>
        </w:rPr>
        <w:t xml:space="preserve">duy trì mức thấp. </w:t>
      </w:r>
      <w:r w:rsidR="00E67B52" w:rsidRPr="00CB443A">
        <w:rPr>
          <w:i/>
          <w:spacing w:val="2"/>
          <w:szCs w:val="28"/>
          <w:lang w:val="de-DE"/>
        </w:rPr>
        <w:t>Lạm phát cơ bản 2 tháng đầu năm tăng thấp hơn so với cùng kỳ năm trước.</w:t>
      </w:r>
    </w:p>
    <w:p w:rsidR="006F39AD" w:rsidRPr="00CB443A" w:rsidRDefault="006802F7" w:rsidP="00546DC5">
      <w:pPr>
        <w:pStyle w:val="Footer"/>
        <w:numPr>
          <w:ilvl w:val="0"/>
          <w:numId w:val="13"/>
        </w:numPr>
        <w:spacing w:before="120" w:line="360" w:lineRule="auto"/>
        <w:ind w:left="851" w:hanging="567"/>
        <w:rPr>
          <w:i/>
          <w:szCs w:val="28"/>
          <w:lang w:val="de-DE"/>
        </w:rPr>
      </w:pPr>
      <w:r w:rsidRPr="00546DC5">
        <w:rPr>
          <w:i/>
          <w:szCs w:val="28"/>
          <w:lang w:val="de-DE"/>
        </w:rPr>
        <w:t>Tình hình sản xuất kinh doanh của doanh nghiệp trong 2 tháng đầu năm 2016 tiếp tục được cải thiện</w:t>
      </w:r>
      <w:r w:rsidR="00546DC5" w:rsidRPr="00546DC5">
        <w:rPr>
          <w:i/>
          <w:szCs w:val="28"/>
          <w:lang w:val="de-DE"/>
        </w:rPr>
        <w:t>.</w:t>
      </w:r>
    </w:p>
    <w:p w:rsidR="00674EAD" w:rsidRPr="00674EAD" w:rsidRDefault="00674EAD" w:rsidP="00546DC5">
      <w:pPr>
        <w:pStyle w:val="Footer"/>
        <w:numPr>
          <w:ilvl w:val="0"/>
          <w:numId w:val="13"/>
        </w:numPr>
        <w:spacing w:before="120" w:line="360" w:lineRule="auto"/>
        <w:ind w:left="851" w:hanging="567"/>
        <w:rPr>
          <w:i/>
          <w:szCs w:val="28"/>
          <w:lang w:val="de-DE"/>
        </w:rPr>
      </w:pPr>
      <w:r w:rsidRPr="00674EAD">
        <w:rPr>
          <w:i/>
          <w:szCs w:val="28"/>
          <w:lang w:val="de-DE"/>
        </w:rPr>
        <w:t xml:space="preserve">Thị trường cổ phiếu tháng 2/2016 có xu hướng phục hồi nhẹ nhờ kết quả kinh doanh tích cực </w:t>
      </w:r>
      <w:r>
        <w:rPr>
          <w:i/>
          <w:szCs w:val="28"/>
          <w:lang w:val="de-DE"/>
        </w:rPr>
        <w:t xml:space="preserve">của nhiều doanh nghiệp </w:t>
      </w:r>
      <w:r w:rsidRPr="00674EAD">
        <w:rPr>
          <w:i/>
          <w:szCs w:val="28"/>
          <w:lang w:val="de-DE"/>
        </w:rPr>
        <w:t>trong năm 2015</w:t>
      </w:r>
    </w:p>
    <w:p w:rsidR="00546DC5" w:rsidRPr="00CB443A" w:rsidRDefault="00546DC5" w:rsidP="00546DC5">
      <w:pPr>
        <w:pStyle w:val="Footer"/>
        <w:numPr>
          <w:ilvl w:val="0"/>
          <w:numId w:val="13"/>
        </w:numPr>
        <w:spacing w:before="120" w:line="360" w:lineRule="auto"/>
        <w:ind w:left="851" w:hanging="567"/>
        <w:rPr>
          <w:i/>
          <w:sz w:val="26"/>
          <w:szCs w:val="26"/>
          <w:lang w:val="de-DE"/>
        </w:rPr>
      </w:pPr>
      <w:r w:rsidRPr="00546DC5">
        <w:rPr>
          <w:i/>
          <w:szCs w:val="28"/>
          <w:lang w:val="vi-VN"/>
        </w:rPr>
        <w:t xml:space="preserve">Khối lượng phát hành TPCP tháng 2/2016 giảm so với tháng </w:t>
      </w:r>
      <w:r w:rsidRPr="00CB443A">
        <w:rPr>
          <w:i/>
          <w:szCs w:val="28"/>
          <w:lang w:val="de-DE"/>
        </w:rPr>
        <w:t xml:space="preserve">trước, </w:t>
      </w:r>
      <w:r w:rsidRPr="00546DC5">
        <w:rPr>
          <w:i/>
          <w:szCs w:val="28"/>
          <w:lang w:val="de-DE"/>
        </w:rPr>
        <w:t>song tỷ lệ phát hành thành công TPCP đạt mức cao hơn tháng 1/2016.</w:t>
      </w:r>
      <w:r w:rsidRPr="00546DC5">
        <w:rPr>
          <w:i/>
          <w:sz w:val="26"/>
          <w:szCs w:val="26"/>
          <w:lang w:val="de-DE"/>
        </w:rPr>
        <w:t xml:space="preserve"> </w:t>
      </w:r>
    </w:p>
    <w:p w:rsidR="00F7112F" w:rsidRPr="00CB443A" w:rsidRDefault="00F7112F" w:rsidP="00BC5190">
      <w:pPr>
        <w:pStyle w:val="Footer"/>
        <w:spacing w:before="120"/>
        <w:ind w:firstLine="0"/>
        <w:rPr>
          <w:i/>
          <w:sz w:val="26"/>
          <w:szCs w:val="26"/>
          <w:lang w:val="de-DE"/>
        </w:rPr>
      </w:pPr>
    </w:p>
    <w:p w:rsidR="00F22114" w:rsidRPr="00CB443A" w:rsidRDefault="00F22114" w:rsidP="00BC5190">
      <w:pPr>
        <w:spacing w:after="200"/>
        <w:ind w:firstLine="0"/>
        <w:jc w:val="left"/>
        <w:rPr>
          <w:b/>
          <w:sz w:val="26"/>
          <w:szCs w:val="26"/>
          <w:lang w:val="de-DE"/>
        </w:rPr>
      </w:pPr>
      <w:r w:rsidRPr="00CB443A">
        <w:rPr>
          <w:b/>
          <w:sz w:val="26"/>
          <w:szCs w:val="26"/>
          <w:lang w:val="de-DE"/>
        </w:rPr>
        <w:br w:type="page"/>
      </w:r>
    </w:p>
    <w:p w:rsidR="005926AC" w:rsidRPr="006C7196" w:rsidRDefault="005926AC" w:rsidP="006C7196">
      <w:pPr>
        <w:pStyle w:val="Footer"/>
        <w:numPr>
          <w:ilvl w:val="0"/>
          <w:numId w:val="12"/>
        </w:numPr>
        <w:tabs>
          <w:tab w:val="left" w:pos="284"/>
          <w:tab w:val="left" w:pos="567"/>
        </w:tabs>
        <w:spacing w:before="120" w:line="312" w:lineRule="auto"/>
        <w:ind w:hanging="1080"/>
        <w:rPr>
          <w:b/>
          <w:sz w:val="26"/>
          <w:szCs w:val="26"/>
        </w:rPr>
      </w:pPr>
      <w:r w:rsidRPr="006C7196">
        <w:rPr>
          <w:b/>
          <w:sz w:val="26"/>
          <w:szCs w:val="26"/>
        </w:rPr>
        <w:lastRenderedPageBreak/>
        <w:t>KINH TẾ THẾ GIỚI</w:t>
      </w:r>
      <w:r w:rsidR="008D2284" w:rsidRPr="006C7196">
        <w:rPr>
          <w:b/>
          <w:sz w:val="26"/>
          <w:szCs w:val="26"/>
        </w:rPr>
        <w:t xml:space="preserve"> </w:t>
      </w:r>
    </w:p>
    <w:p w:rsidR="00A750DC" w:rsidRPr="006C7196" w:rsidRDefault="00A750DC" w:rsidP="006C7196">
      <w:pPr>
        <w:pStyle w:val="Footer"/>
        <w:numPr>
          <w:ilvl w:val="0"/>
          <w:numId w:val="23"/>
        </w:numPr>
        <w:tabs>
          <w:tab w:val="left" w:pos="284"/>
          <w:tab w:val="left" w:pos="567"/>
        </w:tabs>
        <w:spacing w:before="120" w:line="312" w:lineRule="auto"/>
        <w:ind w:left="426" w:hanging="426"/>
        <w:rPr>
          <w:b/>
          <w:sz w:val="26"/>
          <w:szCs w:val="26"/>
        </w:rPr>
      </w:pPr>
      <w:r w:rsidRPr="006C7196">
        <w:rPr>
          <w:b/>
          <w:sz w:val="26"/>
          <w:szCs w:val="26"/>
        </w:rPr>
        <w:t>Tăng trưởng kinh tế</w:t>
      </w:r>
    </w:p>
    <w:p w:rsidR="00A86A59" w:rsidRDefault="00CB443A" w:rsidP="006C7196">
      <w:pPr>
        <w:spacing w:before="120" w:line="312" w:lineRule="auto"/>
        <w:rPr>
          <w:sz w:val="26"/>
          <w:szCs w:val="26"/>
          <w:lang w:val="de-DE"/>
        </w:rPr>
      </w:pPr>
      <w:r>
        <w:rPr>
          <w:sz w:val="26"/>
          <w:szCs w:val="26"/>
          <w:lang w:val="de-DE"/>
        </w:rPr>
        <w:t>Tình hình không mấy tích cực</w:t>
      </w:r>
      <w:r w:rsidR="006A0751" w:rsidRPr="00A86A59">
        <w:rPr>
          <w:sz w:val="26"/>
          <w:szCs w:val="26"/>
          <w:lang w:val="de-DE"/>
        </w:rPr>
        <w:t xml:space="preserve"> </w:t>
      </w:r>
      <w:r w:rsidR="00A86A59" w:rsidRPr="00A86A59">
        <w:rPr>
          <w:sz w:val="26"/>
          <w:szCs w:val="26"/>
          <w:lang w:val="de-DE"/>
        </w:rPr>
        <w:t xml:space="preserve">của các nền kinh tế mới nổi và việc giá dầu thô giảm mạnh đang </w:t>
      </w:r>
      <w:r>
        <w:rPr>
          <w:sz w:val="26"/>
          <w:szCs w:val="26"/>
          <w:lang w:val="de-DE"/>
        </w:rPr>
        <w:t>ảnh hưởng đến triển vọng</w:t>
      </w:r>
      <w:r w:rsidR="00A86A59" w:rsidRPr="00A86A59">
        <w:rPr>
          <w:sz w:val="26"/>
          <w:szCs w:val="26"/>
          <w:lang w:val="de-DE"/>
        </w:rPr>
        <w:t xml:space="preserve"> phục hồi của </w:t>
      </w:r>
      <w:r>
        <w:rPr>
          <w:sz w:val="26"/>
          <w:szCs w:val="26"/>
          <w:lang w:val="de-DE"/>
        </w:rPr>
        <w:t>kinh tế thế giới</w:t>
      </w:r>
      <w:r w:rsidR="00A86A59" w:rsidRPr="00A86A59">
        <w:rPr>
          <w:sz w:val="26"/>
          <w:szCs w:val="26"/>
          <w:lang w:val="de-DE"/>
        </w:rPr>
        <w:t>. K</w:t>
      </w:r>
      <w:r w:rsidR="00A86A59">
        <w:rPr>
          <w:sz w:val="26"/>
          <w:szCs w:val="26"/>
          <w:lang w:val="de-DE"/>
        </w:rPr>
        <w:t>inh tế</w:t>
      </w:r>
      <w:r w:rsidR="006A0751">
        <w:rPr>
          <w:sz w:val="26"/>
          <w:szCs w:val="26"/>
          <w:lang w:val="de-DE"/>
        </w:rPr>
        <w:t xml:space="preserve"> thế giới do đó được dự bá</w:t>
      </w:r>
      <w:r w:rsidR="00A86A59" w:rsidRPr="00A86A59">
        <w:rPr>
          <w:sz w:val="26"/>
          <w:szCs w:val="26"/>
          <w:lang w:val="de-DE"/>
        </w:rPr>
        <w:t xml:space="preserve">o sẽ </w:t>
      </w:r>
      <w:r w:rsidR="00A86A59">
        <w:rPr>
          <w:sz w:val="26"/>
          <w:szCs w:val="26"/>
          <w:lang w:val="de-DE"/>
        </w:rPr>
        <w:t xml:space="preserve">tiếp tục </w:t>
      </w:r>
      <w:r w:rsidR="00A86A59" w:rsidRPr="00A86A59">
        <w:rPr>
          <w:sz w:val="26"/>
          <w:szCs w:val="26"/>
          <w:lang w:val="de-DE"/>
        </w:rPr>
        <w:t>đối mặt</w:t>
      </w:r>
      <w:r w:rsidR="007F43DB">
        <w:rPr>
          <w:sz w:val="26"/>
          <w:szCs w:val="26"/>
          <w:lang w:val="de-DE"/>
        </w:rPr>
        <w:t xml:space="preserve"> với nhiề</w:t>
      </w:r>
      <w:r w:rsidR="00A86A59" w:rsidRPr="00A86A59">
        <w:rPr>
          <w:sz w:val="26"/>
          <w:szCs w:val="26"/>
          <w:lang w:val="de-DE"/>
        </w:rPr>
        <w:t>u thách thức</w:t>
      </w:r>
      <w:r w:rsidR="00A86A59">
        <w:rPr>
          <w:sz w:val="26"/>
          <w:szCs w:val="26"/>
          <w:lang w:val="de-DE"/>
        </w:rPr>
        <w:t xml:space="preserve"> trong năm 2016.</w:t>
      </w:r>
    </w:p>
    <w:p w:rsidR="00CE5A5A" w:rsidRPr="001615F5" w:rsidRDefault="00767386" w:rsidP="006C7196">
      <w:pPr>
        <w:spacing w:before="120" w:line="312" w:lineRule="auto"/>
        <w:rPr>
          <w:sz w:val="26"/>
          <w:szCs w:val="26"/>
          <w:lang w:val="de-DE"/>
        </w:rPr>
      </w:pPr>
      <w:r w:rsidRPr="001615F5">
        <w:rPr>
          <w:b/>
          <w:i/>
          <w:sz w:val="26"/>
          <w:szCs w:val="26"/>
          <w:lang w:val="de-DE"/>
        </w:rPr>
        <w:t>Mỹ,</w:t>
      </w:r>
      <w:r w:rsidRPr="00321F37">
        <w:rPr>
          <w:b/>
          <w:i/>
          <w:sz w:val="26"/>
          <w:szCs w:val="26"/>
          <w:lang w:val="de-DE"/>
        </w:rPr>
        <w:t xml:space="preserve"> </w:t>
      </w:r>
      <w:r w:rsidR="00321F37" w:rsidRPr="00321F37">
        <w:rPr>
          <w:b/>
          <w:i/>
          <w:sz w:val="26"/>
          <w:szCs w:val="26"/>
          <w:lang w:val="de-DE"/>
        </w:rPr>
        <w:t>nền kinh tế dần hồ</w:t>
      </w:r>
      <w:r w:rsidR="0095247A" w:rsidRPr="00321F37">
        <w:rPr>
          <w:b/>
          <w:i/>
          <w:sz w:val="26"/>
          <w:szCs w:val="26"/>
          <w:lang w:val="de-DE"/>
        </w:rPr>
        <w:t xml:space="preserve">i phục </w:t>
      </w:r>
      <w:r w:rsidR="00A86A59" w:rsidRPr="00321F37">
        <w:rPr>
          <w:b/>
          <w:i/>
          <w:sz w:val="26"/>
          <w:szCs w:val="26"/>
          <w:lang w:val="de-DE"/>
        </w:rPr>
        <w:t>nhưng chưa vững chắc</w:t>
      </w:r>
      <w:r w:rsidR="00321F37">
        <w:rPr>
          <w:sz w:val="26"/>
          <w:szCs w:val="26"/>
          <w:lang w:val="de-DE"/>
        </w:rPr>
        <w:t>.</w:t>
      </w:r>
      <w:r w:rsidR="00A86A59">
        <w:rPr>
          <w:sz w:val="26"/>
          <w:szCs w:val="26"/>
          <w:lang w:val="de-DE"/>
        </w:rPr>
        <w:t xml:space="preserve"> </w:t>
      </w:r>
      <w:r w:rsidR="00321F37">
        <w:rPr>
          <w:sz w:val="26"/>
          <w:szCs w:val="26"/>
          <w:lang w:val="de-DE"/>
        </w:rPr>
        <w:t>Q</w:t>
      </w:r>
      <w:r w:rsidR="007053CE" w:rsidRPr="001615F5">
        <w:rPr>
          <w:sz w:val="26"/>
          <w:szCs w:val="26"/>
          <w:lang w:val="de-DE"/>
        </w:rPr>
        <w:t xml:space="preserve">uý </w:t>
      </w:r>
      <w:r w:rsidR="00CE5A5A" w:rsidRPr="001615F5">
        <w:rPr>
          <w:sz w:val="26"/>
          <w:szCs w:val="26"/>
          <w:lang w:val="de-DE"/>
        </w:rPr>
        <w:t>4</w:t>
      </w:r>
      <w:r w:rsidR="007053CE" w:rsidRPr="001615F5">
        <w:rPr>
          <w:sz w:val="26"/>
          <w:szCs w:val="26"/>
          <w:lang w:val="de-DE"/>
        </w:rPr>
        <w:t xml:space="preserve">/2015, </w:t>
      </w:r>
      <w:r w:rsidRPr="001615F5">
        <w:rPr>
          <w:sz w:val="26"/>
          <w:szCs w:val="26"/>
          <w:lang w:val="de-DE"/>
        </w:rPr>
        <w:t xml:space="preserve">GDP </w:t>
      </w:r>
      <w:r w:rsidR="00CE5A5A" w:rsidRPr="001615F5">
        <w:rPr>
          <w:sz w:val="26"/>
          <w:szCs w:val="26"/>
          <w:lang w:val="de-DE"/>
        </w:rPr>
        <w:t xml:space="preserve">chỉ </w:t>
      </w:r>
      <w:r w:rsidRPr="001615F5">
        <w:rPr>
          <w:sz w:val="26"/>
          <w:szCs w:val="26"/>
          <w:lang w:val="de-DE"/>
        </w:rPr>
        <w:t xml:space="preserve">tăng </w:t>
      </w:r>
      <w:r w:rsidR="00CE5A5A" w:rsidRPr="001615F5">
        <w:rPr>
          <w:sz w:val="26"/>
          <w:szCs w:val="26"/>
          <w:lang w:val="de-DE"/>
        </w:rPr>
        <w:t>1,8</w:t>
      </w:r>
      <w:r w:rsidRPr="001615F5">
        <w:rPr>
          <w:sz w:val="26"/>
          <w:szCs w:val="26"/>
          <w:lang w:val="de-DE"/>
        </w:rPr>
        <w:t>%</w:t>
      </w:r>
      <w:r w:rsidR="00321F37">
        <w:rPr>
          <w:sz w:val="26"/>
          <w:szCs w:val="26"/>
          <w:lang w:val="de-DE"/>
        </w:rPr>
        <w:t>,</w:t>
      </w:r>
      <w:r w:rsidR="00CE5A5A" w:rsidRPr="001615F5">
        <w:rPr>
          <w:sz w:val="26"/>
          <w:szCs w:val="26"/>
          <w:lang w:val="de-DE"/>
        </w:rPr>
        <w:t xml:space="preserve"> thấp hơn quý trước đó.</w:t>
      </w:r>
      <w:r w:rsidR="0095247A" w:rsidRPr="001615F5">
        <w:rPr>
          <w:sz w:val="26"/>
          <w:szCs w:val="26"/>
          <w:lang w:val="de-DE"/>
        </w:rPr>
        <w:t xml:space="preserve"> </w:t>
      </w:r>
      <w:r w:rsidR="00A86A59" w:rsidRPr="001615F5">
        <w:rPr>
          <w:sz w:val="26"/>
          <w:szCs w:val="26"/>
          <w:lang w:val="de-DE"/>
        </w:rPr>
        <w:t>Chỉ số PMI tháng 2 giảm còn 51 điểm so với mức</w:t>
      </w:r>
      <w:r w:rsidR="00321F37">
        <w:rPr>
          <w:sz w:val="26"/>
          <w:szCs w:val="26"/>
          <w:lang w:val="de-DE"/>
        </w:rPr>
        <w:t xml:space="preserve"> 52,8 điểm trong tháng trước như</w:t>
      </w:r>
      <w:r w:rsidR="00A86A59" w:rsidRPr="001615F5">
        <w:rPr>
          <w:sz w:val="26"/>
          <w:szCs w:val="26"/>
          <w:lang w:val="de-DE"/>
        </w:rPr>
        <w:t>ng vẫn đang duy trì được mức ngưỡng trên 50 điểm.</w:t>
      </w:r>
      <w:r w:rsidR="00945E23">
        <w:rPr>
          <w:sz w:val="26"/>
          <w:szCs w:val="26"/>
          <w:lang w:val="de-DE"/>
        </w:rPr>
        <w:t xml:space="preserve"> T</w:t>
      </w:r>
      <w:r w:rsidR="0095247A" w:rsidRPr="001615F5">
        <w:rPr>
          <w:sz w:val="26"/>
          <w:szCs w:val="26"/>
          <w:lang w:val="de-DE"/>
        </w:rPr>
        <w:t xml:space="preserve">ỷ lệ thất nghiệp trong tháng đầu năm </w:t>
      </w:r>
      <w:r w:rsidR="00321F37">
        <w:rPr>
          <w:sz w:val="26"/>
          <w:szCs w:val="26"/>
          <w:lang w:val="de-DE"/>
        </w:rPr>
        <w:t xml:space="preserve">2016 đã </w:t>
      </w:r>
      <w:r w:rsidR="0095247A" w:rsidRPr="001615F5">
        <w:rPr>
          <w:sz w:val="26"/>
          <w:szCs w:val="26"/>
          <w:lang w:val="de-DE"/>
        </w:rPr>
        <w:t>giảm xuống còn 4,9%</w:t>
      </w:r>
      <w:r w:rsidR="000023EE" w:rsidRPr="001615F5">
        <w:rPr>
          <w:sz w:val="26"/>
          <w:szCs w:val="26"/>
          <w:lang w:val="de-DE"/>
        </w:rPr>
        <w:t>, lạm phát tăng 1,4%</w:t>
      </w:r>
      <w:r w:rsidR="00321F37">
        <w:rPr>
          <w:sz w:val="26"/>
          <w:szCs w:val="26"/>
          <w:lang w:val="de-DE"/>
        </w:rPr>
        <w:t>. Đ</w:t>
      </w:r>
      <w:r w:rsidR="000023EE" w:rsidRPr="001615F5">
        <w:rPr>
          <w:sz w:val="26"/>
          <w:szCs w:val="26"/>
          <w:lang w:val="de-DE"/>
        </w:rPr>
        <w:t>ây có thể là tín hiệu hỗ trợ cho việc tăng lãi suất trong thời gian tới.</w:t>
      </w:r>
      <w:r w:rsidR="0095247A" w:rsidRPr="001615F5">
        <w:rPr>
          <w:sz w:val="26"/>
          <w:szCs w:val="26"/>
          <w:lang w:val="de-DE"/>
        </w:rPr>
        <w:t xml:space="preserve"> </w:t>
      </w:r>
      <w:r w:rsidR="00AE031F" w:rsidRPr="00AE031F">
        <w:rPr>
          <w:sz w:val="26"/>
          <w:szCs w:val="26"/>
          <w:lang w:val="de-DE"/>
        </w:rPr>
        <w:t>T</w:t>
      </w:r>
      <w:r w:rsidR="00AE031F" w:rsidRPr="00E61CE5">
        <w:rPr>
          <w:sz w:val="26"/>
          <w:szCs w:val="26"/>
          <w:lang w:val="vi-VN"/>
        </w:rPr>
        <w:t>hâm hụt ngân sách 4 tháng đầu năm tài khóa 2016</w:t>
      </w:r>
      <w:r w:rsidR="00AE031F">
        <w:rPr>
          <w:rStyle w:val="FootnoteReference"/>
          <w:sz w:val="26"/>
          <w:szCs w:val="26"/>
          <w:lang w:val="vi-VN"/>
        </w:rPr>
        <w:footnoteReference w:id="1"/>
      </w:r>
      <w:r w:rsidR="00375CDC">
        <w:rPr>
          <w:sz w:val="26"/>
          <w:szCs w:val="26"/>
          <w:lang w:val="vi-VN"/>
        </w:rPr>
        <w:t xml:space="preserve"> </w:t>
      </w:r>
      <w:r w:rsidR="00375CDC" w:rsidRPr="00375CDC">
        <w:rPr>
          <w:sz w:val="26"/>
          <w:szCs w:val="26"/>
          <w:lang w:val="de-DE"/>
        </w:rPr>
        <w:t>đ</w:t>
      </w:r>
      <w:r w:rsidR="00375CDC">
        <w:rPr>
          <w:sz w:val="26"/>
          <w:szCs w:val="26"/>
          <w:lang w:val="de-DE"/>
        </w:rPr>
        <w:t>ạt</w:t>
      </w:r>
      <w:r w:rsidR="00AE031F" w:rsidRPr="00E61CE5">
        <w:rPr>
          <w:sz w:val="26"/>
          <w:szCs w:val="26"/>
          <w:lang w:val="vi-VN"/>
        </w:rPr>
        <w:t xml:space="preserve"> 165 tỷ USD, giảm 29 tỷ USD so với cùng kỳ năm 2015. </w:t>
      </w:r>
      <w:r w:rsidR="00AE031F" w:rsidRPr="008A3A30">
        <w:rPr>
          <w:sz w:val="26"/>
          <w:szCs w:val="26"/>
          <w:lang w:val="vi-VN"/>
        </w:rPr>
        <w:t xml:space="preserve">Nguyên nhân do thuế thu nhập cá nhân và một số khoản thu khác khả quan giúp tổng thu ngân sách tăng 3% so với cùng kỳ trong khi chi ngân sách ổn định. </w:t>
      </w:r>
    </w:p>
    <w:p w:rsidR="002A61FE" w:rsidRPr="00AE031F" w:rsidRDefault="007053CE" w:rsidP="006C7196">
      <w:pPr>
        <w:spacing w:before="120" w:line="312" w:lineRule="auto"/>
        <w:rPr>
          <w:sz w:val="26"/>
          <w:szCs w:val="26"/>
          <w:lang w:val="de-DE"/>
        </w:rPr>
      </w:pPr>
      <w:r w:rsidRPr="001615F5">
        <w:rPr>
          <w:b/>
          <w:i/>
          <w:sz w:val="26"/>
          <w:szCs w:val="26"/>
          <w:lang w:val="de-DE"/>
        </w:rPr>
        <w:t>Châu Âu</w:t>
      </w:r>
      <w:r w:rsidRPr="00321F37">
        <w:rPr>
          <w:b/>
          <w:i/>
          <w:sz w:val="26"/>
          <w:szCs w:val="26"/>
          <w:lang w:val="de-DE"/>
        </w:rPr>
        <w:t xml:space="preserve">, </w:t>
      </w:r>
      <w:r w:rsidR="00AE031F" w:rsidRPr="00321F37">
        <w:rPr>
          <w:b/>
          <w:i/>
          <w:sz w:val="26"/>
          <w:szCs w:val="26"/>
          <w:lang w:val="de-DE"/>
        </w:rPr>
        <w:t xml:space="preserve">tỷ </w:t>
      </w:r>
      <w:r w:rsidRPr="00321F37">
        <w:rPr>
          <w:b/>
          <w:i/>
          <w:sz w:val="26"/>
          <w:szCs w:val="26"/>
          <w:lang w:val="de-DE"/>
        </w:rPr>
        <w:t>lệ thất nghiệp giảm còn 10,</w:t>
      </w:r>
      <w:r w:rsidR="002A61FE" w:rsidRPr="00321F37">
        <w:rPr>
          <w:b/>
          <w:i/>
          <w:sz w:val="26"/>
          <w:szCs w:val="26"/>
          <w:lang w:val="de-DE"/>
        </w:rPr>
        <w:t>4</w:t>
      </w:r>
      <w:r w:rsidRPr="00321F37">
        <w:rPr>
          <w:b/>
          <w:i/>
          <w:sz w:val="26"/>
          <w:szCs w:val="26"/>
          <w:lang w:val="de-DE"/>
        </w:rPr>
        <w:t>% trong tháng 1</w:t>
      </w:r>
      <w:r w:rsidR="002A61FE" w:rsidRPr="00321F37">
        <w:rPr>
          <w:b/>
          <w:i/>
          <w:sz w:val="26"/>
          <w:szCs w:val="26"/>
          <w:lang w:val="de-DE"/>
        </w:rPr>
        <w:t>2</w:t>
      </w:r>
      <w:r w:rsidR="00321F37" w:rsidRPr="00321F37">
        <w:rPr>
          <w:b/>
          <w:i/>
          <w:sz w:val="26"/>
          <w:szCs w:val="26"/>
          <w:lang w:val="de-DE"/>
        </w:rPr>
        <w:t>,</w:t>
      </w:r>
      <w:r w:rsidR="002A61FE" w:rsidRPr="00321F37">
        <w:rPr>
          <w:b/>
          <w:i/>
          <w:sz w:val="26"/>
          <w:szCs w:val="26"/>
          <w:lang w:val="de-DE"/>
        </w:rPr>
        <w:t xml:space="preserve"> mức thấp nhất kể từ tháng 9/2011</w:t>
      </w:r>
      <w:r w:rsidR="00C4084C" w:rsidRPr="001615F5">
        <w:rPr>
          <w:sz w:val="26"/>
          <w:szCs w:val="26"/>
          <w:lang w:val="de-DE"/>
        </w:rPr>
        <w:t>. Lạm phát trong tháng 1</w:t>
      </w:r>
      <w:r w:rsidR="00321F37">
        <w:rPr>
          <w:sz w:val="26"/>
          <w:szCs w:val="26"/>
          <w:lang w:val="de-DE"/>
        </w:rPr>
        <w:t>/2016</w:t>
      </w:r>
      <w:r w:rsidR="00C4084C" w:rsidRPr="001615F5">
        <w:rPr>
          <w:sz w:val="26"/>
          <w:szCs w:val="26"/>
          <w:lang w:val="de-DE"/>
        </w:rPr>
        <w:t xml:space="preserve"> tăng 0,4% so với cùng kỳ năm </w:t>
      </w:r>
      <w:r w:rsidR="00321F37">
        <w:rPr>
          <w:sz w:val="26"/>
          <w:szCs w:val="26"/>
          <w:lang w:val="de-DE"/>
        </w:rPr>
        <w:t>ngoái và gấp đôi tháng trước đó.</w:t>
      </w:r>
      <w:r w:rsidR="00C4084C" w:rsidRPr="001615F5">
        <w:rPr>
          <w:sz w:val="26"/>
          <w:szCs w:val="26"/>
          <w:lang w:val="de-DE"/>
        </w:rPr>
        <w:t xml:space="preserve"> </w:t>
      </w:r>
      <w:r w:rsidR="00321F37">
        <w:rPr>
          <w:sz w:val="26"/>
          <w:szCs w:val="26"/>
          <w:lang w:val="de-DE"/>
        </w:rPr>
        <w:t>T</w:t>
      </w:r>
      <w:r w:rsidR="00C4084C" w:rsidRPr="001615F5">
        <w:rPr>
          <w:sz w:val="26"/>
          <w:szCs w:val="26"/>
          <w:lang w:val="de-DE"/>
        </w:rPr>
        <w:t xml:space="preserve">ỷ lệ lạm phát lõi, không bao gồm giá thực phẩm và năng lượng tăng 1% so với mức 0,9% của tháng trước. </w:t>
      </w:r>
      <w:r w:rsidR="00AE031F">
        <w:rPr>
          <w:sz w:val="26"/>
          <w:szCs w:val="26"/>
          <w:lang w:val="de-DE"/>
        </w:rPr>
        <w:t xml:space="preserve">Châu Âu cũng đang </w:t>
      </w:r>
      <w:r w:rsidR="00AE031F" w:rsidRPr="00B645B1">
        <w:rPr>
          <w:sz w:val="26"/>
          <w:szCs w:val="26"/>
          <w:lang w:val="vi-VN"/>
        </w:rPr>
        <w:t xml:space="preserve">tăng </w:t>
      </w:r>
      <w:r w:rsidR="00AE031F" w:rsidRPr="00621D6F">
        <w:rPr>
          <w:sz w:val="26"/>
          <w:szCs w:val="26"/>
          <w:lang w:val="vi-VN"/>
        </w:rPr>
        <w:t>ngân sách</w:t>
      </w:r>
      <w:r w:rsidR="00AE031F" w:rsidRPr="00B645B1">
        <w:rPr>
          <w:sz w:val="26"/>
          <w:szCs w:val="26"/>
          <w:lang w:val="vi-VN"/>
        </w:rPr>
        <w:t xml:space="preserve"> quốc phòng</w:t>
      </w:r>
      <w:r w:rsidR="00AE031F" w:rsidRPr="008616C2">
        <w:rPr>
          <w:sz w:val="26"/>
          <w:szCs w:val="26"/>
          <w:lang w:val="vi-VN"/>
        </w:rPr>
        <w:t xml:space="preserve"> </w:t>
      </w:r>
      <w:r w:rsidR="00AE031F" w:rsidRPr="00D97A8C">
        <w:rPr>
          <w:sz w:val="26"/>
          <w:szCs w:val="26"/>
          <w:lang w:val="vi-VN"/>
        </w:rPr>
        <w:t>sau nhiều năm cắt giả</w:t>
      </w:r>
      <w:r w:rsidR="00AE031F">
        <w:rPr>
          <w:sz w:val="26"/>
          <w:szCs w:val="26"/>
          <w:lang w:val="vi-VN"/>
        </w:rPr>
        <w:t>m</w:t>
      </w:r>
      <w:r w:rsidR="00AE031F" w:rsidRPr="00B645B1">
        <w:rPr>
          <w:sz w:val="26"/>
          <w:szCs w:val="26"/>
          <w:lang w:val="vi-VN"/>
        </w:rPr>
        <w:t xml:space="preserve"> để đảm bảo an ninh trong nước </w:t>
      </w:r>
      <w:r w:rsidR="00AE031F" w:rsidRPr="00F12B21">
        <w:rPr>
          <w:sz w:val="26"/>
          <w:szCs w:val="26"/>
          <w:lang w:val="vi-VN"/>
        </w:rPr>
        <w:t xml:space="preserve">cũng như </w:t>
      </w:r>
      <w:r w:rsidR="00AE031F" w:rsidRPr="0055403B">
        <w:rPr>
          <w:sz w:val="26"/>
          <w:szCs w:val="26"/>
          <w:lang w:val="vi-VN"/>
        </w:rPr>
        <w:t>đối phó với những</w:t>
      </w:r>
      <w:r w:rsidR="00AE031F" w:rsidRPr="00B645B1">
        <w:rPr>
          <w:sz w:val="26"/>
          <w:szCs w:val="26"/>
          <w:lang w:val="vi-VN"/>
        </w:rPr>
        <w:t xml:space="preserve"> </w:t>
      </w:r>
      <w:r w:rsidR="00AE031F" w:rsidRPr="00621D6F">
        <w:rPr>
          <w:sz w:val="26"/>
          <w:szCs w:val="26"/>
          <w:lang w:val="vi-VN"/>
        </w:rPr>
        <w:t>bất ổn</w:t>
      </w:r>
      <w:r w:rsidR="00AE031F" w:rsidRPr="00B645B1">
        <w:rPr>
          <w:sz w:val="26"/>
          <w:szCs w:val="26"/>
          <w:lang w:val="vi-VN"/>
        </w:rPr>
        <w:t xml:space="preserve"> </w:t>
      </w:r>
      <w:r w:rsidR="00AE031F" w:rsidRPr="0055403B">
        <w:rPr>
          <w:sz w:val="26"/>
          <w:szCs w:val="26"/>
          <w:lang w:val="vi-VN"/>
        </w:rPr>
        <w:t>từ</w:t>
      </w:r>
      <w:r w:rsidR="00AE031F">
        <w:rPr>
          <w:sz w:val="26"/>
          <w:szCs w:val="26"/>
          <w:lang w:val="vi-VN"/>
        </w:rPr>
        <w:t xml:space="preserve"> Trung Đông</w:t>
      </w:r>
      <w:r w:rsidR="00AE031F" w:rsidRPr="00F12B21">
        <w:rPr>
          <w:sz w:val="26"/>
          <w:szCs w:val="26"/>
          <w:lang w:val="vi-VN"/>
        </w:rPr>
        <w:t xml:space="preserve"> và</w:t>
      </w:r>
      <w:r w:rsidR="00AE031F" w:rsidRPr="0055403B">
        <w:rPr>
          <w:sz w:val="26"/>
          <w:szCs w:val="26"/>
          <w:lang w:val="vi-VN"/>
        </w:rPr>
        <w:t xml:space="preserve"> </w:t>
      </w:r>
      <w:r w:rsidR="00AE031F">
        <w:rPr>
          <w:sz w:val="26"/>
          <w:szCs w:val="26"/>
          <w:lang w:val="vi-VN"/>
        </w:rPr>
        <w:t>Ukraine</w:t>
      </w:r>
      <w:r w:rsidR="00AE031F" w:rsidRPr="00AE031F">
        <w:rPr>
          <w:sz w:val="26"/>
          <w:szCs w:val="26"/>
          <w:lang w:val="de-DE"/>
        </w:rPr>
        <w:t xml:space="preserve">. </w:t>
      </w:r>
      <w:r w:rsidR="00AE031F" w:rsidRPr="00A04B30">
        <w:rPr>
          <w:sz w:val="26"/>
          <w:szCs w:val="26"/>
          <w:lang w:val="vi-VN"/>
        </w:rPr>
        <w:t xml:space="preserve">Dự kiến, </w:t>
      </w:r>
      <w:r w:rsidR="00AE031F" w:rsidRPr="0085415B">
        <w:rPr>
          <w:sz w:val="26"/>
          <w:szCs w:val="26"/>
          <w:lang w:val="vi-VN"/>
        </w:rPr>
        <w:t>thâm hụt ngân sách</w:t>
      </w:r>
      <w:r w:rsidR="00AE031F" w:rsidRPr="00A04B30">
        <w:rPr>
          <w:sz w:val="26"/>
          <w:szCs w:val="26"/>
          <w:lang w:val="vi-VN"/>
        </w:rPr>
        <w:t xml:space="preserve"> năm 2016</w:t>
      </w:r>
      <w:r w:rsidR="00AE031F" w:rsidRPr="0085415B">
        <w:rPr>
          <w:sz w:val="26"/>
          <w:szCs w:val="26"/>
          <w:lang w:val="vi-VN"/>
        </w:rPr>
        <w:t xml:space="preserve"> của châu Âu khoả</w:t>
      </w:r>
      <w:r w:rsidR="00321F37">
        <w:rPr>
          <w:sz w:val="26"/>
          <w:szCs w:val="26"/>
          <w:lang w:val="vi-VN"/>
        </w:rPr>
        <w:t>ng</w:t>
      </w:r>
      <w:r w:rsidR="00321F37" w:rsidRPr="00321F37">
        <w:rPr>
          <w:sz w:val="26"/>
          <w:szCs w:val="26"/>
          <w:lang w:val="de-DE"/>
        </w:rPr>
        <w:t xml:space="preserve"> </w:t>
      </w:r>
      <w:r w:rsidR="00AE031F">
        <w:rPr>
          <w:sz w:val="26"/>
          <w:szCs w:val="26"/>
          <w:lang w:val="vi-VN"/>
        </w:rPr>
        <w:t>2% GDP</w:t>
      </w:r>
      <w:r w:rsidR="00AE031F" w:rsidRPr="00A04B30">
        <w:rPr>
          <w:sz w:val="26"/>
          <w:szCs w:val="26"/>
          <w:lang w:val="vi-VN"/>
        </w:rPr>
        <w:t xml:space="preserve">, nợ công </w:t>
      </w:r>
      <w:r w:rsidR="00AE031F" w:rsidRPr="0085415B">
        <w:rPr>
          <w:sz w:val="26"/>
          <w:szCs w:val="26"/>
          <w:lang w:val="vi-VN"/>
        </w:rPr>
        <w:t>90,1%</w:t>
      </w:r>
      <w:r w:rsidR="00AE031F" w:rsidRPr="00FB4576">
        <w:rPr>
          <w:sz w:val="26"/>
          <w:szCs w:val="26"/>
          <w:lang w:val="vi-VN"/>
        </w:rPr>
        <w:t xml:space="preserve"> GDP</w:t>
      </w:r>
      <w:r w:rsidR="00AE031F" w:rsidRPr="00A04B30">
        <w:rPr>
          <w:sz w:val="26"/>
          <w:szCs w:val="26"/>
          <w:lang w:val="vi-VN"/>
        </w:rPr>
        <w:t>.</w:t>
      </w:r>
    </w:p>
    <w:p w:rsidR="005B733A" w:rsidRPr="001615F5" w:rsidRDefault="00A75AAD" w:rsidP="006C7196">
      <w:pPr>
        <w:spacing w:before="120" w:line="312" w:lineRule="auto"/>
        <w:rPr>
          <w:sz w:val="26"/>
          <w:szCs w:val="26"/>
          <w:lang w:val="de-DE"/>
        </w:rPr>
      </w:pPr>
      <w:r w:rsidRPr="001615F5">
        <w:rPr>
          <w:b/>
          <w:i/>
          <w:sz w:val="26"/>
          <w:szCs w:val="26"/>
          <w:lang w:val="de-DE"/>
        </w:rPr>
        <w:t>Nhật Bản,</w:t>
      </w:r>
      <w:r w:rsidRPr="001615F5">
        <w:rPr>
          <w:sz w:val="26"/>
          <w:szCs w:val="26"/>
          <w:lang w:val="de-DE"/>
        </w:rPr>
        <w:t xml:space="preserve"> </w:t>
      </w:r>
      <w:r w:rsidR="00383EE8" w:rsidRPr="005F5E3A">
        <w:rPr>
          <w:b/>
          <w:i/>
          <w:sz w:val="26"/>
          <w:szCs w:val="26"/>
          <w:lang w:val="de-DE"/>
        </w:rPr>
        <w:t>tăng trưởng kinh tế nước này giảm 0,4% trong quý 4/2015</w:t>
      </w:r>
      <w:r w:rsidR="00383EE8" w:rsidRPr="005F5E3A">
        <w:rPr>
          <w:rStyle w:val="FootnoteReference"/>
          <w:b/>
          <w:i/>
          <w:sz w:val="26"/>
          <w:szCs w:val="26"/>
          <w:lang w:val="de-DE"/>
        </w:rPr>
        <w:footnoteReference w:id="2"/>
      </w:r>
      <w:r w:rsidR="00383EE8" w:rsidRPr="005F5E3A">
        <w:rPr>
          <w:b/>
          <w:i/>
          <w:sz w:val="26"/>
          <w:szCs w:val="26"/>
          <w:lang w:val="de-DE"/>
        </w:rPr>
        <w:t xml:space="preserve"> do chi tiêu tiêu dùng </w:t>
      </w:r>
      <w:r w:rsidR="00AE031F" w:rsidRPr="005F5E3A">
        <w:rPr>
          <w:b/>
          <w:i/>
          <w:sz w:val="26"/>
          <w:szCs w:val="26"/>
          <w:lang w:val="de-DE"/>
        </w:rPr>
        <w:t xml:space="preserve">và xuất khẩu </w:t>
      </w:r>
      <w:r w:rsidR="00383EE8" w:rsidRPr="005F5E3A">
        <w:rPr>
          <w:b/>
          <w:i/>
          <w:sz w:val="26"/>
          <w:szCs w:val="26"/>
          <w:lang w:val="de-DE"/>
        </w:rPr>
        <w:t>giảm mạnh</w:t>
      </w:r>
      <w:r w:rsidR="00383EE8" w:rsidRPr="001615F5">
        <w:rPr>
          <w:sz w:val="26"/>
          <w:szCs w:val="26"/>
          <w:lang w:val="de-DE"/>
        </w:rPr>
        <w:t>. Trong quý 4/2015, tiêu dùng tư nhân vốn chiếm tới 60% GDP đã giảm 0,8% - mức giảm sâu hơn so với mức dự đoán 0,6% trước đó của thị trường và giảm mạnh so với mức tăng 0,4% của quý trước đó; kim ngạch xuất khẩu giảm 0,9% sau khi tăng 2,6% của quý trước.</w:t>
      </w:r>
    </w:p>
    <w:p w:rsidR="00BC5190" w:rsidRPr="001615F5" w:rsidRDefault="00802DC1" w:rsidP="00205ABC">
      <w:pPr>
        <w:spacing w:before="120" w:line="312" w:lineRule="auto"/>
        <w:rPr>
          <w:sz w:val="26"/>
          <w:szCs w:val="26"/>
          <w:lang w:val="de-DE"/>
        </w:rPr>
      </w:pPr>
      <w:r w:rsidRPr="001615F5">
        <w:rPr>
          <w:b/>
          <w:i/>
          <w:sz w:val="26"/>
          <w:szCs w:val="26"/>
          <w:lang w:val="de-DE"/>
        </w:rPr>
        <w:t>Trung Quốc,</w:t>
      </w:r>
      <w:r w:rsidRPr="001615F5">
        <w:rPr>
          <w:sz w:val="26"/>
          <w:szCs w:val="26"/>
          <w:lang w:val="de-DE"/>
        </w:rPr>
        <w:t xml:space="preserve"> </w:t>
      </w:r>
      <w:r w:rsidR="005F5E3A">
        <w:rPr>
          <w:sz w:val="26"/>
          <w:szCs w:val="26"/>
          <w:lang w:val="de-DE"/>
        </w:rPr>
        <w:t xml:space="preserve">nền kinh tế nước này </w:t>
      </w:r>
      <w:r w:rsidR="00375CDC">
        <w:rPr>
          <w:sz w:val="26"/>
          <w:szCs w:val="26"/>
          <w:lang w:val="de-DE"/>
        </w:rPr>
        <w:t>gây</w:t>
      </w:r>
      <w:r w:rsidR="00205ABC" w:rsidRPr="001615F5">
        <w:rPr>
          <w:sz w:val="26"/>
          <w:szCs w:val="26"/>
          <w:lang w:val="de-DE"/>
        </w:rPr>
        <w:t xml:space="preserve"> nhiều quan ngại khi tăng trưởng kinh tế quý 4/2015 chỉ đạt 6,8%</w:t>
      </w:r>
      <w:r w:rsidR="00205ABC" w:rsidRPr="001615F5">
        <w:rPr>
          <w:rStyle w:val="FootnoteReference"/>
          <w:sz w:val="26"/>
          <w:szCs w:val="26"/>
          <w:lang w:val="de-DE"/>
        </w:rPr>
        <w:footnoteReference w:id="3"/>
      </w:r>
      <w:r w:rsidR="00205ABC" w:rsidRPr="001615F5">
        <w:rPr>
          <w:sz w:val="26"/>
          <w:szCs w:val="26"/>
          <w:lang w:val="de-DE"/>
        </w:rPr>
        <w:t>. Mặc dù chỉ số CPI trong tháng 1/2016 tăng 1,8% (mức cao nhất trong 5 tháng qua) nhưng chỉ số sản xuất lại giảm 5,3%</w:t>
      </w:r>
      <w:r w:rsidR="00375CDC">
        <w:rPr>
          <w:sz w:val="26"/>
          <w:szCs w:val="26"/>
          <w:lang w:val="de-DE"/>
        </w:rPr>
        <w:t>,</w:t>
      </w:r>
      <w:r w:rsidR="00205ABC" w:rsidRPr="001615F5">
        <w:rPr>
          <w:sz w:val="26"/>
          <w:szCs w:val="26"/>
          <w:lang w:val="de-DE"/>
        </w:rPr>
        <w:t xml:space="preserve"> là tháng giảm thứ 47 liên tiếp do giá dầu lao dốc và nhu cầu còn chưa hồi phục.</w:t>
      </w:r>
      <w:r w:rsidR="00603070" w:rsidRPr="001615F5">
        <w:rPr>
          <w:color w:val="000000"/>
          <w:sz w:val="26"/>
          <w:szCs w:val="26"/>
          <w:lang w:val="de-DE"/>
        </w:rPr>
        <w:t xml:space="preserve"> </w:t>
      </w:r>
      <w:r w:rsidR="0091176A" w:rsidRPr="001615F5">
        <w:rPr>
          <w:color w:val="000000"/>
          <w:sz w:val="26"/>
          <w:szCs w:val="26"/>
          <w:lang w:val="de-DE"/>
        </w:rPr>
        <w:t>Chỉ số PMI tháng 1</w:t>
      </w:r>
      <w:r w:rsidR="00205ABC" w:rsidRPr="001615F5">
        <w:rPr>
          <w:color w:val="000000"/>
          <w:sz w:val="26"/>
          <w:szCs w:val="26"/>
          <w:lang w:val="de-DE"/>
        </w:rPr>
        <w:t xml:space="preserve"> ở mức 48,4 điểm mặc dù cao hơn mức 48,2 điểm của tháng trước đó nhưng vẫn đang ở dưới mức ngưỡng 50 điểm cho thấy sự khó khăn vẫn còn hiện hữu với nền kinh tế nước này.</w:t>
      </w:r>
      <w:r w:rsidR="00AE031F">
        <w:rPr>
          <w:color w:val="000000"/>
          <w:sz w:val="26"/>
          <w:szCs w:val="26"/>
          <w:lang w:val="de-DE"/>
        </w:rPr>
        <w:t xml:space="preserve"> </w:t>
      </w:r>
      <w:r w:rsidR="00AE031F" w:rsidRPr="00F4491A">
        <w:rPr>
          <w:sz w:val="26"/>
          <w:szCs w:val="26"/>
          <w:lang w:val="vi-VN"/>
        </w:rPr>
        <w:t xml:space="preserve">Với tốc độ tăng trưởng kinh tế đang chậm </w:t>
      </w:r>
      <w:r w:rsidR="00AE031F" w:rsidRPr="009E2315">
        <w:rPr>
          <w:sz w:val="26"/>
          <w:szCs w:val="26"/>
          <w:lang w:val="vi-VN"/>
        </w:rPr>
        <w:t>lại</w:t>
      </w:r>
      <w:r w:rsidR="00AE031F" w:rsidRPr="00F4491A">
        <w:rPr>
          <w:sz w:val="26"/>
          <w:szCs w:val="26"/>
          <w:lang w:val="vi-VN"/>
        </w:rPr>
        <w:t xml:space="preserve"> cùng việc thực hiện chính sách giảm thuế, tăng </w:t>
      </w:r>
      <w:r w:rsidR="00AE031F" w:rsidRPr="00F4491A">
        <w:rPr>
          <w:sz w:val="26"/>
          <w:szCs w:val="26"/>
          <w:lang w:val="vi-VN"/>
        </w:rPr>
        <w:lastRenderedPageBreak/>
        <w:t>đầ</w:t>
      </w:r>
      <w:r w:rsidR="00AE031F">
        <w:rPr>
          <w:sz w:val="26"/>
          <w:szCs w:val="26"/>
          <w:lang w:val="vi-VN"/>
        </w:rPr>
        <w:t>u tư công, chi tiêu</w:t>
      </w:r>
      <w:r w:rsidR="00AE031F" w:rsidRPr="00F4491A">
        <w:rPr>
          <w:sz w:val="26"/>
          <w:szCs w:val="26"/>
          <w:lang w:val="vi-VN"/>
        </w:rPr>
        <w:t xml:space="preserve"> quốc phòng, dự kiến </w:t>
      </w:r>
      <w:r w:rsidR="00AE031F" w:rsidRPr="009E2315">
        <w:rPr>
          <w:sz w:val="26"/>
          <w:szCs w:val="26"/>
          <w:lang w:val="vi-VN"/>
        </w:rPr>
        <w:t>thâm hụt ngân sách</w:t>
      </w:r>
      <w:r w:rsidR="00AE031F" w:rsidRPr="006F7450">
        <w:rPr>
          <w:sz w:val="26"/>
          <w:szCs w:val="26"/>
          <w:lang w:val="vi-VN"/>
        </w:rPr>
        <w:t xml:space="preserve"> </w:t>
      </w:r>
      <w:r w:rsidR="00AE031F" w:rsidRPr="009E2315">
        <w:rPr>
          <w:sz w:val="26"/>
          <w:szCs w:val="26"/>
          <w:lang w:val="vi-VN"/>
        </w:rPr>
        <w:t xml:space="preserve">năm 2016 </w:t>
      </w:r>
      <w:r w:rsidR="00AE031F" w:rsidRPr="00F4491A">
        <w:rPr>
          <w:sz w:val="26"/>
          <w:szCs w:val="26"/>
          <w:lang w:val="vi-VN"/>
        </w:rPr>
        <w:t>của Trung Quốc là</w:t>
      </w:r>
      <w:r w:rsidR="00AE031F" w:rsidRPr="009E2315">
        <w:rPr>
          <w:sz w:val="26"/>
          <w:szCs w:val="26"/>
          <w:lang w:val="vi-VN"/>
        </w:rPr>
        <w:t xml:space="preserve"> 3% GDP</w:t>
      </w:r>
      <w:r w:rsidR="00AE031F" w:rsidRPr="00E55F84">
        <w:rPr>
          <w:sz w:val="26"/>
          <w:szCs w:val="26"/>
          <w:lang w:val="vi-VN"/>
        </w:rPr>
        <w:t>, cao hơn so với mức 2,3% GDP năm 2015</w:t>
      </w:r>
      <w:r w:rsidR="00AE031F" w:rsidRPr="00F4491A">
        <w:rPr>
          <w:sz w:val="26"/>
          <w:szCs w:val="26"/>
          <w:lang w:val="vi-VN"/>
        </w:rPr>
        <w:t>.</w:t>
      </w:r>
    </w:p>
    <w:p w:rsidR="000023EE" w:rsidRPr="005F5E3A" w:rsidRDefault="00833E66" w:rsidP="006C7196">
      <w:pPr>
        <w:spacing w:before="120" w:line="312" w:lineRule="auto"/>
        <w:rPr>
          <w:sz w:val="26"/>
          <w:szCs w:val="26"/>
          <w:lang w:val="vi-VN"/>
        </w:rPr>
      </w:pPr>
      <w:r w:rsidRPr="005F5E3A">
        <w:rPr>
          <w:b/>
          <w:i/>
          <w:sz w:val="26"/>
          <w:szCs w:val="26"/>
          <w:lang w:val="vi-VN"/>
        </w:rPr>
        <w:t xml:space="preserve">Chính sách </w:t>
      </w:r>
      <w:r w:rsidR="00CB443A" w:rsidRPr="00CB443A">
        <w:rPr>
          <w:b/>
          <w:i/>
          <w:sz w:val="26"/>
          <w:szCs w:val="26"/>
          <w:lang w:val="de-DE"/>
        </w:rPr>
        <w:t>tiền tệ tiếp tục được nhiều quốc gia nới lỏng.</w:t>
      </w:r>
      <w:r w:rsidR="00403A26" w:rsidRPr="005F5E3A">
        <w:rPr>
          <w:sz w:val="26"/>
          <w:szCs w:val="26"/>
          <w:lang w:val="vi-VN"/>
        </w:rPr>
        <w:t xml:space="preserve"> </w:t>
      </w:r>
    </w:p>
    <w:p w:rsidR="000066DA" w:rsidRDefault="00833E66" w:rsidP="000066DA">
      <w:pPr>
        <w:spacing w:before="120" w:line="312" w:lineRule="auto"/>
        <w:rPr>
          <w:sz w:val="26"/>
          <w:szCs w:val="26"/>
          <w:lang w:val="de-DE"/>
        </w:rPr>
      </w:pPr>
      <w:r w:rsidRPr="001615F5">
        <w:rPr>
          <w:b/>
          <w:i/>
          <w:sz w:val="26"/>
          <w:szCs w:val="26"/>
          <w:lang w:val="de-DE"/>
        </w:rPr>
        <w:t xml:space="preserve"> </w:t>
      </w:r>
      <w:r w:rsidR="000023EE" w:rsidRPr="001615F5">
        <w:rPr>
          <w:sz w:val="26"/>
          <w:szCs w:val="26"/>
          <w:lang w:val="de-DE"/>
        </w:rPr>
        <w:t>FED vẫn chưa có những tuyên bố chính thức về việc liệu nước này có thực hiện chính sách thắt chặt tiền tệ trong năm 2016 hay không</w:t>
      </w:r>
      <w:r w:rsidR="007F43DB">
        <w:rPr>
          <w:sz w:val="26"/>
          <w:szCs w:val="26"/>
          <w:lang w:val="de-DE"/>
        </w:rPr>
        <w:t>,</w:t>
      </w:r>
      <w:r w:rsidR="000023EE" w:rsidRPr="001615F5">
        <w:rPr>
          <w:sz w:val="26"/>
          <w:szCs w:val="26"/>
          <w:lang w:val="de-DE"/>
        </w:rPr>
        <w:t xml:space="preserve"> tuy nhiên, sự sụt giảm trên thị trường hàng hóa, đặc biệt là dầu mỏ, cũng như việc thị trường chứng khoán vẫn chưa lấy lại được đà tăng điểm đang là những rào cản lớn đối với F</w:t>
      </w:r>
      <w:r w:rsidR="000066DA">
        <w:rPr>
          <w:sz w:val="26"/>
          <w:szCs w:val="26"/>
          <w:lang w:val="de-DE"/>
        </w:rPr>
        <w:t>ED trong lần ra quyết định này.</w:t>
      </w:r>
    </w:p>
    <w:p w:rsidR="000023EE" w:rsidRPr="001615F5" w:rsidRDefault="000023EE" w:rsidP="000066DA">
      <w:pPr>
        <w:spacing w:before="120" w:line="312" w:lineRule="auto"/>
        <w:rPr>
          <w:b/>
          <w:i/>
          <w:sz w:val="26"/>
          <w:szCs w:val="26"/>
          <w:lang w:val="de-DE"/>
        </w:rPr>
      </w:pPr>
      <w:r w:rsidRPr="001615F5">
        <w:rPr>
          <w:sz w:val="26"/>
          <w:szCs w:val="26"/>
          <w:lang w:val="de-DE"/>
        </w:rPr>
        <w:t xml:space="preserve">Trong khi đó, chính sách “Lãi suất âm” đã được nhiều NHTW áp dụng (Nhật Bản, ECB, Thụy Sĩ, Thụy Điển, Đan Mạch) hoặc có kế hoạch áp dụng (Canada, Nauy, Isarel, Anh) với mục đích khuyến khích các ngân hàng tăng lượng cho vay. Chính sách này tuy được đánh giá là sẽ không mang lại quá nhiều hậu quả xấu cho nền kinh tế, nhưng sẽ không thực sự hiệu quả hoặc thậm chí là bị vô hiệu hóa nếu niềm tin vào thị trường và nền kinh tế toàn cầu chưa được phục hồi, dẫn đến tín dụng sẽ không tăng như kì vọng. </w:t>
      </w:r>
    </w:p>
    <w:p w:rsidR="00A75AAD" w:rsidRPr="001615F5" w:rsidRDefault="00A75AAD" w:rsidP="006C7196">
      <w:pPr>
        <w:spacing w:before="120" w:line="312" w:lineRule="auto"/>
        <w:ind w:firstLine="0"/>
        <w:rPr>
          <w:b/>
          <w:sz w:val="26"/>
          <w:szCs w:val="26"/>
          <w:lang w:val="de-DE"/>
        </w:rPr>
      </w:pPr>
      <w:r w:rsidRPr="001615F5">
        <w:rPr>
          <w:b/>
          <w:sz w:val="26"/>
          <w:szCs w:val="26"/>
          <w:lang w:val="de-DE"/>
        </w:rPr>
        <w:t>2. Giá hàng hóa thế giới</w:t>
      </w:r>
    </w:p>
    <w:p w:rsidR="00096C82" w:rsidRPr="00CB443A" w:rsidRDefault="00096C82" w:rsidP="00CB443A">
      <w:pPr>
        <w:spacing w:before="120" w:line="312" w:lineRule="auto"/>
        <w:rPr>
          <w:color w:val="000000" w:themeColor="text1"/>
          <w:sz w:val="26"/>
          <w:szCs w:val="26"/>
          <w:lang w:val="de-DE"/>
        </w:rPr>
      </w:pPr>
      <w:r w:rsidRPr="001615F5">
        <w:rPr>
          <w:b/>
          <w:sz w:val="26"/>
          <w:szCs w:val="26"/>
          <w:lang w:val="de-DE"/>
        </w:rPr>
        <w:t>Giá dầu</w:t>
      </w:r>
      <w:r w:rsidRPr="001615F5">
        <w:rPr>
          <w:sz w:val="26"/>
          <w:szCs w:val="26"/>
          <w:lang w:val="de-DE"/>
        </w:rPr>
        <w:t xml:space="preserve"> giảm mạnh đang gây khó khăn cho quá trình phục hồi kinh tế thế giới. Trong 2 tháng đầu năm</w:t>
      </w:r>
      <w:r w:rsidR="00341455">
        <w:rPr>
          <w:sz w:val="26"/>
          <w:szCs w:val="26"/>
          <w:lang w:val="de-DE"/>
        </w:rPr>
        <w:t xml:space="preserve"> nay giá dầu tiếp tục giảm 15,7</w:t>
      </w:r>
      <w:r w:rsidRPr="001615F5">
        <w:rPr>
          <w:sz w:val="26"/>
          <w:szCs w:val="26"/>
          <w:lang w:val="de-DE"/>
        </w:rPr>
        <w:t>%</w:t>
      </w:r>
      <w:r w:rsidRPr="001615F5">
        <w:rPr>
          <w:rStyle w:val="FootnoteReference"/>
          <w:sz w:val="26"/>
          <w:szCs w:val="26"/>
          <w:lang w:val="de-DE"/>
        </w:rPr>
        <w:footnoteReference w:id="4"/>
      </w:r>
      <w:r w:rsidR="00341455">
        <w:rPr>
          <w:sz w:val="26"/>
          <w:szCs w:val="26"/>
          <w:lang w:val="de-DE"/>
        </w:rPr>
        <w:t xml:space="preserve"> với mức giá thấp nhất là 26,21 USD/thùng</w:t>
      </w:r>
      <w:r w:rsidRPr="001615F5">
        <w:rPr>
          <w:sz w:val="26"/>
          <w:szCs w:val="26"/>
          <w:lang w:val="de-DE"/>
        </w:rPr>
        <w:t xml:space="preserve"> </w:t>
      </w:r>
      <w:r w:rsidR="00341455">
        <w:rPr>
          <w:sz w:val="26"/>
          <w:szCs w:val="26"/>
          <w:lang w:val="de-DE"/>
        </w:rPr>
        <w:t xml:space="preserve">trong phiên giao dịch ngày 11/2, </w:t>
      </w:r>
      <w:r w:rsidRPr="001615F5">
        <w:rPr>
          <w:sz w:val="26"/>
          <w:szCs w:val="26"/>
          <w:lang w:val="de-DE"/>
        </w:rPr>
        <w:t xml:space="preserve">khiến nguồn thu ngân sách từ dầu mỏ bị ảnh hưởng nghiêm trọng và gây áp lực đến cân đối ngân sách các nước xuất khẩu dầu. Trong năm 2016 giá dầu vẫn chưa thế phục hồi mạnh mẽ khi </w:t>
      </w:r>
      <w:r w:rsidRPr="001615F5">
        <w:rPr>
          <w:color w:val="000000" w:themeColor="text1"/>
          <w:sz w:val="26"/>
          <w:szCs w:val="26"/>
          <w:lang w:val="de-DE"/>
        </w:rPr>
        <w:t>các nước xuất khẩu dầu lửa vẫn tiếp</w:t>
      </w:r>
      <w:r w:rsidR="008C05BC" w:rsidRPr="001615F5">
        <w:rPr>
          <w:color w:val="000000" w:themeColor="text1"/>
          <w:sz w:val="26"/>
          <w:szCs w:val="26"/>
          <w:lang w:val="de-DE"/>
        </w:rPr>
        <w:t xml:space="preserve"> tục </w:t>
      </w:r>
      <w:r w:rsidR="00CB443A">
        <w:rPr>
          <w:color w:val="000000" w:themeColor="text1"/>
          <w:sz w:val="26"/>
          <w:szCs w:val="26"/>
          <w:lang w:val="de-DE"/>
        </w:rPr>
        <w:t>gia tăng mức sản lượng. C</w:t>
      </w:r>
      <w:r w:rsidRPr="001615F5">
        <w:rPr>
          <w:sz w:val="26"/>
          <w:szCs w:val="26"/>
          <w:lang w:val="de-DE"/>
        </w:rPr>
        <w:t xml:space="preserve">ác tổ chức quốc tế lớn vẫn đưa ra mức dự báo giá dầu trung bình dưới 40 USD/thùng. </w:t>
      </w:r>
      <w:r w:rsidRPr="001615F5">
        <w:rPr>
          <w:sz w:val="26"/>
          <w:szCs w:val="26"/>
        </w:rPr>
        <w:t>EIA (37,6 USD/thùng); WB (37 USD/thùng</w:t>
      </w:r>
      <w:r w:rsidRPr="00096C82">
        <w:rPr>
          <w:sz w:val="26"/>
          <w:szCs w:val="26"/>
        </w:rPr>
        <w:t>), Credit suisse (37 USD/thùng).</w:t>
      </w:r>
    </w:p>
    <w:p w:rsidR="00DB7CED" w:rsidRPr="006C7196" w:rsidRDefault="00DB7CED" w:rsidP="006C7196">
      <w:pPr>
        <w:spacing w:before="120" w:line="312" w:lineRule="auto"/>
        <w:rPr>
          <w:b/>
          <w:sz w:val="26"/>
          <w:szCs w:val="26"/>
          <w:lang w:val="de-DE"/>
        </w:rPr>
      </w:pPr>
      <w:r w:rsidRPr="006C7196">
        <w:rPr>
          <w:b/>
          <w:color w:val="000000" w:themeColor="text1"/>
          <w:sz w:val="26"/>
          <w:szCs w:val="26"/>
          <w:lang w:val="de-DE"/>
        </w:rPr>
        <w:t xml:space="preserve">Giá hàng hóa </w:t>
      </w:r>
      <w:r w:rsidRPr="006C7196">
        <w:rPr>
          <w:color w:val="000000" w:themeColor="text1"/>
          <w:sz w:val="26"/>
          <w:szCs w:val="26"/>
          <w:lang w:val="de-DE"/>
        </w:rPr>
        <w:t xml:space="preserve">cơ bản vẫn tiếp tục xu hướng giảm sâu. Trong tháng </w:t>
      </w:r>
      <w:r w:rsidR="00096C82">
        <w:rPr>
          <w:color w:val="000000" w:themeColor="text1"/>
          <w:sz w:val="26"/>
          <w:szCs w:val="26"/>
          <w:lang w:val="de-DE"/>
        </w:rPr>
        <w:t>1/2016</w:t>
      </w:r>
      <w:r w:rsidRPr="006C7196">
        <w:rPr>
          <w:rStyle w:val="FootnoteReference"/>
          <w:color w:val="000000" w:themeColor="text1"/>
          <w:sz w:val="26"/>
          <w:szCs w:val="26"/>
          <w:lang w:val="de-DE"/>
        </w:rPr>
        <w:footnoteReference w:id="5"/>
      </w:r>
      <w:r w:rsidR="00096C82">
        <w:rPr>
          <w:color w:val="000000" w:themeColor="text1"/>
          <w:sz w:val="26"/>
          <w:szCs w:val="26"/>
          <w:lang w:val="de-DE"/>
        </w:rPr>
        <w:t>, giá năng lượng giảm 15,5</w:t>
      </w:r>
      <w:r w:rsidRPr="006C7196">
        <w:rPr>
          <w:color w:val="000000" w:themeColor="text1"/>
          <w:sz w:val="26"/>
          <w:szCs w:val="26"/>
          <w:lang w:val="de-DE"/>
        </w:rPr>
        <w:t xml:space="preserve">% so với tháng trước; giá các mặt hàng nông nghiệp giảm </w:t>
      </w:r>
      <w:r w:rsidR="00096C82">
        <w:rPr>
          <w:color w:val="000000" w:themeColor="text1"/>
          <w:sz w:val="26"/>
          <w:szCs w:val="26"/>
          <w:lang w:val="de-DE"/>
        </w:rPr>
        <w:t>2,2</w:t>
      </w:r>
      <w:r w:rsidRPr="006C7196">
        <w:rPr>
          <w:color w:val="000000" w:themeColor="text1"/>
          <w:sz w:val="26"/>
          <w:szCs w:val="26"/>
          <w:lang w:val="de-DE"/>
        </w:rPr>
        <w:t xml:space="preserve">%; giá thực phẩm giảm </w:t>
      </w:r>
      <w:r w:rsidR="00096C82">
        <w:rPr>
          <w:color w:val="000000" w:themeColor="text1"/>
          <w:sz w:val="26"/>
          <w:szCs w:val="26"/>
          <w:lang w:val="de-DE"/>
        </w:rPr>
        <w:t>1,1</w:t>
      </w:r>
      <w:r w:rsidRPr="006C7196">
        <w:rPr>
          <w:color w:val="000000" w:themeColor="text1"/>
          <w:sz w:val="26"/>
          <w:szCs w:val="26"/>
          <w:lang w:val="de-DE"/>
        </w:rPr>
        <w:t xml:space="preserve">%; nguyên liệu thô giảm </w:t>
      </w:r>
      <w:r w:rsidR="00096C82">
        <w:rPr>
          <w:color w:val="000000" w:themeColor="text1"/>
          <w:sz w:val="26"/>
          <w:szCs w:val="26"/>
          <w:lang w:val="de-DE"/>
        </w:rPr>
        <w:t>1,9</w:t>
      </w:r>
      <w:r w:rsidRPr="006C7196">
        <w:rPr>
          <w:color w:val="000000" w:themeColor="text1"/>
          <w:sz w:val="26"/>
          <w:szCs w:val="26"/>
          <w:lang w:val="de-DE"/>
        </w:rPr>
        <w:t>%; kim loại giảm 2,</w:t>
      </w:r>
      <w:r w:rsidR="00096C82">
        <w:rPr>
          <w:color w:val="000000" w:themeColor="text1"/>
          <w:sz w:val="26"/>
          <w:szCs w:val="26"/>
          <w:lang w:val="de-DE"/>
        </w:rPr>
        <w:t>1</w:t>
      </w:r>
      <w:r w:rsidRPr="006C7196">
        <w:rPr>
          <w:color w:val="000000" w:themeColor="text1"/>
          <w:sz w:val="26"/>
          <w:szCs w:val="26"/>
          <w:lang w:val="de-DE"/>
        </w:rPr>
        <w:t>%.</w:t>
      </w:r>
    </w:p>
    <w:p w:rsidR="00D30A0A" w:rsidRDefault="00D30A0A">
      <w:pPr>
        <w:spacing w:after="200" w:line="276" w:lineRule="auto"/>
        <w:ind w:firstLine="0"/>
        <w:jc w:val="left"/>
        <w:rPr>
          <w:b/>
          <w:sz w:val="26"/>
          <w:szCs w:val="26"/>
          <w:lang w:val="de-DE"/>
        </w:rPr>
      </w:pPr>
      <w:r>
        <w:rPr>
          <w:b/>
          <w:sz w:val="26"/>
          <w:szCs w:val="26"/>
          <w:lang w:val="de-DE"/>
        </w:rPr>
        <w:br w:type="page"/>
      </w:r>
    </w:p>
    <w:p w:rsidR="005926AC" w:rsidRDefault="000110F5" w:rsidP="005F5E3A">
      <w:pPr>
        <w:pStyle w:val="Footer"/>
        <w:numPr>
          <w:ilvl w:val="0"/>
          <w:numId w:val="12"/>
        </w:numPr>
        <w:tabs>
          <w:tab w:val="left" w:pos="284"/>
          <w:tab w:val="left" w:pos="567"/>
        </w:tabs>
        <w:spacing w:after="240"/>
        <w:ind w:hanging="1080"/>
        <w:rPr>
          <w:b/>
          <w:sz w:val="26"/>
          <w:szCs w:val="26"/>
        </w:rPr>
      </w:pPr>
      <w:r w:rsidRPr="00BF65AB">
        <w:rPr>
          <w:b/>
          <w:sz w:val="26"/>
          <w:szCs w:val="26"/>
          <w:lang w:val="de-DE"/>
        </w:rPr>
        <w:lastRenderedPageBreak/>
        <w:t xml:space="preserve"> </w:t>
      </w:r>
      <w:r w:rsidR="005926AC" w:rsidRPr="005C6A26">
        <w:rPr>
          <w:b/>
          <w:sz w:val="26"/>
          <w:szCs w:val="26"/>
        </w:rPr>
        <w:t>KINH TẾ VIỆT NAM</w:t>
      </w:r>
    </w:p>
    <w:p w:rsidR="00CB443A" w:rsidRDefault="00CB443A" w:rsidP="005F5E3A">
      <w:pPr>
        <w:pStyle w:val="ListParagraph"/>
        <w:numPr>
          <w:ilvl w:val="0"/>
          <w:numId w:val="24"/>
        </w:numPr>
        <w:spacing w:before="120" w:line="312" w:lineRule="auto"/>
        <w:ind w:left="0" w:firstLine="0"/>
        <w:contextualSpacing w:val="0"/>
        <w:rPr>
          <w:b/>
          <w:bCs/>
          <w:i/>
          <w:spacing w:val="4"/>
          <w:sz w:val="26"/>
          <w:szCs w:val="26"/>
          <w:lang w:val="de-DE"/>
        </w:rPr>
      </w:pPr>
      <w:r>
        <w:rPr>
          <w:b/>
          <w:bCs/>
          <w:i/>
          <w:spacing w:val="4"/>
          <w:sz w:val="26"/>
          <w:szCs w:val="26"/>
          <w:lang w:val="de-DE"/>
        </w:rPr>
        <w:t xml:space="preserve">Tốc độ tăng cung tiền M2 </w:t>
      </w:r>
      <w:r w:rsidR="00307EA4">
        <w:rPr>
          <w:b/>
          <w:bCs/>
          <w:i/>
          <w:spacing w:val="4"/>
          <w:sz w:val="26"/>
          <w:szCs w:val="26"/>
          <w:lang w:val="de-DE"/>
        </w:rPr>
        <w:t xml:space="preserve">khá hợp lý </w:t>
      </w:r>
      <w:r>
        <w:rPr>
          <w:b/>
          <w:bCs/>
          <w:i/>
          <w:spacing w:val="4"/>
          <w:sz w:val="26"/>
          <w:szCs w:val="26"/>
          <w:lang w:val="de-DE"/>
        </w:rPr>
        <w:t xml:space="preserve">trong những năm gần đây góp phần ổn định lạm phát cơ bản. </w:t>
      </w:r>
      <w:r w:rsidR="00502BCD">
        <w:rPr>
          <w:bCs/>
          <w:spacing w:val="4"/>
          <w:sz w:val="26"/>
          <w:szCs w:val="26"/>
          <w:lang w:val="de-DE"/>
        </w:rPr>
        <w:t>Trong 3 năm từ năm 2013-</w:t>
      </w:r>
      <w:r>
        <w:rPr>
          <w:bCs/>
          <w:spacing w:val="4"/>
          <w:sz w:val="26"/>
          <w:szCs w:val="26"/>
          <w:lang w:val="de-DE"/>
        </w:rPr>
        <w:t xml:space="preserve">2015 tốc độ tăng cung tiền M2 chỉ dao động trong khoảng từ 14%-16% và lạm phát cơ bản cũng chỉ giao động trong khoảng </w:t>
      </w:r>
      <w:r w:rsidR="001203DB">
        <w:rPr>
          <w:bCs/>
          <w:spacing w:val="4"/>
          <w:sz w:val="26"/>
          <w:szCs w:val="26"/>
          <w:lang w:val="de-DE"/>
        </w:rPr>
        <w:t>2%-5%.</w:t>
      </w:r>
    </w:p>
    <w:p w:rsidR="001A3F79" w:rsidRPr="001A3F79" w:rsidRDefault="001A3F79" w:rsidP="0006078F">
      <w:pPr>
        <w:spacing w:before="120" w:line="312" w:lineRule="auto"/>
        <w:ind w:firstLine="0"/>
        <w:jc w:val="center"/>
        <w:rPr>
          <w:b/>
          <w:bCs/>
          <w:spacing w:val="4"/>
          <w:sz w:val="24"/>
          <w:szCs w:val="26"/>
          <w:lang w:val="de-DE"/>
        </w:rPr>
      </w:pPr>
      <w:r w:rsidRPr="001A3F79">
        <w:rPr>
          <w:b/>
          <w:bCs/>
          <w:spacing w:val="4"/>
          <w:sz w:val="24"/>
          <w:szCs w:val="26"/>
          <w:lang w:val="de-DE"/>
        </w:rPr>
        <w:t>Bảng 1: Lạm phát</w:t>
      </w:r>
      <w:r w:rsidR="005F5E3A">
        <w:rPr>
          <w:b/>
          <w:bCs/>
          <w:spacing w:val="4"/>
          <w:sz w:val="24"/>
          <w:szCs w:val="26"/>
          <w:lang w:val="de-DE"/>
        </w:rPr>
        <w:t xml:space="preserve"> tổng thế</w:t>
      </w:r>
      <w:r w:rsidRPr="001A3F79">
        <w:rPr>
          <w:b/>
          <w:bCs/>
          <w:spacing w:val="4"/>
          <w:sz w:val="24"/>
          <w:szCs w:val="26"/>
          <w:lang w:val="de-DE"/>
        </w:rPr>
        <w:t>, lạm phát cơ bản, tăng trưởng GDP, M2 giai đoạn 2010-2015</w:t>
      </w:r>
    </w:p>
    <w:p w:rsidR="001A3F79" w:rsidRPr="001A3F79" w:rsidRDefault="001A3F79" w:rsidP="0006078F">
      <w:pPr>
        <w:spacing w:before="120" w:line="312" w:lineRule="auto"/>
        <w:jc w:val="right"/>
        <w:rPr>
          <w:bCs/>
          <w:spacing w:val="4"/>
          <w:sz w:val="26"/>
          <w:szCs w:val="26"/>
          <w:lang w:val="de-DE"/>
        </w:rPr>
      </w:pPr>
      <w:r w:rsidRPr="001A3F79">
        <w:rPr>
          <w:bCs/>
          <w:spacing w:val="4"/>
          <w:sz w:val="26"/>
          <w:szCs w:val="26"/>
          <w:lang w:val="de-DE"/>
        </w:rPr>
        <w:t>Đơn vị: %</w:t>
      </w:r>
    </w:p>
    <w:tbl>
      <w:tblPr>
        <w:tblStyle w:val="TableGrid1"/>
        <w:tblW w:w="0" w:type="auto"/>
        <w:jc w:val="center"/>
        <w:tblLayout w:type="fixed"/>
        <w:tblLook w:val="04A0"/>
      </w:tblPr>
      <w:tblGrid>
        <w:gridCol w:w="1685"/>
        <w:gridCol w:w="1575"/>
        <w:gridCol w:w="2146"/>
        <w:gridCol w:w="1532"/>
        <w:gridCol w:w="1532"/>
      </w:tblGrid>
      <w:tr w:rsidR="001A3F79" w:rsidRPr="001A3F79" w:rsidTr="004B410C">
        <w:trPr>
          <w:trHeight w:val="545"/>
          <w:jc w:val="center"/>
        </w:trPr>
        <w:tc>
          <w:tcPr>
            <w:tcW w:w="1685" w:type="dxa"/>
            <w:noWrap/>
            <w:vAlign w:val="center"/>
            <w:hideMark/>
          </w:tcPr>
          <w:p w:rsidR="001A3F79" w:rsidRPr="001A3F79" w:rsidRDefault="001A3F79" w:rsidP="0006078F">
            <w:pPr>
              <w:spacing w:before="120"/>
              <w:ind w:firstLine="0"/>
              <w:jc w:val="center"/>
              <w:rPr>
                <w:b/>
                <w:bCs/>
                <w:sz w:val="24"/>
                <w:szCs w:val="26"/>
              </w:rPr>
            </w:pPr>
            <w:r w:rsidRPr="001A3F79">
              <w:rPr>
                <w:b/>
                <w:bCs/>
                <w:sz w:val="24"/>
                <w:szCs w:val="26"/>
              </w:rPr>
              <w:t>Năm</w:t>
            </w:r>
          </w:p>
        </w:tc>
        <w:tc>
          <w:tcPr>
            <w:tcW w:w="1575" w:type="dxa"/>
            <w:noWrap/>
            <w:vAlign w:val="center"/>
            <w:hideMark/>
          </w:tcPr>
          <w:p w:rsidR="001A3F79" w:rsidRPr="001A3F79" w:rsidRDefault="001A3F79" w:rsidP="0006078F">
            <w:pPr>
              <w:spacing w:before="120"/>
              <w:ind w:firstLine="0"/>
              <w:jc w:val="center"/>
              <w:rPr>
                <w:b/>
                <w:bCs/>
                <w:sz w:val="24"/>
                <w:szCs w:val="26"/>
              </w:rPr>
            </w:pPr>
            <w:r w:rsidRPr="001A3F79">
              <w:rPr>
                <w:b/>
                <w:bCs/>
                <w:sz w:val="24"/>
                <w:szCs w:val="26"/>
              </w:rPr>
              <w:t>Lạm phát</w:t>
            </w:r>
          </w:p>
        </w:tc>
        <w:tc>
          <w:tcPr>
            <w:tcW w:w="2146" w:type="dxa"/>
            <w:vAlign w:val="center"/>
          </w:tcPr>
          <w:p w:rsidR="001A3F79" w:rsidRPr="001A3F79" w:rsidRDefault="001A3F79" w:rsidP="0006078F">
            <w:pPr>
              <w:spacing w:before="120"/>
              <w:ind w:firstLine="0"/>
              <w:jc w:val="center"/>
              <w:rPr>
                <w:b/>
                <w:bCs/>
                <w:sz w:val="24"/>
                <w:szCs w:val="26"/>
              </w:rPr>
            </w:pPr>
            <w:r w:rsidRPr="001A3F79">
              <w:rPr>
                <w:b/>
                <w:bCs/>
                <w:sz w:val="24"/>
                <w:szCs w:val="26"/>
              </w:rPr>
              <w:t>Lạm phát cơ bản</w:t>
            </w:r>
          </w:p>
        </w:tc>
        <w:tc>
          <w:tcPr>
            <w:tcW w:w="1532" w:type="dxa"/>
            <w:vAlign w:val="center"/>
          </w:tcPr>
          <w:p w:rsidR="001A3F79" w:rsidRPr="001A3F79" w:rsidRDefault="001A3F79" w:rsidP="0006078F">
            <w:pPr>
              <w:spacing w:before="120"/>
              <w:ind w:firstLine="0"/>
              <w:jc w:val="center"/>
              <w:rPr>
                <w:b/>
                <w:bCs/>
                <w:sz w:val="24"/>
                <w:szCs w:val="26"/>
              </w:rPr>
            </w:pPr>
            <w:r w:rsidRPr="001A3F79">
              <w:rPr>
                <w:b/>
                <w:bCs/>
                <w:sz w:val="24"/>
                <w:szCs w:val="26"/>
              </w:rPr>
              <w:t>GDP</w:t>
            </w:r>
          </w:p>
        </w:tc>
        <w:tc>
          <w:tcPr>
            <w:tcW w:w="1532" w:type="dxa"/>
            <w:vAlign w:val="center"/>
          </w:tcPr>
          <w:p w:rsidR="001A3F79" w:rsidRPr="001A3F79" w:rsidRDefault="001A3F79" w:rsidP="0006078F">
            <w:pPr>
              <w:spacing w:before="120"/>
              <w:ind w:firstLine="0"/>
              <w:jc w:val="center"/>
              <w:rPr>
                <w:b/>
                <w:bCs/>
                <w:sz w:val="24"/>
                <w:szCs w:val="26"/>
              </w:rPr>
            </w:pPr>
            <w:r w:rsidRPr="001A3F79">
              <w:rPr>
                <w:b/>
                <w:bCs/>
                <w:sz w:val="24"/>
                <w:szCs w:val="26"/>
              </w:rPr>
              <w:t>M2</w:t>
            </w:r>
          </w:p>
        </w:tc>
      </w:tr>
      <w:tr w:rsidR="001A3F79" w:rsidRPr="001A3F79" w:rsidTr="004B410C">
        <w:trPr>
          <w:trHeight w:val="395"/>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2010</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 xml:space="preserve">             9,19 </w:t>
            </w:r>
          </w:p>
        </w:tc>
        <w:tc>
          <w:tcPr>
            <w:tcW w:w="2146" w:type="dxa"/>
          </w:tcPr>
          <w:p w:rsidR="001A3F79" w:rsidRPr="001A3F79" w:rsidRDefault="001A3F79" w:rsidP="0006078F">
            <w:pPr>
              <w:spacing w:before="120"/>
              <w:ind w:firstLine="0"/>
              <w:jc w:val="right"/>
              <w:rPr>
                <w:sz w:val="24"/>
                <w:szCs w:val="26"/>
              </w:rPr>
            </w:pPr>
            <w:r w:rsidRPr="001A3F79">
              <w:rPr>
                <w:sz w:val="24"/>
                <w:szCs w:val="26"/>
              </w:rPr>
              <w:t>7,78</w:t>
            </w:r>
          </w:p>
        </w:tc>
        <w:tc>
          <w:tcPr>
            <w:tcW w:w="1532" w:type="dxa"/>
          </w:tcPr>
          <w:p w:rsidR="001A3F79" w:rsidRPr="001A3F79" w:rsidRDefault="001A3F79" w:rsidP="0006078F">
            <w:pPr>
              <w:spacing w:before="120"/>
              <w:ind w:firstLine="0"/>
              <w:jc w:val="right"/>
              <w:rPr>
                <w:sz w:val="24"/>
                <w:szCs w:val="26"/>
              </w:rPr>
            </w:pPr>
            <w:r w:rsidRPr="001A3F79">
              <w:rPr>
                <w:sz w:val="24"/>
                <w:szCs w:val="26"/>
              </w:rPr>
              <w:t>6,42</w:t>
            </w:r>
          </w:p>
        </w:tc>
        <w:tc>
          <w:tcPr>
            <w:tcW w:w="1532" w:type="dxa"/>
          </w:tcPr>
          <w:p w:rsidR="001A3F79" w:rsidRPr="001A3F79" w:rsidRDefault="001A3F79" w:rsidP="0006078F">
            <w:pPr>
              <w:spacing w:before="120"/>
              <w:ind w:firstLine="0"/>
              <w:jc w:val="right"/>
              <w:rPr>
                <w:sz w:val="24"/>
                <w:szCs w:val="26"/>
              </w:rPr>
            </w:pPr>
            <w:r w:rsidRPr="001A3F79">
              <w:rPr>
                <w:sz w:val="24"/>
                <w:szCs w:val="26"/>
              </w:rPr>
              <w:t>25</w:t>
            </w:r>
          </w:p>
        </w:tc>
      </w:tr>
      <w:tr w:rsidR="001A3F79" w:rsidRPr="001A3F79" w:rsidTr="004B410C">
        <w:trPr>
          <w:trHeight w:val="431"/>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2011</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 xml:space="preserve">            18,58 </w:t>
            </w:r>
          </w:p>
        </w:tc>
        <w:tc>
          <w:tcPr>
            <w:tcW w:w="2146" w:type="dxa"/>
          </w:tcPr>
          <w:p w:rsidR="001A3F79" w:rsidRPr="001A3F79" w:rsidRDefault="001A3F79" w:rsidP="0006078F">
            <w:pPr>
              <w:spacing w:before="120"/>
              <w:ind w:firstLine="0"/>
              <w:jc w:val="right"/>
              <w:rPr>
                <w:sz w:val="24"/>
                <w:szCs w:val="26"/>
              </w:rPr>
            </w:pPr>
            <w:r w:rsidRPr="001A3F79">
              <w:rPr>
                <w:sz w:val="24"/>
                <w:szCs w:val="26"/>
              </w:rPr>
              <w:t>13,62</w:t>
            </w:r>
          </w:p>
        </w:tc>
        <w:tc>
          <w:tcPr>
            <w:tcW w:w="1532" w:type="dxa"/>
          </w:tcPr>
          <w:p w:rsidR="001A3F79" w:rsidRPr="001A3F79" w:rsidRDefault="001A3F79" w:rsidP="0006078F">
            <w:pPr>
              <w:spacing w:before="120"/>
              <w:ind w:firstLine="0"/>
              <w:jc w:val="right"/>
              <w:rPr>
                <w:sz w:val="24"/>
                <w:szCs w:val="26"/>
              </w:rPr>
            </w:pPr>
            <w:r w:rsidRPr="001A3F79">
              <w:rPr>
                <w:sz w:val="24"/>
                <w:szCs w:val="26"/>
              </w:rPr>
              <w:t>6,24</w:t>
            </w:r>
          </w:p>
        </w:tc>
        <w:tc>
          <w:tcPr>
            <w:tcW w:w="1532" w:type="dxa"/>
          </w:tcPr>
          <w:p w:rsidR="001A3F79" w:rsidRPr="001A3F79" w:rsidRDefault="001A3F79" w:rsidP="0006078F">
            <w:pPr>
              <w:spacing w:before="120"/>
              <w:ind w:firstLine="0"/>
              <w:jc w:val="right"/>
              <w:rPr>
                <w:sz w:val="24"/>
                <w:szCs w:val="26"/>
              </w:rPr>
            </w:pPr>
            <w:r w:rsidRPr="001A3F79">
              <w:rPr>
                <w:sz w:val="24"/>
                <w:szCs w:val="26"/>
              </w:rPr>
              <w:t>10</w:t>
            </w:r>
          </w:p>
        </w:tc>
      </w:tr>
      <w:tr w:rsidR="001A3F79" w:rsidRPr="001A3F79" w:rsidTr="004B410C">
        <w:trPr>
          <w:trHeight w:val="452"/>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2012</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 xml:space="preserve">             9,21 </w:t>
            </w:r>
          </w:p>
        </w:tc>
        <w:tc>
          <w:tcPr>
            <w:tcW w:w="2146" w:type="dxa"/>
          </w:tcPr>
          <w:p w:rsidR="001A3F79" w:rsidRPr="001A3F79" w:rsidRDefault="001A3F79" w:rsidP="0006078F">
            <w:pPr>
              <w:spacing w:before="120"/>
              <w:ind w:firstLine="0"/>
              <w:jc w:val="right"/>
              <w:rPr>
                <w:sz w:val="24"/>
                <w:szCs w:val="26"/>
              </w:rPr>
            </w:pPr>
            <w:r w:rsidRPr="001A3F79">
              <w:rPr>
                <w:sz w:val="24"/>
                <w:szCs w:val="26"/>
              </w:rPr>
              <w:t>8,19</w:t>
            </w:r>
          </w:p>
        </w:tc>
        <w:tc>
          <w:tcPr>
            <w:tcW w:w="1532" w:type="dxa"/>
          </w:tcPr>
          <w:p w:rsidR="001A3F79" w:rsidRPr="001A3F79" w:rsidRDefault="001A3F79" w:rsidP="0006078F">
            <w:pPr>
              <w:spacing w:before="120"/>
              <w:ind w:firstLine="0"/>
              <w:jc w:val="right"/>
              <w:rPr>
                <w:sz w:val="24"/>
                <w:szCs w:val="26"/>
              </w:rPr>
            </w:pPr>
            <w:r w:rsidRPr="001A3F79">
              <w:rPr>
                <w:sz w:val="24"/>
                <w:szCs w:val="26"/>
              </w:rPr>
              <w:t>5,25</w:t>
            </w:r>
          </w:p>
        </w:tc>
        <w:tc>
          <w:tcPr>
            <w:tcW w:w="1532" w:type="dxa"/>
          </w:tcPr>
          <w:p w:rsidR="001A3F79" w:rsidRPr="001A3F79" w:rsidRDefault="001A3F79" w:rsidP="0006078F">
            <w:pPr>
              <w:spacing w:before="120"/>
              <w:ind w:firstLine="0"/>
              <w:jc w:val="right"/>
              <w:rPr>
                <w:sz w:val="24"/>
                <w:szCs w:val="26"/>
              </w:rPr>
            </w:pPr>
            <w:r w:rsidRPr="001A3F79">
              <w:rPr>
                <w:sz w:val="24"/>
                <w:szCs w:val="26"/>
              </w:rPr>
              <w:t>22,4</w:t>
            </w:r>
          </w:p>
        </w:tc>
      </w:tr>
      <w:tr w:rsidR="001A3F79" w:rsidRPr="001A3F79" w:rsidTr="004B410C">
        <w:trPr>
          <w:trHeight w:val="363"/>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2013</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 xml:space="preserve">             6,60 </w:t>
            </w:r>
          </w:p>
        </w:tc>
        <w:tc>
          <w:tcPr>
            <w:tcW w:w="2146" w:type="dxa"/>
          </w:tcPr>
          <w:p w:rsidR="001A3F79" w:rsidRPr="001A3F79" w:rsidRDefault="001A3F79" w:rsidP="0006078F">
            <w:pPr>
              <w:spacing w:before="120"/>
              <w:ind w:firstLine="0"/>
              <w:jc w:val="right"/>
              <w:rPr>
                <w:sz w:val="24"/>
                <w:szCs w:val="26"/>
              </w:rPr>
            </w:pPr>
            <w:r w:rsidRPr="001A3F79">
              <w:rPr>
                <w:sz w:val="24"/>
                <w:szCs w:val="26"/>
              </w:rPr>
              <w:t>4,77</w:t>
            </w:r>
          </w:p>
        </w:tc>
        <w:tc>
          <w:tcPr>
            <w:tcW w:w="1532" w:type="dxa"/>
          </w:tcPr>
          <w:p w:rsidR="001A3F79" w:rsidRPr="001A3F79" w:rsidRDefault="001A3F79" w:rsidP="0006078F">
            <w:pPr>
              <w:spacing w:before="120"/>
              <w:ind w:firstLine="0"/>
              <w:jc w:val="right"/>
              <w:rPr>
                <w:sz w:val="24"/>
                <w:szCs w:val="26"/>
              </w:rPr>
            </w:pPr>
            <w:r w:rsidRPr="001A3F79">
              <w:rPr>
                <w:sz w:val="24"/>
                <w:szCs w:val="26"/>
              </w:rPr>
              <w:t>5,42</w:t>
            </w:r>
          </w:p>
        </w:tc>
        <w:tc>
          <w:tcPr>
            <w:tcW w:w="1532" w:type="dxa"/>
          </w:tcPr>
          <w:p w:rsidR="001A3F79" w:rsidRPr="001A3F79" w:rsidRDefault="001A3F79" w:rsidP="0006078F">
            <w:pPr>
              <w:spacing w:before="120"/>
              <w:ind w:firstLine="0"/>
              <w:jc w:val="right"/>
              <w:rPr>
                <w:sz w:val="24"/>
                <w:szCs w:val="26"/>
              </w:rPr>
            </w:pPr>
            <w:r w:rsidRPr="001A3F79">
              <w:rPr>
                <w:sz w:val="24"/>
                <w:szCs w:val="26"/>
              </w:rPr>
              <w:t>16</w:t>
            </w:r>
          </w:p>
        </w:tc>
      </w:tr>
      <w:tr w:rsidR="001A3F79" w:rsidRPr="001A3F79" w:rsidTr="004B410C">
        <w:trPr>
          <w:trHeight w:val="265"/>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2014</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 xml:space="preserve">          4,09 </w:t>
            </w:r>
          </w:p>
        </w:tc>
        <w:tc>
          <w:tcPr>
            <w:tcW w:w="2146" w:type="dxa"/>
          </w:tcPr>
          <w:p w:rsidR="001A3F79" w:rsidRPr="001A3F79" w:rsidRDefault="001A3F79" w:rsidP="0006078F">
            <w:pPr>
              <w:spacing w:before="120"/>
              <w:ind w:firstLine="0"/>
              <w:jc w:val="right"/>
              <w:rPr>
                <w:sz w:val="24"/>
                <w:szCs w:val="26"/>
              </w:rPr>
            </w:pPr>
            <w:r w:rsidRPr="001A3F79">
              <w:rPr>
                <w:sz w:val="24"/>
                <w:szCs w:val="26"/>
              </w:rPr>
              <w:t>3,31</w:t>
            </w:r>
          </w:p>
        </w:tc>
        <w:tc>
          <w:tcPr>
            <w:tcW w:w="1532" w:type="dxa"/>
          </w:tcPr>
          <w:p w:rsidR="001A3F79" w:rsidRPr="001A3F79" w:rsidRDefault="001A3F79" w:rsidP="0006078F">
            <w:pPr>
              <w:spacing w:before="120"/>
              <w:ind w:firstLine="0"/>
              <w:jc w:val="right"/>
              <w:rPr>
                <w:sz w:val="24"/>
                <w:szCs w:val="26"/>
              </w:rPr>
            </w:pPr>
            <w:r w:rsidRPr="001A3F79">
              <w:rPr>
                <w:sz w:val="24"/>
                <w:szCs w:val="26"/>
              </w:rPr>
              <w:t>5,98</w:t>
            </w:r>
          </w:p>
        </w:tc>
        <w:tc>
          <w:tcPr>
            <w:tcW w:w="1532" w:type="dxa"/>
          </w:tcPr>
          <w:p w:rsidR="001A3F79" w:rsidRPr="001A3F79" w:rsidRDefault="001A3F79" w:rsidP="0006078F">
            <w:pPr>
              <w:spacing w:before="120"/>
              <w:ind w:firstLine="0"/>
              <w:jc w:val="right"/>
              <w:rPr>
                <w:sz w:val="24"/>
                <w:szCs w:val="26"/>
              </w:rPr>
            </w:pPr>
            <w:r w:rsidRPr="001A3F79">
              <w:rPr>
                <w:sz w:val="24"/>
                <w:szCs w:val="26"/>
              </w:rPr>
              <w:t>15,65</w:t>
            </w:r>
          </w:p>
        </w:tc>
      </w:tr>
      <w:tr w:rsidR="001A3F79" w:rsidRPr="001A3F79" w:rsidTr="004B410C">
        <w:trPr>
          <w:trHeight w:val="312"/>
          <w:jc w:val="center"/>
        </w:trPr>
        <w:tc>
          <w:tcPr>
            <w:tcW w:w="1685" w:type="dxa"/>
            <w:hideMark/>
          </w:tcPr>
          <w:p w:rsidR="001A3F79" w:rsidRPr="001A3F79" w:rsidRDefault="001A3F79" w:rsidP="0006078F">
            <w:pPr>
              <w:spacing w:before="120"/>
              <w:ind w:firstLine="0"/>
              <w:jc w:val="center"/>
              <w:rPr>
                <w:sz w:val="24"/>
                <w:szCs w:val="26"/>
              </w:rPr>
            </w:pPr>
            <w:r w:rsidRPr="001A3F79">
              <w:rPr>
                <w:sz w:val="24"/>
                <w:szCs w:val="26"/>
              </w:rPr>
              <w:t>2015</w:t>
            </w:r>
          </w:p>
        </w:tc>
        <w:tc>
          <w:tcPr>
            <w:tcW w:w="1575" w:type="dxa"/>
            <w:noWrap/>
            <w:hideMark/>
          </w:tcPr>
          <w:p w:rsidR="001A3F79" w:rsidRPr="001A3F79" w:rsidRDefault="001A3F79" w:rsidP="0006078F">
            <w:pPr>
              <w:spacing w:before="120"/>
              <w:ind w:firstLine="0"/>
              <w:jc w:val="right"/>
              <w:rPr>
                <w:sz w:val="24"/>
                <w:szCs w:val="26"/>
              </w:rPr>
            </w:pPr>
            <w:r w:rsidRPr="001A3F79">
              <w:rPr>
                <w:sz w:val="24"/>
                <w:szCs w:val="26"/>
              </w:rPr>
              <w:t>0,63</w:t>
            </w:r>
          </w:p>
        </w:tc>
        <w:tc>
          <w:tcPr>
            <w:tcW w:w="2146" w:type="dxa"/>
          </w:tcPr>
          <w:p w:rsidR="001A3F79" w:rsidRPr="001A3F79" w:rsidRDefault="001A3F79" w:rsidP="0006078F">
            <w:pPr>
              <w:spacing w:before="120"/>
              <w:ind w:firstLine="0"/>
              <w:jc w:val="right"/>
              <w:rPr>
                <w:sz w:val="24"/>
                <w:szCs w:val="26"/>
              </w:rPr>
            </w:pPr>
            <w:r w:rsidRPr="001A3F79">
              <w:rPr>
                <w:sz w:val="24"/>
                <w:szCs w:val="26"/>
              </w:rPr>
              <w:t>2,05</w:t>
            </w:r>
          </w:p>
        </w:tc>
        <w:tc>
          <w:tcPr>
            <w:tcW w:w="1532" w:type="dxa"/>
          </w:tcPr>
          <w:p w:rsidR="001A3F79" w:rsidRPr="001A3F79" w:rsidRDefault="001A3F79" w:rsidP="0006078F">
            <w:pPr>
              <w:spacing w:before="120"/>
              <w:ind w:firstLine="0"/>
              <w:jc w:val="right"/>
              <w:rPr>
                <w:sz w:val="24"/>
                <w:szCs w:val="26"/>
              </w:rPr>
            </w:pPr>
            <w:r w:rsidRPr="001A3F79">
              <w:rPr>
                <w:sz w:val="24"/>
                <w:szCs w:val="26"/>
              </w:rPr>
              <w:t>6,68</w:t>
            </w:r>
          </w:p>
        </w:tc>
        <w:tc>
          <w:tcPr>
            <w:tcW w:w="1532" w:type="dxa"/>
          </w:tcPr>
          <w:p w:rsidR="001A3F79" w:rsidRPr="001A3F79" w:rsidRDefault="001A3F79" w:rsidP="00A0138F">
            <w:pPr>
              <w:spacing w:before="120"/>
              <w:ind w:firstLine="0"/>
              <w:jc w:val="right"/>
              <w:rPr>
                <w:sz w:val="24"/>
                <w:szCs w:val="26"/>
              </w:rPr>
            </w:pPr>
            <w:r w:rsidRPr="001A3F79">
              <w:rPr>
                <w:sz w:val="24"/>
                <w:szCs w:val="26"/>
              </w:rPr>
              <w:t>13,55</w:t>
            </w:r>
            <w:r w:rsidR="00A0138F">
              <w:rPr>
                <w:sz w:val="24"/>
                <w:szCs w:val="26"/>
                <w:vertAlign w:val="superscript"/>
              </w:rPr>
              <w:t>6</w:t>
            </w:r>
            <w:r w:rsidRPr="001A3F79">
              <w:rPr>
                <w:sz w:val="24"/>
                <w:szCs w:val="26"/>
              </w:rPr>
              <w:t xml:space="preserve"> </w:t>
            </w:r>
          </w:p>
        </w:tc>
      </w:tr>
    </w:tbl>
    <w:p w:rsidR="00307EA4" w:rsidRPr="00307EA4" w:rsidRDefault="00307EA4" w:rsidP="00307EA4">
      <w:pPr>
        <w:spacing w:before="120" w:line="312" w:lineRule="auto"/>
        <w:ind w:firstLine="567"/>
        <w:jc w:val="left"/>
        <w:rPr>
          <w:i/>
          <w:color w:val="000000"/>
          <w:sz w:val="20"/>
          <w:szCs w:val="20"/>
          <w:vertAlign w:val="superscript"/>
        </w:rPr>
      </w:pPr>
      <w:r w:rsidRPr="00307EA4">
        <w:rPr>
          <w:i/>
          <w:color w:val="000000"/>
          <w:sz w:val="20"/>
          <w:szCs w:val="20"/>
          <w:vertAlign w:val="superscript"/>
        </w:rPr>
        <w:t>6</w:t>
      </w:r>
      <w:r>
        <w:rPr>
          <w:i/>
          <w:color w:val="000000"/>
          <w:sz w:val="20"/>
          <w:szCs w:val="20"/>
          <w:vertAlign w:val="superscript"/>
        </w:rPr>
        <w:t xml:space="preserve"> </w:t>
      </w:r>
      <w:r w:rsidRPr="00307EA4">
        <w:rPr>
          <w:sz w:val="20"/>
          <w:szCs w:val="20"/>
        </w:rPr>
        <w:t>Số liệu Tổng phương tiện thanh toán tính đến 21/12/2015  theo ước tính của NHNN (chưa loại các khoản phát hành giấy tờ có giá do các TCTD khác trong nước mua)</w:t>
      </w:r>
    </w:p>
    <w:p w:rsidR="001A3F79" w:rsidRPr="001A3F79" w:rsidRDefault="001A3F79" w:rsidP="0006078F">
      <w:pPr>
        <w:spacing w:before="120" w:line="312" w:lineRule="auto"/>
        <w:ind w:firstLine="567"/>
        <w:jc w:val="right"/>
        <w:rPr>
          <w:color w:val="000000"/>
          <w:sz w:val="26"/>
          <w:szCs w:val="26"/>
        </w:rPr>
      </w:pPr>
      <w:r w:rsidRPr="001A3F79">
        <w:rPr>
          <w:i/>
          <w:color w:val="000000"/>
          <w:sz w:val="26"/>
          <w:szCs w:val="26"/>
        </w:rPr>
        <w:t>Nguồn</w:t>
      </w:r>
      <w:r w:rsidRPr="001A3F79">
        <w:rPr>
          <w:color w:val="000000"/>
          <w:sz w:val="26"/>
          <w:szCs w:val="26"/>
        </w:rPr>
        <w:t>: TCTK</w:t>
      </w:r>
      <w:r w:rsidRPr="001A3F79">
        <w:rPr>
          <w:color w:val="000000"/>
          <w:sz w:val="26"/>
          <w:szCs w:val="26"/>
        </w:rPr>
        <w:tab/>
      </w:r>
    </w:p>
    <w:p w:rsidR="001A3F79" w:rsidRPr="001203DB" w:rsidRDefault="001A3F79" w:rsidP="00915AC1">
      <w:pPr>
        <w:spacing w:before="120" w:line="312" w:lineRule="auto"/>
        <w:ind w:left="65" w:firstLine="655"/>
        <w:rPr>
          <w:sz w:val="26"/>
          <w:szCs w:val="26"/>
        </w:rPr>
      </w:pPr>
      <w:r w:rsidRPr="001203DB">
        <w:rPr>
          <w:b/>
          <w:i/>
          <w:sz w:val="26"/>
          <w:szCs w:val="26"/>
        </w:rPr>
        <w:t xml:space="preserve">Chỉ số giá tiêu dùng 2 tháng đầu năm </w:t>
      </w:r>
      <w:r w:rsidR="00414644" w:rsidRPr="001203DB">
        <w:rPr>
          <w:b/>
          <w:i/>
          <w:sz w:val="26"/>
          <w:szCs w:val="26"/>
        </w:rPr>
        <w:t xml:space="preserve">duy trì </w:t>
      </w:r>
      <w:r w:rsidR="005F5E3A" w:rsidRPr="001203DB">
        <w:rPr>
          <w:b/>
          <w:i/>
          <w:sz w:val="26"/>
          <w:szCs w:val="26"/>
        </w:rPr>
        <w:t>mức thấp</w:t>
      </w:r>
      <w:r w:rsidRPr="001203DB">
        <w:rPr>
          <w:b/>
          <w:i/>
          <w:sz w:val="26"/>
          <w:szCs w:val="26"/>
        </w:rPr>
        <w:t xml:space="preserve">. </w:t>
      </w:r>
      <w:r w:rsidRPr="001203DB">
        <w:rPr>
          <w:sz w:val="26"/>
          <w:szCs w:val="26"/>
        </w:rPr>
        <w:t xml:space="preserve">Lạm phát </w:t>
      </w:r>
      <w:r w:rsidR="00915AC1" w:rsidRPr="001203DB">
        <w:rPr>
          <w:sz w:val="26"/>
          <w:szCs w:val="26"/>
        </w:rPr>
        <w:t xml:space="preserve">bình quân </w:t>
      </w:r>
      <w:r w:rsidRPr="001203DB">
        <w:rPr>
          <w:sz w:val="26"/>
          <w:szCs w:val="26"/>
        </w:rPr>
        <w:t>2 tháng đầu năm 2016</w:t>
      </w:r>
      <w:r w:rsidR="00375CDC" w:rsidRPr="001203DB">
        <w:rPr>
          <w:sz w:val="26"/>
          <w:szCs w:val="26"/>
        </w:rPr>
        <w:t xml:space="preserve"> tăng cao </w:t>
      </w:r>
      <w:r w:rsidR="00915AC1" w:rsidRPr="001203DB">
        <w:rPr>
          <w:sz w:val="26"/>
          <w:szCs w:val="26"/>
        </w:rPr>
        <w:t xml:space="preserve">hơn so với cùng kỳ năm trước (2 tháng đầu năm 2016 </w:t>
      </w:r>
      <w:r w:rsidRPr="001203DB">
        <w:rPr>
          <w:sz w:val="26"/>
          <w:szCs w:val="26"/>
        </w:rPr>
        <w:t xml:space="preserve">tăng </w:t>
      </w:r>
      <w:r w:rsidR="00915AC1" w:rsidRPr="001203DB">
        <w:rPr>
          <w:sz w:val="26"/>
          <w:szCs w:val="26"/>
        </w:rPr>
        <w:t>1,03% so với cùng kỳ năm 2015;</w:t>
      </w:r>
      <w:r w:rsidR="00E67B52" w:rsidRPr="001203DB">
        <w:rPr>
          <w:sz w:val="26"/>
          <w:szCs w:val="26"/>
        </w:rPr>
        <w:t xml:space="preserve"> </w:t>
      </w:r>
      <w:r w:rsidRPr="001203DB">
        <w:rPr>
          <w:sz w:val="26"/>
          <w:szCs w:val="26"/>
        </w:rPr>
        <w:t>2 tháng đầu năm 2015 tăn</w:t>
      </w:r>
      <w:r w:rsidR="00915AC1" w:rsidRPr="001203DB">
        <w:rPr>
          <w:sz w:val="26"/>
          <w:szCs w:val="26"/>
        </w:rPr>
        <w:t>g 0,64% so với cùng kỳ năm 2014), s</w:t>
      </w:r>
      <w:r w:rsidR="005F5E3A" w:rsidRPr="001203DB">
        <w:rPr>
          <w:sz w:val="26"/>
          <w:szCs w:val="26"/>
        </w:rPr>
        <w:t>ong</w:t>
      </w:r>
      <w:r w:rsidRPr="001203DB">
        <w:rPr>
          <w:sz w:val="26"/>
          <w:szCs w:val="26"/>
        </w:rPr>
        <w:t xml:space="preserve"> lạm phát cơ bản tháng 2 năm 2016 (tăng </w:t>
      </w:r>
      <w:r w:rsidR="00915AC1" w:rsidRPr="001203DB">
        <w:rPr>
          <w:sz w:val="26"/>
          <w:szCs w:val="26"/>
        </w:rPr>
        <w:t>1,93% so với cùng kỳ năm trước)</w:t>
      </w:r>
      <w:r w:rsidRPr="001203DB">
        <w:rPr>
          <w:sz w:val="26"/>
          <w:szCs w:val="26"/>
        </w:rPr>
        <w:t xml:space="preserve"> tăng thấp hơn so </w:t>
      </w:r>
      <w:r w:rsidR="00375CDC" w:rsidRPr="001203DB">
        <w:rPr>
          <w:sz w:val="26"/>
          <w:szCs w:val="26"/>
        </w:rPr>
        <w:t xml:space="preserve">với </w:t>
      </w:r>
      <w:r w:rsidRPr="001203DB">
        <w:rPr>
          <w:sz w:val="26"/>
          <w:szCs w:val="26"/>
        </w:rPr>
        <w:t xml:space="preserve">tháng 2 năm 2015 (tăng 2,31% so với cùng kỳ năm 2014). </w:t>
      </w:r>
    </w:p>
    <w:p w:rsidR="001A3F79" w:rsidRPr="001A3F79" w:rsidRDefault="001A3F79" w:rsidP="0006078F">
      <w:pPr>
        <w:spacing w:before="120" w:line="312" w:lineRule="auto"/>
        <w:ind w:firstLine="567"/>
        <w:jc w:val="center"/>
        <w:rPr>
          <w:b/>
          <w:spacing w:val="-2"/>
          <w:sz w:val="24"/>
          <w:szCs w:val="26"/>
          <w:lang w:val="fr-FR"/>
        </w:rPr>
      </w:pPr>
      <w:r w:rsidRPr="001A3F79">
        <w:rPr>
          <w:b/>
          <w:spacing w:val="-2"/>
          <w:sz w:val="24"/>
          <w:szCs w:val="26"/>
          <w:lang w:val="fr-FR"/>
        </w:rPr>
        <w:t>Bả</w:t>
      </w:r>
      <w:r w:rsidR="005F5E3A">
        <w:rPr>
          <w:b/>
          <w:spacing w:val="-2"/>
          <w:sz w:val="24"/>
          <w:szCs w:val="26"/>
          <w:lang w:val="fr-FR"/>
        </w:rPr>
        <w:t>ng 2: Lạm phát cơ bản T1/2015-T2</w:t>
      </w:r>
      <w:r w:rsidRPr="001A3F79">
        <w:rPr>
          <w:b/>
          <w:spacing w:val="-2"/>
          <w:sz w:val="24"/>
          <w:szCs w:val="26"/>
          <w:lang w:val="fr-FR"/>
        </w:rPr>
        <w:t>/2016</w:t>
      </w:r>
    </w:p>
    <w:p w:rsidR="001A3F79" w:rsidRPr="00731A4C" w:rsidRDefault="001A3F79" w:rsidP="0006078F">
      <w:pPr>
        <w:spacing w:before="120" w:line="312" w:lineRule="auto"/>
        <w:ind w:firstLine="567"/>
        <w:jc w:val="right"/>
        <w:rPr>
          <w:i/>
          <w:spacing w:val="-2"/>
          <w:sz w:val="24"/>
          <w:szCs w:val="26"/>
          <w:lang w:val="fr-FR"/>
        </w:rPr>
      </w:pPr>
      <w:r w:rsidRPr="00731A4C">
        <w:rPr>
          <w:i/>
          <w:spacing w:val="-2"/>
          <w:sz w:val="24"/>
          <w:szCs w:val="26"/>
          <w:lang w:val="fr-FR"/>
        </w:rPr>
        <w:t>Đơn vị : %</w:t>
      </w:r>
    </w:p>
    <w:tbl>
      <w:tblPr>
        <w:tblStyle w:val="TableGrid"/>
        <w:tblW w:w="0" w:type="auto"/>
        <w:jc w:val="center"/>
        <w:tblInd w:w="-459" w:type="dxa"/>
        <w:tblLook w:val="04A0"/>
      </w:tblPr>
      <w:tblGrid>
        <w:gridCol w:w="708"/>
        <w:gridCol w:w="647"/>
        <w:gridCol w:w="647"/>
        <w:gridCol w:w="647"/>
        <w:gridCol w:w="647"/>
        <w:gridCol w:w="647"/>
        <w:gridCol w:w="647"/>
        <w:gridCol w:w="647"/>
        <w:gridCol w:w="647"/>
        <w:gridCol w:w="647"/>
        <w:gridCol w:w="735"/>
        <w:gridCol w:w="735"/>
        <w:gridCol w:w="735"/>
        <w:gridCol w:w="647"/>
        <w:gridCol w:w="647"/>
      </w:tblGrid>
      <w:tr w:rsidR="001A3F79" w:rsidRPr="001A3F79" w:rsidTr="0006078F">
        <w:trPr>
          <w:jc w:val="center"/>
        </w:trPr>
        <w:tc>
          <w:tcPr>
            <w:tcW w:w="708" w:type="dxa"/>
          </w:tcPr>
          <w:p w:rsidR="001A3F79" w:rsidRPr="001A3F79" w:rsidRDefault="001A3F79" w:rsidP="0006078F">
            <w:pPr>
              <w:spacing w:before="120" w:line="312" w:lineRule="auto"/>
              <w:ind w:firstLine="0"/>
              <w:rPr>
                <w:spacing w:val="-2"/>
                <w:sz w:val="18"/>
                <w:szCs w:val="26"/>
                <w:lang w:val="fr-FR"/>
              </w:rPr>
            </w:pP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T1/15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T2/15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T3/15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T4/15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T5/15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T6/15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T7/15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T8/15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T9/15</w:t>
            </w:r>
          </w:p>
        </w:tc>
        <w:tc>
          <w:tcPr>
            <w:tcW w:w="735"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T10/15</w:t>
            </w:r>
          </w:p>
        </w:tc>
        <w:tc>
          <w:tcPr>
            <w:tcW w:w="735"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T11/15</w:t>
            </w:r>
          </w:p>
        </w:tc>
        <w:tc>
          <w:tcPr>
            <w:tcW w:w="735"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T12/15</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T1/16</w:t>
            </w:r>
          </w:p>
        </w:tc>
        <w:tc>
          <w:tcPr>
            <w:tcW w:w="647" w:type="dxa"/>
          </w:tcPr>
          <w:p w:rsidR="001A3F79" w:rsidRPr="001A3F79" w:rsidRDefault="001A3F79" w:rsidP="0006078F">
            <w:pPr>
              <w:spacing w:before="120" w:line="312" w:lineRule="auto"/>
              <w:ind w:firstLine="0"/>
              <w:rPr>
                <w:b/>
                <w:spacing w:val="-2"/>
                <w:sz w:val="18"/>
                <w:szCs w:val="26"/>
              </w:rPr>
            </w:pPr>
            <w:r w:rsidRPr="001A3F79">
              <w:rPr>
                <w:b/>
                <w:spacing w:val="-2"/>
                <w:sz w:val="18"/>
                <w:szCs w:val="26"/>
              </w:rPr>
              <w:t>T2/16</w:t>
            </w:r>
          </w:p>
        </w:tc>
      </w:tr>
      <w:tr w:rsidR="001A3F79" w:rsidRPr="001A3F79" w:rsidTr="0006078F">
        <w:trPr>
          <w:jc w:val="center"/>
        </w:trPr>
        <w:tc>
          <w:tcPr>
            <w:tcW w:w="708" w:type="dxa"/>
          </w:tcPr>
          <w:p w:rsidR="001A3F79" w:rsidRPr="001A3F79" w:rsidRDefault="001A3F79" w:rsidP="0006078F">
            <w:pPr>
              <w:spacing w:before="120" w:line="312" w:lineRule="auto"/>
              <w:ind w:firstLine="0"/>
              <w:rPr>
                <w:spacing w:val="-2"/>
                <w:sz w:val="18"/>
                <w:szCs w:val="26"/>
              </w:rPr>
            </w:pPr>
            <w:r w:rsidRPr="001A3F79">
              <w:rPr>
                <w:spacing w:val="-2"/>
                <w:sz w:val="18"/>
                <w:szCs w:val="26"/>
              </w:rPr>
              <w:t>LPCB</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2,58</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2,31</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2,48</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2,42</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2,41</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2,37</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2,42</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2,41</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2,39</w:t>
            </w:r>
          </w:p>
        </w:tc>
        <w:tc>
          <w:tcPr>
            <w:tcW w:w="735"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2,38</w:t>
            </w:r>
          </w:p>
        </w:tc>
        <w:tc>
          <w:tcPr>
            <w:tcW w:w="735"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2,36</w:t>
            </w:r>
          </w:p>
        </w:tc>
        <w:tc>
          <w:tcPr>
            <w:tcW w:w="735" w:type="dxa"/>
          </w:tcPr>
          <w:p w:rsidR="001A3F79" w:rsidRPr="001A3F79" w:rsidRDefault="001A3F79" w:rsidP="0006078F">
            <w:pPr>
              <w:spacing w:before="120" w:line="312" w:lineRule="auto"/>
              <w:ind w:firstLine="0"/>
              <w:rPr>
                <w:spacing w:val="-2"/>
                <w:sz w:val="18"/>
                <w:szCs w:val="26"/>
              </w:rPr>
            </w:pPr>
            <w:r w:rsidRPr="001A3F79">
              <w:rPr>
                <w:spacing w:val="-2"/>
                <w:sz w:val="18"/>
                <w:szCs w:val="26"/>
              </w:rPr>
              <w:t>2,32</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1,81</w:t>
            </w:r>
          </w:p>
        </w:tc>
        <w:tc>
          <w:tcPr>
            <w:tcW w:w="647" w:type="dxa"/>
          </w:tcPr>
          <w:p w:rsidR="001A3F79" w:rsidRPr="001A3F79" w:rsidRDefault="001A3F79" w:rsidP="0006078F">
            <w:pPr>
              <w:spacing w:before="120" w:line="312" w:lineRule="auto"/>
              <w:ind w:firstLine="0"/>
              <w:rPr>
                <w:spacing w:val="-2"/>
                <w:sz w:val="18"/>
                <w:szCs w:val="26"/>
              </w:rPr>
            </w:pPr>
            <w:r w:rsidRPr="001A3F79">
              <w:rPr>
                <w:spacing w:val="-2"/>
                <w:sz w:val="18"/>
                <w:szCs w:val="26"/>
              </w:rPr>
              <w:t>1,93</w:t>
            </w:r>
          </w:p>
        </w:tc>
      </w:tr>
    </w:tbl>
    <w:p w:rsidR="001A3F79" w:rsidRPr="00731A4C" w:rsidRDefault="001A3F79" w:rsidP="0006078F">
      <w:pPr>
        <w:spacing w:before="120" w:line="312" w:lineRule="auto"/>
        <w:ind w:firstLine="0"/>
        <w:jc w:val="right"/>
        <w:rPr>
          <w:spacing w:val="-2"/>
          <w:sz w:val="24"/>
          <w:szCs w:val="26"/>
        </w:rPr>
      </w:pPr>
      <w:r w:rsidRPr="00731A4C">
        <w:rPr>
          <w:i/>
          <w:spacing w:val="-2"/>
          <w:sz w:val="24"/>
          <w:szCs w:val="26"/>
        </w:rPr>
        <w:t>Nguồn:</w:t>
      </w:r>
      <w:r w:rsidRPr="00731A4C">
        <w:rPr>
          <w:spacing w:val="-2"/>
          <w:sz w:val="24"/>
          <w:szCs w:val="26"/>
        </w:rPr>
        <w:t xml:space="preserve"> TCTK</w:t>
      </w:r>
    </w:p>
    <w:p w:rsidR="001A3F79" w:rsidRPr="001A3F79" w:rsidRDefault="001A3F79" w:rsidP="0006078F">
      <w:pPr>
        <w:spacing w:before="120" w:line="312" w:lineRule="auto"/>
        <w:rPr>
          <w:sz w:val="26"/>
          <w:szCs w:val="26"/>
          <w:lang w:val="nl-NL"/>
        </w:rPr>
      </w:pPr>
      <w:r w:rsidRPr="001A3F79">
        <w:rPr>
          <w:sz w:val="26"/>
          <w:szCs w:val="26"/>
        </w:rPr>
        <w:t>B</w:t>
      </w:r>
      <w:r w:rsidRPr="001A3F79">
        <w:rPr>
          <w:sz w:val="26"/>
          <w:szCs w:val="26"/>
          <w:lang w:val="nl-NL"/>
        </w:rPr>
        <w:t>ên cạnh yếu tố cung tiền</w:t>
      </w:r>
      <w:r w:rsidR="00915AC1">
        <w:rPr>
          <w:sz w:val="26"/>
          <w:szCs w:val="26"/>
          <w:lang w:val="nl-NL"/>
        </w:rPr>
        <w:t xml:space="preserve">, </w:t>
      </w:r>
      <w:r w:rsidRPr="001A3F79">
        <w:rPr>
          <w:sz w:val="26"/>
          <w:szCs w:val="26"/>
          <w:lang w:val="nl-NL"/>
        </w:rPr>
        <w:t>chỉ số giá s</w:t>
      </w:r>
      <w:r w:rsidR="00502BCD">
        <w:rPr>
          <w:sz w:val="26"/>
          <w:szCs w:val="26"/>
          <w:lang w:val="nl-NL"/>
        </w:rPr>
        <w:t>ản xuất</w:t>
      </w:r>
      <w:r w:rsidRPr="001A3F79">
        <w:rPr>
          <w:sz w:val="26"/>
          <w:szCs w:val="26"/>
          <w:lang w:val="nl-NL"/>
        </w:rPr>
        <w:t xml:space="preserve"> công nghiệp </w:t>
      </w:r>
      <w:r w:rsidR="00915AC1">
        <w:rPr>
          <w:sz w:val="26"/>
          <w:szCs w:val="26"/>
          <w:lang w:val="nl-NL"/>
        </w:rPr>
        <w:t xml:space="preserve">có xu hướng </w:t>
      </w:r>
      <w:r w:rsidRPr="001A3F79">
        <w:rPr>
          <w:sz w:val="26"/>
          <w:szCs w:val="26"/>
          <w:lang w:val="nl-NL"/>
        </w:rPr>
        <w:t xml:space="preserve">giảm </w:t>
      </w:r>
      <w:r w:rsidR="00915AC1">
        <w:rPr>
          <w:sz w:val="26"/>
          <w:szCs w:val="26"/>
          <w:lang w:val="nl-NL"/>
        </w:rPr>
        <w:t xml:space="preserve">trong những </w:t>
      </w:r>
      <w:r w:rsidRPr="001A3F79">
        <w:rPr>
          <w:sz w:val="26"/>
          <w:szCs w:val="26"/>
          <w:lang w:val="nl-NL"/>
        </w:rPr>
        <w:t xml:space="preserve">năm </w:t>
      </w:r>
      <w:r w:rsidR="00915AC1">
        <w:rPr>
          <w:sz w:val="26"/>
          <w:szCs w:val="26"/>
          <w:lang w:val="nl-NL"/>
        </w:rPr>
        <w:t xml:space="preserve">gần đây </w:t>
      </w:r>
      <w:r w:rsidR="004661E6">
        <w:rPr>
          <w:sz w:val="26"/>
          <w:szCs w:val="26"/>
          <w:lang w:val="nl-NL"/>
        </w:rPr>
        <w:t xml:space="preserve">cũng </w:t>
      </w:r>
      <w:r w:rsidR="00915AC1">
        <w:rPr>
          <w:sz w:val="26"/>
          <w:szCs w:val="26"/>
          <w:lang w:val="nl-NL"/>
        </w:rPr>
        <w:t>tạo</w:t>
      </w:r>
      <w:r w:rsidR="004661E6">
        <w:rPr>
          <w:sz w:val="26"/>
          <w:szCs w:val="26"/>
          <w:lang w:val="nl-NL"/>
        </w:rPr>
        <w:t xml:space="preserve"> nên </w:t>
      </w:r>
      <w:r w:rsidR="00915AC1">
        <w:rPr>
          <w:sz w:val="26"/>
          <w:szCs w:val="26"/>
          <w:lang w:val="nl-NL"/>
        </w:rPr>
        <w:t>yếu</w:t>
      </w:r>
      <w:r w:rsidRPr="001A3F79">
        <w:rPr>
          <w:sz w:val="26"/>
          <w:szCs w:val="26"/>
          <w:lang w:val="nl-NL"/>
        </w:rPr>
        <w:t xml:space="preserve"> tố góp phần kéo CPI </w:t>
      </w:r>
      <w:r w:rsidR="00375CDC">
        <w:rPr>
          <w:sz w:val="26"/>
          <w:szCs w:val="26"/>
          <w:lang w:val="nl-NL"/>
        </w:rPr>
        <w:t xml:space="preserve">xuống mức </w:t>
      </w:r>
      <w:r w:rsidRPr="001A3F79">
        <w:rPr>
          <w:sz w:val="26"/>
          <w:szCs w:val="26"/>
          <w:lang w:val="nl-NL"/>
        </w:rPr>
        <w:t>thấp dần trong những năm</w:t>
      </w:r>
      <w:r w:rsidR="00915AC1">
        <w:rPr>
          <w:sz w:val="26"/>
          <w:szCs w:val="26"/>
          <w:lang w:val="nl-NL"/>
        </w:rPr>
        <w:t xml:space="preserve"> qua</w:t>
      </w:r>
      <w:r w:rsidRPr="001A3F79">
        <w:rPr>
          <w:sz w:val="26"/>
          <w:szCs w:val="26"/>
          <w:lang w:val="nl-NL"/>
        </w:rPr>
        <w:t>.</w:t>
      </w:r>
      <w:r w:rsidR="001203DB">
        <w:rPr>
          <w:sz w:val="26"/>
          <w:szCs w:val="26"/>
          <w:lang w:val="nl-NL"/>
        </w:rPr>
        <w:t xml:space="preserve"> Nguyên nhân khiến chỉ số giá xuất khẩu trong công nghiệp giảm là do giá hàng hóa thế giới giảm đã giúp giảm chi phí sản xuất trong nước.</w:t>
      </w:r>
    </w:p>
    <w:p w:rsidR="001A3F79" w:rsidRPr="001A3F79" w:rsidRDefault="001A3F79" w:rsidP="00414644">
      <w:pPr>
        <w:spacing w:after="0"/>
        <w:jc w:val="center"/>
        <w:rPr>
          <w:b/>
          <w:sz w:val="24"/>
          <w:szCs w:val="26"/>
          <w:lang w:val="nl-NL"/>
        </w:rPr>
      </w:pPr>
      <w:r w:rsidRPr="001A3F79">
        <w:rPr>
          <w:b/>
          <w:sz w:val="24"/>
          <w:szCs w:val="26"/>
          <w:lang w:val="nl-NL"/>
        </w:rPr>
        <w:lastRenderedPageBreak/>
        <w:t>Bảng 3: Chỉ số giá sản xuất hàng công nghiệp</w:t>
      </w:r>
    </w:p>
    <w:p w:rsidR="001A3F79" w:rsidRPr="001A3F79" w:rsidRDefault="001A3F79" w:rsidP="00414644">
      <w:pPr>
        <w:spacing w:after="0" w:line="312" w:lineRule="auto"/>
        <w:jc w:val="right"/>
        <w:rPr>
          <w:i/>
          <w:sz w:val="24"/>
          <w:szCs w:val="26"/>
          <w:lang w:val="nl-NL"/>
        </w:rPr>
      </w:pPr>
      <w:r w:rsidRPr="001A3F79">
        <w:rPr>
          <w:i/>
          <w:sz w:val="24"/>
          <w:szCs w:val="26"/>
          <w:lang w:val="nl-NL"/>
        </w:rPr>
        <w:t>Đơn vị: %</w:t>
      </w:r>
    </w:p>
    <w:tbl>
      <w:tblPr>
        <w:tblStyle w:val="TableGrid"/>
        <w:tblW w:w="0" w:type="auto"/>
        <w:jc w:val="center"/>
        <w:tblLook w:val="04A0"/>
      </w:tblPr>
      <w:tblGrid>
        <w:gridCol w:w="1287"/>
        <w:gridCol w:w="1470"/>
        <w:gridCol w:w="1379"/>
        <w:gridCol w:w="1242"/>
        <w:gridCol w:w="1462"/>
        <w:gridCol w:w="1373"/>
      </w:tblGrid>
      <w:tr w:rsidR="001A3F79" w:rsidRPr="001A3F79" w:rsidTr="00414644">
        <w:trPr>
          <w:trHeight w:val="458"/>
          <w:jc w:val="center"/>
        </w:trPr>
        <w:tc>
          <w:tcPr>
            <w:tcW w:w="1287" w:type="dxa"/>
          </w:tcPr>
          <w:p w:rsidR="001A3F79" w:rsidRPr="001A3F79" w:rsidRDefault="001A3F79" w:rsidP="0006078F">
            <w:pPr>
              <w:spacing w:before="120" w:line="312" w:lineRule="auto"/>
              <w:ind w:firstLine="0"/>
              <w:jc w:val="center"/>
              <w:rPr>
                <w:b/>
                <w:sz w:val="24"/>
                <w:szCs w:val="26"/>
                <w:lang w:val="nl-NL"/>
              </w:rPr>
            </w:pPr>
          </w:p>
        </w:tc>
        <w:tc>
          <w:tcPr>
            <w:tcW w:w="1470" w:type="dxa"/>
          </w:tcPr>
          <w:p w:rsidR="001A3F79" w:rsidRPr="001A3F79" w:rsidRDefault="001A3F79" w:rsidP="0006078F">
            <w:pPr>
              <w:spacing w:before="120" w:line="312" w:lineRule="auto"/>
              <w:ind w:firstLine="0"/>
              <w:jc w:val="center"/>
              <w:rPr>
                <w:b/>
                <w:sz w:val="24"/>
                <w:szCs w:val="26"/>
                <w:lang w:val="nl-NL"/>
              </w:rPr>
            </w:pPr>
            <w:r w:rsidRPr="001A3F79">
              <w:rPr>
                <w:b/>
                <w:sz w:val="24"/>
                <w:szCs w:val="26"/>
                <w:lang w:val="nl-NL"/>
              </w:rPr>
              <w:t>2011</w:t>
            </w:r>
          </w:p>
        </w:tc>
        <w:tc>
          <w:tcPr>
            <w:tcW w:w="1379" w:type="dxa"/>
          </w:tcPr>
          <w:p w:rsidR="001A3F79" w:rsidRPr="001A3F79" w:rsidRDefault="001A3F79" w:rsidP="0006078F">
            <w:pPr>
              <w:spacing w:before="120" w:line="312" w:lineRule="auto"/>
              <w:ind w:firstLine="0"/>
              <w:jc w:val="center"/>
              <w:rPr>
                <w:b/>
                <w:sz w:val="24"/>
                <w:szCs w:val="26"/>
                <w:lang w:val="nl-NL"/>
              </w:rPr>
            </w:pPr>
            <w:r w:rsidRPr="001A3F79">
              <w:rPr>
                <w:b/>
                <w:sz w:val="24"/>
                <w:szCs w:val="26"/>
                <w:lang w:val="nl-NL"/>
              </w:rPr>
              <w:t>2012</w:t>
            </w:r>
          </w:p>
        </w:tc>
        <w:tc>
          <w:tcPr>
            <w:tcW w:w="1242" w:type="dxa"/>
          </w:tcPr>
          <w:p w:rsidR="001A3F79" w:rsidRPr="001A3F79" w:rsidRDefault="001A3F79" w:rsidP="0006078F">
            <w:pPr>
              <w:spacing w:before="120" w:line="312" w:lineRule="auto"/>
              <w:ind w:firstLine="0"/>
              <w:jc w:val="center"/>
              <w:rPr>
                <w:b/>
                <w:sz w:val="24"/>
                <w:szCs w:val="26"/>
                <w:lang w:val="nl-NL"/>
              </w:rPr>
            </w:pPr>
            <w:r w:rsidRPr="001A3F79">
              <w:rPr>
                <w:b/>
                <w:sz w:val="24"/>
                <w:szCs w:val="26"/>
                <w:lang w:val="nl-NL"/>
              </w:rPr>
              <w:t>2013</w:t>
            </w:r>
          </w:p>
        </w:tc>
        <w:tc>
          <w:tcPr>
            <w:tcW w:w="1462" w:type="dxa"/>
          </w:tcPr>
          <w:p w:rsidR="001A3F79" w:rsidRPr="001A3F79" w:rsidRDefault="001A3F79" w:rsidP="0006078F">
            <w:pPr>
              <w:spacing w:before="120" w:line="312" w:lineRule="auto"/>
              <w:ind w:firstLine="0"/>
              <w:jc w:val="center"/>
              <w:rPr>
                <w:b/>
                <w:sz w:val="24"/>
                <w:szCs w:val="26"/>
                <w:lang w:val="nl-NL"/>
              </w:rPr>
            </w:pPr>
            <w:r w:rsidRPr="001A3F79">
              <w:rPr>
                <w:b/>
                <w:sz w:val="24"/>
                <w:szCs w:val="26"/>
                <w:lang w:val="nl-NL"/>
              </w:rPr>
              <w:t>2014</w:t>
            </w:r>
          </w:p>
        </w:tc>
        <w:tc>
          <w:tcPr>
            <w:tcW w:w="1373" w:type="dxa"/>
          </w:tcPr>
          <w:p w:rsidR="001A3F79" w:rsidRPr="001A3F79" w:rsidRDefault="001A3F79" w:rsidP="0006078F">
            <w:pPr>
              <w:spacing w:before="120" w:line="312" w:lineRule="auto"/>
              <w:ind w:firstLine="0"/>
              <w:jc w:val="center"/>
              <w:rPr>
                <w:b/>
                <w:sz w:val="24"/>
                <w:szCs w:val="26"/>
                <w:lang w:val="nl-NL"/>
              </w:rPr>
            </w:pPr>
            <w:r w:rsidRPr="001A3F79">
              <w:rPr>
                <w:b/>
                <w:sz w:val="24"/>
                <w:szCs w:val="26"/>
                <w:lang w:val="nl-NL"/>
              </w:rPr>
              <w:t>2015</w:t>
            </w:r>
          </w:p>
        </w:tc>
      </w:tr>
      <w:tr w:rsidR="001A3F79" w:rsidRPr="001A3F79" w:rsidTr="00414644">
        <w:trPr>
          <w:trHeight w:val="458"/>
          <w:jc w:val="center"/>
        </w:trPr>
        <w:tc>
          <w:tcPr>
            <w:tcW w:w="1287"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PPI</w:t>
            </w:r>
          </w:p>
        </w:tc>
        <w:tc>
          <w:tcPr>
            <w:tcW w:w="1470"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118,34</w:t>
            </w:r>
          </w:p>
        </w:tc>
        <w:tc>
          <w:tcPr>
            <w:tcW w:w="1379"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103,43</w:t>
            </w:r>
          </w:p>
        </w:tc>
        <w:tc>
          <w:tcPr>
            <w:tcW w:w="1242"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105,25</w:t>
            </w:r>
          </w:p>
        </w:tc>
        <w:tc>
          <w:tcPr>
            <w:tcW w:w="1462"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103,26</w:t>
            </w:r>
          </w:p>
        </w:tc>
        <w:tc>
          <w:tcPr>
            <w:tcW w:w="1373" w:type="dxa"/>
          </w:tcPr>
          <w:p w:rsidR="001A3F79" w:rsidRPr="001A3F79" w:rsidRDefault="001A3F79" w:rsidP="0006078F">
            <w:pPr>
              <w:spacing w:before="120" w:line="312" w:lineRule="auto"/>
              <w:ind w:firstLine="0"/>
              <w:jc w:val="center"/>
              <w:rPr>
                <w:sz w:val="24"/>
                <w:szCs w:val="26"/>
                <w:lang w:val="nl-NL"/>
              </w:rPr>
            </w:pPr>
            <w:r w:rsidRPr="001A3F79">
              <w:rPr>
                <w:sz w:val="24"/>
                <w:szCs w:val="26"/>
                <w:lang w:val="nl-NL"/>
              </w:rPr>
              <w:t>99,42</w:t>
            </w:r>
          </w:p>
        </w:tc>
      </w:tr>
    </w:tbl>
    <w:p w:rsidR="001A3F79" w:rsidRPr="00731A4C" w:rsidRDefault="001A3F79" w:rsidP="0006078F">
      <w:pPr>
        <w:spacing w:before="120" w:line="312" w:lineRule="auto"/>
        <w:ind w:firstLine="0"/>
        <w:jc w:val="right"/>
        <w:rPr>
          <w:sz w:val="24"/>
          <w:szCs w:val="26"/>
          <w:lang w:val="nl-NL"/>
        </w:rPr>
      </w:pPr>
      <w:r w:rsidRPr="00731A4C">
        <w:rPr>
          <w:i/>
          <w:sz w:val="24"/>
          <w:szCs w:val="26"/>
          <w:lang w:val="nl-NL"/>
        </w:rPr>
        <w:t>Nguồn</w:t>
      </w:r>
      <w:r w:rsidRPr="00731A4C">
        <w:rPr>
          <w:sz w:val="24"/>
          <w:szCs w:val="26"/>
          <w:lang w:val="nl-NL"/>
        </w:rPr>
        <w:t>: TCTK</w:t>
      </w:r>
    </w:p>
    <w:p w:rsidR="009E0010" w:rsidRPr="0006078F" w:rsidRDefault="009E0010" w:rsidP="00414644">
      <w:pPr>
        <w:pStyle w:val="ListParagraph"/>
        <w:numPr>
          <w:ilvl w:val="0"/>
          <w:numId w:val="24"/>
        </w:numPr>
        <w:spacing w:before="120" w:line="312" w:lineRule="auto"/>
        <w:ind w:left="0" w:firstLine="0"/>
        <w:contextualSpacing w:val="0"/>
        <w:rPr>
          <w:b/>
          <w:sz w:val="26"/>
          <w:szCs w:val="26"/>
          <w:lang w:val="de-DE"/>
        </w:rPr>
      </w:pPr>
      <w:r w:rsidRPr="0006078F">
        <w:rPr>
          <w:b/>
          <w:i/>
          <w:sz w:val="26"/>
          <w:szCs w:val="26"/>
          <w:lang w:val="de-DE"/>
        </w:rPr>
        <w:t>Tình hình sản xuất kinh doanh của doanh nghiệp trong 2 tháng đầu năm 2016 tiếp tục được cải thiện,</w:t>
      </w:r>
      <w:r w:rsidRPr="0006078F">
        <w:rPr>
          <w:b/>
          <w:sz w:val="26"/>
          <w:szCs w:val="26"/>
          <w:lang w:val="de-DE"/>
        </w:rPr>
        <w:t xml:space="preserve"> </w:t>
      </w:r>
      <w:r w:rsidRPr="0006078F">
        <w:rPr>
          <w:sz w:val="26"/>
          <w:szCs w:val="26"/>
          <w:lang w:val="de-DE"/>
        </w:rPr>
        <w:t>biểu hiện</w:t>
      </w:r>
      <w:r w:rsidRPr="0006078F">
        <w:rPr>
          <w:b/>
          <w:sz w:val="26"/>
          <w:szCs w:val="26"/>
          <w:lang w:val="de-DE"/>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8"/>
      </w:tblGrid>
      <w:tr w:rsidR="009E0010" w:rsidRPr="0006078F" w:rsidTr="0006078F">
        <w:tc>
          <w:tcPr>
            <w:tcW w:w="4962" w:type="dxa"/>
          </w:tcPr>
          <w:p w:rsidR="009E0010" w:rsidRPr="0006078F" w:rsidRDefault="009E0010" w:rsidP="0006078F">
            <w:pPr>
              <w:pStyle w:val="ListParagraph"/>
              <w:numPr>
                <w:ilvl w:val="0"/>
                <w:numId w:val="28"/>
              </w:numPr>
              <w:tabs>
                <w:tab w:val="left" w:pos="885"/>
              </w:tabs>
              <w:spacing w:before="120" w:line="312" w:lineRule="auto"/>
              <w:ind w:left="34" w:firstLine="709"/>
              <w:contextualSpacing w:val="0"/>
              <w:rPr>
                <w:b/>
                <w:bCs/>
                <w:i/>
                <w:sz w:val="26"/>
                <w:szCs w:val="26"/>
                <w:lang w:val="de-DE"/>
              </w:rPr>
            </w:pPr>
            <w:r w:rsidRPr="0006078F">
              <w:rPr>
                <w:b/>
                <w:bCs/>
                <w:i/>
                <w:sz w:val="26"/>
                <w:szCs w:val="26"/>
                <w:lang w:val="de-DE"/>
              </w:rPr>
              <w:t xml:space="preserve">Điều kiện kinh doanh của doanh nghiệp được cải thiện tháng thứ 2 liên tiếp. </w:t>
            </w:r>
            <w:r w:rsidRPr="0006078F">
              <w:rPr>
                <w:bCs/>
                <w:sz w:val="26"/>
                <w:szCs w:val="26"/>
                <w:lang w:val="nl-NL"/>
              </w:rPr>
              <w:t>C</w:t>
            </w:r>
            <w:r w:rsidRPr="0006078F">
              <w:rPr>
                <w:bCs/>
                <w:sz w:val="26"/>
                <w:szCs w:val="26"/>
                <w:lang w:val="de-DE"/>
              </w:rPr>
              <w:t>hỉ số PMI</w:t>
            </w:r>
            <w:r w:rsidRPr="0006078F">
              <w:rPr>
                <w:sz w:val="26"/>
                <w:szCs w:val="26"/>
                <w:vertAlign w:val="superscript"/>
                <w:lang w:val="de-DE"/>
              </w:rPr>
              <w:footnoteReference w:id="6"/>
            </w:r>
            <w:r w:rsidRPr="0006078F">
              <w:rPr>
                <w:bCs/>
                <w:sz w:val="26"/>
                <w:szCs w:val="26"/>
                <w:lang w:val="de-DE"/>
              </w:rPr>
              <w:t xml:space="preserve"> tháng 1 năm 2016 đạt 51,5 điểm, tương đương với cùng kỳ năm 2015 và tốt hơn so với cuối năm 2015. Điều này cho thấy, môi trường sản xuất kinh doanh tiếp tục được cải thiện so với cuối năm 2015.</w:t>
            </w:r>
          </w:p>
          <w:p w:rsidR="0006078F" w:rsidRDefault="0006078F" w:rsidP="0006078F">
            <w:pPr>
              <w:pStyle w:val="ListParagraph"/>
              <w:spacing w:before="120" w:line="312" w:lineRule="auto"/>
              <w:ind w:left="34" w:firstLine="709"/>
              <w:contextualSpacing w:val="0"/>
              <w:rPr>
                <w:b/>
                <w:bCs/>
                <w:i/>
                <w:spacing w:val="4"/>
                <w:sz w:val="26"/>
                <w:szCs w:val="26"/>
                <w:lang w:val="de-DE"/>
              </w:rPr>
            </w:pPr>
          </w:p>
          <w:p w:rsidR="0006078F" w:rsidRDefault="0006078F" w:rsidP="0006078F">
            <w:pPr>
              <w:pStyle w:val="ListParagraph"/>
              <w:spacing w:before="120" w:line="312" w:lineRule="auto"/>
              <w:ind w:left="34" w:firstLine="709"/>
              <w:contextualSpacing w:val="0"/>
              <w:rPr>
                <w:b/>
                <w:bCs/>
                <w:i/>
                <w:spacing w:val="4"/>
                <w:sz w:val="26"/>
                <w:szCs w:val="26"/>
                <w:lang w:val="de-DE"/>
              </w:rPr>
            </w:pPr>
          </w:p>
          <w:p w:rsidR="0006078F" w:rsidRPr="0006078F" w:rsidRDefault="0006078F" w:rsidP="0006078F">
            <w:pPr>
              <w:pStyle w:val="ListParagraph"/>
              <w:spacing w:before="120" w:line="312" w:lineRule="auto"/>
              <w:ind w:left="34" w:firstLine="709"/>
              <w:contextualSpacing w:val="0"/>
              <w:rPr>
                <w:bCs/>
                <w:spacing w:val="4"/>
                <w:sz w:val="26"/>
                <w:szCs w:val="26"/>
                <w:lang w:val="de-DE"/>
              </w:rPr>
            </w:pPr>
            <w:r>
              <w:rPr>
                <w:b/>
                <w:bCs/>
                <w:i/>
                <w:spacing w:val="4"/>
                <w:sz w:val="26"/>
                <w:szCs w:val="26"/>
                <w:lang w:val="de-DE"/>
              </w:rPr>
              <w:t xml:space="preserve">- </w:t>
            </w:r>
            <w:r w:rsidRPr="0006078F">
              <w:rPr>
                <w:b/>
                <w:bCs/>
                <w:i/>
                <w:spacing w:val="4"/>
                <w:sz w:val="26"/>
                <w:szCs w:val="26"/>
                <w:lang w:val="de-DE"/>
              </w:rPr>
              <w:t xml:space="preserve">Niềm tin tiêu dùng được </w:t>
            </w:r>
            <w:r w:rsidR="00711FA3">
              <w:rPr>
                <w:b/>
                <w:bCs/>
                <w:i/>
                <w:spacing w:val="4"/>
                <w:sz w:val="26"/>
                <w:szCs w:val="26"/>
                <w:lang w:val="de-DE"/>
              </w:rPr>
              <w:t>duy trì</w:t>
            </w:r>
            <w:r w:rsidRPr="0006078F">
              <w:rPr>
                <w:bCs/>
                <w:spacing w:val="4"/>
                <w:sz w:val="26"/>
                <w:szCs w:val="26"/>
                <w:lang w:val="de-DE"/>
              </w:rPr>
              <w:t>. Chỉ số niềm tin tiêu dùng – CCI t</w:t>
            </w:r>
            <w:r w:rsidR="007F179A">
              <w:rPr>
                <w:bCs/>
                <w:spacing w:val="4"/>
                <w:sz w:val="26"/>
                <w:szCs w:val="26"/>
                <w:lang w:val="de-DE"/>
              </w:rPr>
              <w:t>háng 12 do ANZ công bố cho thấy</w:t>
            </w:r>
            <w:r w:rsidRPr="0006078F">
              <w:rPr>
                <w:bCs/>
                <w:spacing w:val="4"/>
                <w:sz w:val="26"/>
                <w:szCs w:val="26"/>
                <w:lang w:val="de-DE"/>
              </w:rPr>
              <w:t xml:space="preserve"> CCI</w:t>
            </w:r>
            <w:r w:rsidR="007F179A">
              <w:rPr>
                <w:bCs/>
                <w:spacing w:val="4"/>
                <w:sz w:val="26"/>
                <w:szCs w:val="26"/>
                <w:lang w:val="de-DE"/>
              </w:rPr>
              <w:t xml:space="preserve"> </w:t>
            </w:r>
            <w:r w:rsidRPr="0006078F">
              <w:rPr>
                <w:bCs/>
                <w:spacing w:val="4"/>
                <w:sz w:val="26"/>
                <w:szCs w:val="26"/>
                <w:lang w:val="de-DE"/>
              </w:rPr>
              <w:t xml:space="preserve">tăng 9,2 điểm so với cùng kỳ năm 2014, đạt mức cao nhất trong 24 tháng qua. </w:t>
            </w:r>
          </w:p>
          <w:p w:rsidR="0006078F" w:rsidRDefault="0006078F" w:rsidP="0006078F">
            <w:pPr>
              <w:pStyle w:val="ListParagraph"/>
              <w:tabs>
                <w:tab w:val="left" w:pos="709"/>
                <w:tab w:val="left" w:pos="851"/>
              </w:tabs>
              <w:spacing w:before="120" w:line="312" w:lineRule="auto"/>
              <w:ind w:left="709" w:firstLine="0"/>
              <w:contextualSpacing w:val="0"/>
              <w:rPr>
                <w:b/>
                <w:bCs/>
                <w:i/>
                <w:spacing w:val="4"/>
                <w:sz w:val="26"/>
                <w:szCs w:val="26"/>
                <w:lang w:val="pl-PL"/>
              </w:rPr>
            </w:pPr>
          </w:p>
          <w:p w:rsidR="009E0010" w:rsidRPr="0006078F" w:rsidRDefault="0006078F" w:rsidP="00502BCD">
            <w:pPr>
              <w:pStyle w:val="ListParagraph"/>
              <w:tabs>
                <w:tab w:val="left" w:pos="318"/>
              </w:tabs>
              <w:spacing w:before="120" w:line="312" w:lineRule="auto"/>
              <w:ind w:left="34" w:firstLine="675"/>
              <w:contextualSpacing w:val="0"/>
              <w:rPr>
                <w:b/>
                <w:sz w:val="26"/>
                <w:szCs w:val="26"/>
                <w:lang w:val="pl-PL"/>
              </w:rPr>
            </w:pPr>
            <w:r w:rsidRPr="0006078F">
              <w:rPr>
                <w:b/>
                <w:bCs/>
                <w:i/>
                <w:spacing w:val="4"/>
                <w:sz w:val="26"/>
                <w:szCs w:val="26"/>
                <w:lang w:val="pl-PL"/>
              </w:rPr>
              <w:t>- Số doanh nghiệp thành lập mới trong tháng đầu năm</w:t>
            </w:r>
            <w:r w:rsidR="00711FA3">
              <w:rPr>
                <w:b/>
                <w:bCs/>
                <w:i/>
                <w:spacing w:val="4"/>
                <w:sz w:val="26"/>
                <w:szCs w:val="26"/>
                <w:lang w:val="pl-PL"/>
              </w:rPr>
              <w:t xml:space="preserve"> 2016</w:t>
            </w:r>
            <w:r w:rsidRPr="0006078F">
              <w:rPr>
                <w:b/>
                <w:bCs/>
                <w:i/>
                <w:spacing w:val="4"/>
                <w:sz w:val="26"/>
                <w:szCs w:val="26"/>
                <w:lang w:val="pl-PL"/>
              </w:rPr>
              <w:t xml:space="preserve"> tiếp tục tăng cả về chất và lượng.</w:t>
            </w:r>
            <w:r w:rsidRPr="0006078F">
              <w:rPr>
                <w:bCs/>
                <w:spacing w:val="4"/>
                <w:sz w:val="26"/>
                <w:szCs w:val="26"/>
                <w:lang w:val="pl-PL"/>
              </w:rPr>
              <w:t xml:space="preserve"> </w:t>
            </w:r>
            <w:r w:rsidRPr="0006078F">
              <w:rPr>
                <w:spacing w:val="2"/>
                <w:sz w:val="26"/>
                <w:szCs w:val="26"/>
                <w:lang w:val="pl-PL"/>
              </w:rPr>
              <w:t xml:space="preserve">Số doanh nghiệp thành lập mới trong </w:t>
            </w:r>
            <w:r w:rsidR="00502BCD">
              <w:rPr>
                <w:spacing w:val="2"/>
                <w:sz w:val="26"/>
                <w:szCs w:val="26"/>
                <w:lang w:val="pl-PL"/>
              </w:rPr>
              <w:t xml:space="preserve">tháng </w:t>
            </w:r>
            <w:r w:rsidRPr="0006078F">
              <w:rPr>
                <w:spacing w:val="2"/>
                <w:sz w:val="26"/>
                <w:szCs w:val="26"/>
                <w:lang w:val="pl-PL"/>
              </w:rPr>
              <w:t xml:space="preserve">1/2016 tăng 21,2% về lượng và 87% về vốn đăng ký so với cùng kỳ 2015. Số doanh nghiệp giải thể, chấm dứt hoạt động giảm 0,4% so với cùng kỳ năm 2015. </w:t>
            </w:r>
            <w:r w:rsidRPr="0006078F">
              <w:rPr>
                <w:rFonts w:eastAsiaTheme="minorHAnsi"/>
                <w:i/>
                <w:sz w:val="26"/>
                <w:szCs w:val="26"/>
                <w:lang w:val="nl-NL"/>
              </w:rPr>
              <w:t xml:space="preserve"> </w:t>
            </w:r>
          </w:p>
        </w:tc>
        <w:tc>
          <w:tcPr>
            <w:tcW w:w="4678" w:type="dxa"/>
          </w:tcPr>
          <w:p w:rsidR="009E0010" w:rsidRPr="0006078F" w:rsidRDefault="009E0010" w:rsidP="0006078F">
            <w:pPr>
              <w:spacing w:before="120" w:line="312" w:lineRule="auto"/>
              <w:ind w:firstLine="0"/>
              <w:jc w:val="center"/>
              <w:rPr>
                <w:b/>
                <w:sz w:val="24"/>
                <w:szCs w:val="26"/>
                <w:lang w:val="pl-PL"/>
              </w:rPr>
            </w:pPr>
            <w:r w:rsidRPr="0006078F">
              <w:rPr>
                <w:b/>
                <w:sz w:val="24"/>
                <w:szCs w:val="26"/>
                <w:lang w:val="pl-PL"/>
              </w:rPr>
              <w:t xml:space="preserve">Hình </w:t>
            </w:r>
            <w:r w:rsidR="001A74E7">
              <w:rPr>
                <w:b/>
                <w:sz w:val="24"/>
                <w:szCs w:val="26"/>
                <w:lang w:val="pl-PL"/>
              </w:rPr>
              <w:t>1</w:t>
            </w:r>
            <w:r w:rsidRPr="0006078F">
              <w:rPr>
                <w:b/>
                <w:sz w:val="24"/>
                <w:szCs w:val="26"/>
                <w:lang w:val="pl-PL"/>
              </w:rPr>
              <w:t>: Chỉ số PMI</w:t>
            </w:r>
            <w:r w:rsidR="00414644">
              <w:rPr>
                <w:b/>
                <w:sz w:val="24"/>
                <w:szCs w:val="26"/>
                <w:lang w:val="pl-PL"/>
              </w:rPr>
              <w:t>, 2015-2016</w:t>
            </w:r>
          </w:p>
          <w:p w:rsidR="009E0010" w:rsidRPr="0006078F" w:rsidRDefault="009E0010" w:rsidP="0006078F">
            <w:pPr>
              <w:spacing w:before="120" w:line="312" w:lineRule="auto"/>
              <w:ind w:firstLine="0"/>
              <w:jc w:val="center"/>
              <w:rPr>
                <w:b/>
                <w:sz w:val="24"/>
                <w:szCs w:val="26"/>
                <w:lang w:val="pl-PL"/>
              </w:rPr>
            </w:pPr>
            <w:r w:rsidRPr="0006078F">
              <w:rPr>
                <w:noProof/>
                <w:sz w:val="24"/>
                <w:szCs w:val="26"/>
              </w:rPr>
              <w:drawing>
                <wp:inline distT="0" distB="0" distL="0" distR="0">
                  <wp:extent cx="2703095" cy="1323474"/>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0010" w:rsidRPr="0006078F" w:rsidRDefault="009E0010" w:rsidP="0006078F">
            <w:pPr>
              <w:spacing w:before="120" w:line="312" w:lineRule="auto"/>
              <w:ind w:firstLine="0"/>
              <w:jc w:val="right"/>
              <w:rPr>
                <w:sz w:val="24"/>
                <w:szCs w:val="26"/>
                <w:lang w:val="pl-PL"/>
              </w:rPr>
            </w:pPr>
            <w:r w:rsidRPr="0006078F">
              <w:rPr>
                <w:i/>
                <w:sz w:val="24"/>
                <w:szCs w:val="26"/>
                <w:lang w:val="pl-PL"/>
              </w:rPr>
              <w:t>Nguồn</w:t>
            </w:r>
            <w:r w:rsidRPr="0006078F">
              <w:rPr>
                <w:sz w:val="24"/>
                <w:szCs w:val="26"/>
                <w:lang w:val="pl-PL"/>
              </w:rPr>
              <w:t>: HSBC</w:t>
            </w:r>
          </w:p>
          <w:p w:rsidR="009E0010" w:rsidRPr="0006078F" w:rsidRDefault="009E0010" w:rsidP="0006078F">
            <w:pPr>
              <w:spacing w:after="0" w:line="312" w:lineRule="auto"/>
              <w:ind w:firstLine="0"/>
              <w:jc w:val="center"/>
              <w:rPr>
                <w:b/>
                <w:sz w:val="24"/>
                <w:szCs w:val="26"/>
                <w:lang w:val="pl-PL"/>
              </w:rPr>
            </w:pPr>
            <w:r w:rsidRPr="0006078F">
              <w:rPr>
                <w:b/>
                <w:sz w:val="24"/>
                <w:szCs w:val="26"/>
                <w:lang w:val="pl-PL"/>
              </w:rPr>
              <w:t xml:space="preserve">Hình </w:t>
            </w:r>
            <w:r w:rsidR="001A74E7">
              <w:rPr>
                <w:b/>
                <w:sz w:val="24"/>
                <w:szCs w:val="26"/>
                <w:lang w:val="pl-PL"/>
              </w:rPr>
              <w:t>2</w:t>
            </w:r>
            <w:r w:rsidRPr="0006078F">
              <w:rPr>
                <w:b/>
                <w:sz w:val="24"/>
                <w:szCs w:val="26"/>
                <w:lang w:val="pl-PL"/>
              </w:rPr>
              <w:t>: Chỉ số niềm tin người tiêu dùng</w:t>
            </w:r>
            <w:r w:rsidR="00414644">
              <w:rPr>
                <w:b/>
                <w:sz w:val="24"/>
                <w:szCs w:val="26"/>
                <w:lang w:val="pl-PL"/>
              </w:rPr>
              <w:t>,</w:t>
            </w:r>
            <w:r w:rsidRPr="0006078F">
              <w:rPr>
                <w:b/>
                <w:sz w:val="24"/>
                <w:szCs w:val="26"/>
                <w:lang w:val="pl-PL"/>
              </w:rPr>
              <w:t xml:space="preserve"> 2014-2015</w:t>
            </w:r>
          </w:p>
          <w:p w:rsidR="0006078F" w:rsidRPr="0006078F" w:rsidRDefault="0006078F" w:rsidP="0006078F">
            <w:pPr>
              <w:spacing w:after="0" w:line="312" w:lineRule="auto"/>
              <w:ind w:firstLine="18"/>
              <w:jc w:val="center"/>
              <w:rPr>
                <w:b/>
                <w:bCs/>
                <w:spacing w:val="4"/>
                <w:sz w:val="24"/>
                <w:szCs w:val="26"/>
                <w:lang w:val="pl-PL"/>
              </w:rPr>
            </w:pPr>
            <w:r w:rsidRPr="0006078F">
              <w:rPr>
                <w:noProof/>
                <w:sz w:val="24"/>
                <w:szCs w:val="26"/>
              </w:rPr>
              <w:drawing>
                <wp:inline distT="0" distB="0" distL="0" distR="0">
                  <wp:extent cx="2734945" cy="115106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078F" w:rsidRPr="0006078F" w:rsidRDefault="0006078F" w:rsidP="0006078F">
            <w:pPr>
              <w:spacing w:after="0" w:line="312" w:lineRule="auto"/>
              <w:ind w:firstLine="18"/>
              <w:jc w:val="right"/>
              <w:rPr>
                <w:bCs/>
                <w:i/>
                <w:spacing w:val="4"/>
                <w:sz w:val="24"/>
                <w:szCs w:val="26"/>
                <w:lang w:val="pl-PL"/>
              </w:rPr>
            </w:pPr>
            <w:r w:rsidRPr="0006078F">
              <w:rPr>
                <w:bCs/>
                <w:i/>
                <w:spacing w:val="4"/>
                <w:sz w:val="24"/>
                <w:szCs w:val="26"/>
                <w:lang w:val="pl-PL"/>
              </w:rPr>
              <w:t>Nguồn: ANZ</w:t>
            </w:r>
          </w:p>
          <w:p w:rsidR="0006078F" w:rsidRPr="0006078F" w:rsidRDefault="0006078F" w:rsidP="0006078F">
            <w:pPr>
              <w:spacing w:before="120" w:line="312" w:lineRule="auto"/>
              <w:ind w:firstLine="0"/>
              <w:jc w:val="center"/>
              <w:rPr>
                <w:b/>
                <w:sz w:val="24"/>
                <w:szCs w:val="26"/>
                <w:lang w:val="pl-PL"/>
              </w:rPr>
            </w:pPr>
            <w:r w:rsidRPr="0006078F">
              <w:rPr>
                <w:b/>
                <w:sz w:val="24"/>
                <w:szCs w:val="26"/>
                <w:lang w:val="pl-PL"/>
              </w:rPr>
              <w:t xml:space="preserve">Hình </w:t>
            </w:r>
            <w:r w:rsidR="001A74E7">
              <w:rPr>
                <w:b/>
                <w:sz w:val="24"/>
                <w:szCs w:val="26"/>
                <w:lang w:val="pl-PL"/>
              </w:rPr>
              <w:t>3</w:t>
            </w:r>
            <w:r w:rsidRPr="0006078F">
              <w:rPr>
                <w:b/>
                <w:sz w:val="24"/>
                <w:szCs w:val="26"/>
                <w:lang w:val="pl-PL"/>
              </w:rPr>
              <w:t>: Số doanh nghiệp thành lập mới và giải thể</w:t>
            </w:r>
            <w:r w:rsidR="00414644">
              <w:rPr>
                <w:b/>
                <w:sz w:val="24"/>
                <w:szCs w:val="26"/>
                <w:lang w:val="pl-PL"/>
              </w:rPr>
              <w:t>,</w:t>
            </w:r>
            <w:r w:rsidRPr="0006078F">
              <w:rPr>
                <w:b/>
                <w:sz w:val="24"/>
                <w:szCs w:val="26"/>
                <w:lang w:val="pl-PL"/>
              </w:rPr>
              <w:t xml:space="preserve"> </w:t>
            </w:r>
            <w:r>
              <w:rPr>
                <w:b/>
                <w:sz w:val="24"/>
                <w:szCs w:val="26"/>
                <w:lang w:val="pl-PL"/>
              </w:rPr>
              <w:t>T1/</w:t>
            </w:r>
            <w:r w:rsidRPr="0006078F">
              <w:rPr>
                <w:b/>
                <w:sz w:val="24"/>
                <w:szCs w:val="26"/>
                <w:lang w:val="pl-PL"/>
              </w:rPr>
              <w:t>2013-</w:t>
            </w:r>
            <w:r>
              <w:rPr>
                <w:b/>
                <w:sz w:val="24"/>
                <w:szCs w:val="26"/>
                <w:lang w:val="pl-PL"/>
              </w:rPr>
              <w:t xml:space="preserve"> T1/2016</w:t>
            </w:r>
          </w:p>
          <w:p w:rsidR="0006078F" w:rsidRPr="0006078F" w:rsidRDefault="0006078F" w:rsidP="00414644">
            <w:pPr>
              <w:spacing w:before="120"/>
              <w:ind w:firstLine="0"/>
              <w:jc w:val="center"/>
              <w:rPr>
                <w:sz w:val="24"/>
                <w:szCs w:val="26"/>
              </w:rPr>
            </w:pPr>
            <w:r w:rsidRPr="0006078F">
              <w:rPr>
                <w:noProof/>
                <w:sz w:val="24"/>
                <w:szCs w:val="26"/>
              </w:rPr>
              <w:drawing>
                <wp:inline distT="0" distB="0" distL="0" distR="0">
                  <wp:extent cx="2695074" cy="128336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010" w:rsidRPr="0006078F" w:rsidRDefault="0006078F" w:rsidP="0006078F">
            <w:pPr>
              <w:spacing w:before="120" w:line="312" w:lineRule="auto"/>
              <w:ind w:firstLine="0"/>
              <w:jc w:val="right"/>
              <w:rPr>
                <w:sz w:val="24"/>
                <w:szCs w:val="26"/>
              </w:rPr>
            </w:pPr>
            <w:r w:rsidRPr="0006078F">
              <w:rPr>
                <w:i/>
                <w:sz w:val="24"/>
                <w:szCs w:val="26"/>
              </w:rPr>
              <w:t>Nguồn</w:t>
            </w:r>
            <w:r w:rsidRPr="0006078F">
              <w:rPr>
                <w:sz w:val="24"/>
                <w:szCs w:val="26"/>
              </w:rPr>
              <w:t>: TCTK</w:t>
            </w:r>
          </w:p>
        </w:tc>
      </w:tr>
    </w:tbl>
    <w:p w:rsidR="008F4E6E" w:rsidRPr="0006078F" w:rsidRDefault="00CF408F" w:rsidP="00282596">
      <w:pPr>
        <w:pStyle w:val="ListParagraph"/>
        <w:numPr>
          <w:ilvl w:val="0"/>
          <w:numId w:val="27"/>
        </w:numPr>
        <w:spacing w:before="120" w:after="0" w:line="312" w:lineRule="auto"/>
        <w:ind w:left="0" w:firstLine="0"/>
        <w:contextualSpacing w:val="0"/>
        <w:rPr>
          <w:sz w:val="26"/>
          <w:szCs w:val="26"/>
          <w:lang w:val="pl-PL"/>
        </w:rPr>
      </w:pPr>
      <w:r w:rsidRPr="0006078F">
        <w:rPr>
          <w:i/>
          <w:sz w:val="26"/>
          <w:szCs w:val="26"/>
          <w:lang w:val="pl-PL"/>
        </w:rPr>
        <w:lastRenderedPageBreak/>
        <w:t xml:space="preserve"> </w:t>
      </w:r>
      <w:r w:rsidR="008F4E6E" w:rsidRPr="00282596">
        <w:rPr>
          <w:b/>
          <w:i/>
          <w:sz w:val="26"/>
          <w:szCs w:val="26"/>
          <w:lang w:val="pl-PL"/>
        </w:rPr>
        <w:t xml:space="preserve">Thị trường cổ phiếu </w:t>
      </w:r>
      <w:r w:rsidR="00282596">
        <w:rPr>
          <w:b/>
          <w:i/>
          <w:sz w:val="26"/>
          <w:szCs w:val="26"/>
          <w:lang w:val="pl-PL"/>
        </w:rPr>
        <w:t>tháng 2</w:t>
      </w:r>
      <w:r w:rsidR="00674EAD">
        <w:rPr>
          <w:b/>
          <w:i/>
          <w:sz w:val="26"/>
          <w:szCs w:val="26"/>
          <w:lang w:val="pl-PL"/>
        </w:rPr>
        <w:t>/2016</w:t>
      </w:r>
      <w:r w:rsidR="00282596">
        <w:rPr>
          <w:b/>
          <w:i/>
          <w:sz w:val="26"/>
          <w:szCs w:val="26"/>
          <w:lang w:val="pl-PL"/>
        </w:rPr>
        <w:t xml:space="preserve"> </w:t>
      </w:r>
      <w:r w:rsidR="008F4E6E" w:rsidRPr="00282596">
        <w:rPr>
          <w:b/>
          <w:i/>
          <w:sz w:val="26"/>
          <w:szCs w:val="26"/>
          <w:lang w:val="pl-PL"/>
        </w:rPr>
        <w:t xml:space="preserve">có xu hướng phục hồi nhẹ nhờ kết quả kinh doanh tích cực </w:t>
      </w:r>
      <w:r w:rsidR="00282596">
        <w:rPr>
          <w:b/>
          <w:i/>
          <w:sz w:val="26"/>
          <w:szCs w:val="26"/>
          <w:lang w:val="pl-PL"/>
        </w:rPr>
        <w:t xml:space="preserve">trong </w:t>
      </w:r>
      <w:r w:rsidR="008F4E6E" w:rsidRPr="00282596">
        <w:rPr>
          <w:b/>
          <w:i/>
          <w:sz w:val="26"/>
          <w:szCs w:val="26"/>
          <w:lang w:val="pl-PL"/>
        </w:rPr>
        <w:t>năm 2015 của nhiều doanh nghiệp niêm yết</w:t>
      </w:r>
      <w:r w:rsidR="008F4E6E" w:rsidRPr="0006078F">
        <w:rPr>
          <w:sz w:val="26"/>
          <w:szCs w:val="26"/>
          <w:lang w:val="pl-PL"/>
        </w:rPr>
        <w:t xml:space="preserve">.  Xu hướng bán ròng của nhà đầu tư nước ngoài đã có dấu hiệu giảm rõ nét. Tính từ đầu tháng 2, khối ngoại chỉ bán ròng 191 tỷ đồng giá trị cổ phiếu niêm yết. Rủi ro rút vốn của khối ngoại </w:t>
      </w:r>
      <w:r w:rsidR="00711FA3">
        <w:rPr>
          <w:sz w:val="26"/>
          <w:szCs w:val="26"/>
          <w:lang w:val="pl-PL"/>
        </w:rPr>
        <w:t xml:space="preserve">thấp </w:t>
      </w:r>
      <w:r w:rsidR="008F4E6E" w:rsidRPr="0006078F">
        <w:rPr>
          <w:sz w:val="26"/>
          <w:szCs w:val="26"/>
          <w:lang w:val="pl-PL"/>
        </w:rPr>
        <w:t xml:space="preserve">và chỉ mang tính thời điểm. </w:t>
      </w:r>
      <w:r w:rsidR="00C8497C">
        <w:rPr>
          <w:sz w:val="26"/>
          <w:szCs w:val="26"/>
          <w:lang w:val="pl-PL"/>
        </w:rPr>
        <w:t>Phân tích cho tháy n</w:t>
      </w:r>
      <w:r w:rsidR="008F4E6E" w:rsidRPr="0006078F">
        <w:rPr>
          <w:sz w:val="26"/>
          <w:szCs w:val="26"/>
          <w:lang w:val="pl-PL"/>
        </w:rPr>
        <w:t>hững dòng vốn đầu tư trung dài hạn vẫn chiếm tỷ trọng chủ đạo và các cơ hội đầu tư dài hạn trên thị trường Việt Nam là hấp dẫn.</w:t>
      </w:r>
    </w:p>
    <w:tbl>
      <w:tblPr>
        <w:tblW w:w="0" w:type="auto"/>
        <w:tblLook w:val="04A0"/>
      </w:tblPr>
      <w:tblGrid>
        <w:gridCol w:w="9571"/>
      </w:tblGrid>
      <w:tr w:rsidR="008F4E6E" w:rsidTr="008F4E6E">
        <w:tc>
          <w:tcPr>
            <w:tcW w:w="9576"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8F4E6E" w:rsidRPr="008F4E6E" w:rsidTr="007F179A">
              <w:tc>
                <w:tcPr>
                  <w:tcW w:w="9355" w:type="dxa"/>
                  <w:hideMark/>
                </w:tcPr>
                <w:p w:rsidR="008F4E6E" w:rsidRDefault="008F4E6E" w:rsidP="008F4E6E">
                  <w:pPr>
                    <w:tabs>
                      <w:tab w:val="left" w:pos="2160"/>
                    </w:tabs>
                    <w:spacing w:before="120"/>
                    <w:ind w:firstLine="59"/>
                    <w:jc w:val="center"/>
                    <w:rPr>
                      <w:i/>
                      <w:lang w:val="pl-PL"/>
                    </w:rPr>
                  </w:pPr>
                  <w:r w:rsidRPr="008F4E6E">
                    <w:rPr>
                      <w:b/>
                      <w:sz w:val="24"/>
                      <w:lang w:val="pl-PL"/>
                    </w:rPr>
                    <w:t>Hình</w:t>
                  </w:r>
                  <w:r w:rsidR="0006078F">
                    <w:rPr>
                      <w:b/>
                      <w:sz w:val="24"/>
                      <w:lang w:val="pl-PL"/>
                    </w:rPr>
                    <w:t xml:space="preserve"> </w:t>
                  </w:r>
                  <w:r w:rsidR="001A74E7">
                    <w:rPr>
                      <w:b/>
                      <w:sz w:val="24"/>
                      <w:lang w:val="pl-PL"/>
                    </w:rPr>
                    <w:t>4</w:t>
                  </w:r>
                  <w:r w:rsidRPr="008F4E6E">
                    <w:rPr>
                      <w:b/>
                      <w:sz w:val="24"/>
                      <w:lang w:val="pl-PL"/>
                    </w:rPr>
                    <w:t>: Mua/bán ròng của khối ngoại trên thị trường cổ phiếu niêm yết theo tháng</w:t>
                  </w:r>
                  <w:r w:rsidRPr="008F4E6E">
                    <w:rPr>
                      <w:i/>
                      <w:lang w:val="pl-PL"/>
                    </w:rPr>
                    <w:t xml:space="preserve">                                                                                       </w:t>
                  </w:r>
                </w:p>
                <w:p w:rsidR="008F4E6E" w:rsidRPr="008F4E6E" w:rsidRDefault="008F4E6E" w:rsidP="008F4E6E">
                  <w:pPr>
                    <w:tabs>
                      <w:tab w:val="left" w:pos="2160"/>
                    </w:tabs>
                    <w:spacing w:before="120"/>
                    <w:ind w:firstLine="59"/>
                    <w:jc w:val="right"/>
                    <w:rPr>
                      <w:i/>
                      <w:sz w:val="22"/>
                      <w:szCs w:val="22"/>
                      <w:lang w:val="pl-PL"/>
                    </w:rPr>
                  </w:pPr>
                  <w:r w:rsidRPr="008F4E6E">
                    <w:rPr>
                      <w:i/>
                      <w:sz w:val="24"/>
                      <w:lang w:val="pl-PL"/>
                    </w:rPr>
                    <w:t>Đơn vị: tỷ đồng</w:t>
                  </w:r>
                </w:p>
              </w:tc>
            </w:tr>
            <w:tr w:rsidR="008F4E6E" w:rsidTr="007F179A">
              <w:trPr>
                <w:trHeight w:val="2809"/>
              </w:trPr>
              <w:tc>
                <w:tcPr>
                  <w:tcW w:w="9355" w:type="dxa"/>
                  <w:hideMark/>
                </w:tcPr>
                <w:p w:rsidR="008F4E6E" w:rsidRDefault="008F4E6E">
                  <w:pPr>
                    <w:spacing w:before="120"/>
                    <w:jc w:val="center"/>
                    <w:rPr>
                      <w:b/>
                      <w:sz w:val="22"/>
                      <w:szCs w:val="22"/>
                    </w:rPr>
                  </w:pPr>
                  <w:r>
                    <w:rPr>
                      <w:b/>
                      <w:noProof/>
                    </w:rPr>
                    <w:drawing>
                      <wp:inline distT="0" distB="0" distL="0" distR="0">
                        <wp:extent cx="5260489" cy="176425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8F4E6E" w:rsidRDefault="008F4E6E">
            <w:pPr>
              <w:spacing w:after="0"/>
              <w:rPr>
                <w:b/>
                <w:sz w:val="24"/>
              </w:rPr>
            </w:pPr>
          </w:p>
        </w:tc>
      </w:tr>
    </w:tbl>
    <w:p w:rsidR="008F4E6E" w:rsidRDefault="008F4E6E" w:rsidP="008F4E6E">
      <w:pPr>
        <w:spacing w:before="120"/>
        <w:ind w:firstLine="684"/>
        <w:jc w:val="right"/>
        <w:rPr>
          <w:i/>
          <w:sz w:val="24"/>
        </w:rPr>
      </w:pPr>
      <w:r w:rsidRPr="008F4E6E">
        <w:rPr>
          <w:i/>
          <w:sz w:val="24"/>
        </w:rPr>
        <w:t xml:space="preserve">                                                               Nguồn: HNX, HSX</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0"/>
        <w:gridCol w:w="4657"/>
      </w:tblGrid>
      <w:tr w:rsidR="00FC6CBF" w:rsidTr="00FC6CBF">
        <w:tc>
          <w:tcPr>
            <w:tcW w:w="5211" w:type="dxa"/>
          </w:tcPr>
          <w:p w:rsidR="00FC6CBF" w:rsidRPr="00FC6CBF" w:rsidRDefault="0095772F" w:rsidP="006447A6">
            <w:pPr>
              <w:pStyle w:val="ListParagraph"/>
              <w:numPr>
                <w:ilvl w:val="0"/>
                <w:numId w:val="26"/>
              </w:numPr>
              <w:tabs>
                <w:tab w:val="left" w:pos="720"/>
              </w:tabs>
              <w:spacing w:before="120" w:line="312" w:lineRule="auto"/>
              <w:ind w:left="0" w:firstLine="0"/>
              <w:rPr>
                <w:sz w:val="26"/>
                <w:szCs w:val="26"/>
                <w:lang w:val="de-DE"/>
              </w:rPr>
            </w:pPr>
            <w:r w:rsidRPr="00282596">
              <w:rPr>
                <w:b/>
                <w:i/>
                <w:sz w:val="26"/>
                <w:szCs w:val="26"/>
                <w:lang w:val="vi-VN"/>
              </w:rPr>
              <w:t xml:space="preserve">Khối lượng phát hành TPCP tháng 2/2016 </w:t>
            </w:r>
            <w:r w:rsidR="000B0552">
              <w:rPr>
                <w:b/>
                <w:i/>
                <w:sz w:val="26"/>
                <w:szCs w:val="26"/>
              </w:rPr>
              <w:t>tăng</w:t>
            </w:r>
            <w:r w:rsidRPr="00282596">
              <w:rPr>
                <w:b/>
                <w:i/>
                <w:sz w:val="26"/>
                <w:szCs w:val="26"/>
                <w:lang w:val="vi-VN"/>
              </w:rPr>
              <w:t xml:space="preserve"> so với tháng trước</w:t>
            </w:r>
            <w:r w:rsidRPr="00282596">
              <w:rPr>
                <w:rStyle w:val="FootnoteReference"/>
                <w:b/>
                <w:i/>
                <w:sz w:val="26"/>
                <w:szCs w:val="26"/>
                <w:lang w:val="vi-VN"/>
              </w:rPr>
              <w:footnoteReference w:id="7"/>
            </w:r>
            <w:r w:rsidR="000B0552">
              <w:rPr>
                <w:b/>
                <w:i/>
                <w:sz w:val="26"/>
                <w:szCs w:val="26"/>
              </w:rPr>
              <w:t>,</w:t>
            </w:r>
            <w:r w:rsidRPr="00282596">
              <w:rPr>
                <w:b/>
                <w:i/>
                <w:sz w:val="26"/>
                <w:szCs w:val="26"/>
                <w:lang w:val="de-DE"/>
              </w:rPr>
              <w:t xml:space="preserve"> tỷ lệ phát hành </w:t>
            </w:r>
            <w:r w:rsidR="000B0552">
              <w:rPr>
                <w:b/>
                <w:i/>
                <w:sz w:val="26"/>
                <w:szCs w:val="26"/>
                <w:lang w:val="de-DE"/>
              </w:rPr>
              <w:t xml:space="preserve">thành công TPCP đạt mức cao </w:t>
            </w:r>
            <w:r>
              <w:rPr>
                <w:sz w:val="26"/>
                <w:szCs w:val="26"/>
                <w:lang w:val="de-DE"/>
              </w:rPr>
              <w:t xml:space="preserve">(tháng 2 đạt </w:t>
            </w:r>
            <w:r w:rsidR="000B0552">
              <w:rPr>
                <w:sz w:val="26"/>
                <w:szCs w:val="26"/>
                <w:lang w:val="de-DE"/>
              </w:rPr>
              <w:t>96,6</w:t>
            </w:r>
            <w:r w:rsidRPr="00FC6CBF">
              <w:rPr>
                <w:sz w:val="26"/>
                <w:szCs w:val="26"/>
                <w:lang w:val="de-DE"/>
              </w:rPr>
              <w:t xml:space="preserve">%, </w:t>
            </w:r>
            <w:r>
              <w:rPr>
                <w:sz w:val="26"/>
                <w:szCs w:val="26"/>
                <w:lang w:val="de-DE"/>
              </w:rPr>
              <w:t xml:space="preserve">tháng 1 đạt </w:t>
            </w:r>
            <w:r w:rsidRPr="00FC6CBF">
              <w:rPr>
                <w:sz w:val="26"/>
                <w:szCs w:val="26"/>
                <w:lang w:val="de-DE"/>
              </w:rPr>
              <w:t>65,6%)</w:t>
            </w:r>
            <w:r>
              <w:rPr>
                <w:rStyle w:val="FootnoteReference"/>
                <w:sz w:val="26"/>
                <w:szCs w:val="26"/>
                <w:lang w:val="de-DE"/>
              </w:rPr>
              <w:footnoteReference w:id="8"/>
            </w:r>
            <w:r w:rsidRPr="00FC6CBF">
              <w:rPr>
                <w:sz w:val="26"/>
                <w:szCs w:val="26"/>
                <w:lang w:val="de-DE"/>
              </w:rPr>
              <w:t>.</w:t>
            </w:r>
            <w:r>
              <w:rPr>
                <w:sz w:val="26"/>
                <w:szCs w:val="26"/>
                <w:lang w:val="de-DE"/>
              </w:rPr>
              <w:t xml:space="preserve"> </w:t>
            </w:r>
            <w:r w:rsidR="006447A6">
              <w:rPr>
                <w:sz w:val="26"/>
                <w:szCs w:val="26"/>
                <w:lang w:val="de-DE"/>
              </w:rPr>
              <w:t>Tỷ lệ phát hành thành công vẫn tập trung</w:t>
            </w:r>
            <w:r w:rsidR="00AA4A3D">
              <w:rPr>
                <w:sz w:val="26"/>
                <w:szCs w:val="26"/>
                <w:lang w:val="de-DE"/>
              </w:rPr>
              <w:t xml:space="preserve"> chủ yếu</w:t>
            </w:r>
            <w:r w:rsidR="006447A6">
              <w:rPr>
                <w:sz w:val="26"/>
                <w:szCs w:val="26"/>
                <w:lang w:val="de-DE"/>
              </w:rPr>
              <w:t xml:space="preserve"> vào TPCP kỳ hạn 5 năm</w:t>
            </w:r>
            <w:r w:rsidR="00F82768">
              <w:rPr>
                <w:sz w:val="26"/>
                <w:szCs w:val="26"/>
                <w:lang w:val="de-DE"/>
              </w:rPr>
              <w:t>, chiếm 85%</w:t>
            </w:r>
            <w:r w:rsidR="0098645F">
              <w:rPr>
                <w:rFonts w:eastAsiaTheme="minorHAnsi"/>
                <w:sz w:val="26"/>
                <w:szCs w:val="26"/>
                <w:lang w:val="sv-SE"/>
              </w:rPr>
              <w:t>.</w:t>
            </w:r>
            <w:r w:rsidR="00F82768">
              <w:rPr>
                <w:rFonts w:eastAsiaTheme="minorHAnsi"/>
                <w:sz w:val="26"/>
                <w:szCs w:val="26"/>
                <w:lang w:val="sv-SE"/>
              </w:rPr>
              <w:t xml:space="preserve"> </w:t>
            </w:r>
            <w:r w:rsidR="001A5DED">
              <w:rPr>
                <w:sz w:val="26"/>
                <w:szCs w:val="26"/>
                <w:lang w:val="de-DE"/>
              </w:rPr>
              <w:t>T</w:t>
            </w:r>
            <w:r w:rsidRPr="00FC6CBF">
              <w:rPr>
                <w:sz w:val="26"/>
                <w:szCs w:val="26"/>
                <w:lang w:val="de-DE"/>
              </w:rPr>
              <w:t xml:space="preserve">ính lũy kế 2 tháng đầu năm 2016, tổng khối lượng phát hành TPCP </w:t>
            </w:r>
            <w:r w:rsidR="009B4CDB">
              <w:rPr>
                <w:sz w:val="26"/>
                <w:szCs w:val="26"/>
                <w:lang w:val="de-DE"/>
              </w:rPr>
              <w:t>đạt</w:t>
            </w:r>
            <w:r w:rsidR="000B0552">
              <w:rPr>
                <w:sz w:val="26"/>
                <w:szCs w:val="26"/>
                <w:lang w:val="de-DE"/>
              </w:rPr>
              <w:t xml:space="preserve"> </w:t>
            </w:r>
            <w:r w:rsidR="00862E6F" w:rsidRPr="00862E6F">
              <w:rPr>
                <w:sz w:val="26"/>
                <w:szCs w:val="26"/>
                <w:lang w:val="de-DE"/>
              </w:rPr>
              <w:t>52.1</w:t>
            </w:r>
            <w:r w:rsidR="000B0552" w:rsidRPr="00862E6F">
              <w:rPr>
                <w:sz w:val="26"/>
                <w:szCs w:val="26"/>
                <w:lang w:val="de-DE"/>
              </w:rPr>
              <w:t xml:space="preserve">19 </w:t>
            </w:r>
            <w:r w:rsidR="00862E6F">
              <w:rPr>
                <w:sz w:val="26"/>
                <w:szCs w:val="26"/>
                <w:lang w:val="de-DE"/>
              </w:rPr>
              <w:t>tỷ đồng, đạt 68,5</w:t>
            </w:r>
            <w:bookmarkStart w:id="0" w:name="_GoBack"/>
            <w:bookmarkEnd w:id="0"/>
            <w:r w:rsidR="000B0552">
              <w:rPr>
                <w:sz w:val="26"/>
                <w:szCs w:val="26"/>
                <w:lang w:val="de-DE"/>
              </w:rPr>
              <w:t>% kế hoạch quý I và bằng 23</w:t>
            </w:r>
            <w:r w:rsidRPr="00FC6CBF">
              <w:rPr>
                <w:sz w:val="26"/>
                <w:szCs w:val="26"/>
                <w:lang w:val="de-DE"/>
              </w:rPr>
              <w:t>% kế hoạch năm.</w:t>
            </w:r>
          </w:p>
        </w:tc>
        <w:tc>
          <w:tcPr>
            <w:tcW w:w="4536" w:type="dxa"/>
          </w:tcPr>
          <w:p w:rsidR="00502BCD" w:rsidRPr="000B0552" w:rsidRDefault="00502BCD" w:rsidP="00FC6CBF">
            <w:pPr>
              <w:ind w:firstLine="6"/>
              <w:jc w:val="center"/>
              <w:rPr>
                <w:b/>
                <w:sz w:val="12"/>
                <w:szCs w:val="26"/>
                <w:lang w:val="sv-SE"/>
              </w:rPr>
            </w:pPr>
          </w:p>
          <w:p w:rsidR="00FC6CBF" w:rsidRPr="00862E6F" w:rsidRDefault="008F4E6E" w:rsidP="00FC6CBF">
            <w:pPr>
              <w:ind w:firstLine="6"/>
              <w:jc w:val="center"/>
              <w:rPr>
                <w:b/>
                <w:sz w:val="24"/>
                <w:szCs w:val="26"/>
                <w:lang w:val="sv-SE"/>
              </w:rPr>
            </w:pPr>
            <w:r>
              <w:rPr>
                <w:b/>
                <w:sz w:val="24"/>
                <w:szCs w:val="26"/>
                <w:lang w:val="vi-VN"/>
              </w:rPr>
              <w:t xml:space="preserve">Hình </w:t>
            </w:r>
            <w:r w:rsidR="001A74E7" w:rsidRPr="00307EA4">
              <w:rPr>
                <w:b/>
                <w:sz w:val="24"/>
                <w:szCs w:val="26"/>
                <w:lang w:val="de-DE"/>
              </w:rPr>
              <w:t>5</w:t>
            </w:r>
            <w:r w:rsidR="00FC6CBF" w:rsidRPr="00FC6CBF">
              <w:rPr>
                <w:b/>
                <w:sz w:val="24"/>
                <w:szCs w:val="26"/>
                <w:lang w:val="vi-VN"/>
              </w:rPr>
              <w:t>:</w:t>
            </w:r>
            <w:r w:rsidR="00FC6CBF" w:rsidRPr="00FC6CBF">
              <w:rPr>
                <w:sz w:val="24"/>
                <w:szCs w:val="26"/>
                <w:lang w:val="vi-VN"/>
              </w:rPr>
              <w:t xml:space="preserve"> </w:t>
            </w:r>
            <w:r w:rsidR="00FC6CBF" w:rsidRPr="00FC6CBF">
              <w:rPr>
                <w:b/>
                <w:sz w:val="24"/>
                <w:szCs w:val="26"/>
                <w:lang w:val="vi-VN"/>
              </w:rPr>
              <w:t>Tỷ lệ trúng thầu/gọi thầu TPCP</w:t>
            </w:r>
            <w:r w:rsidR="00FC39E5" w:rsidRPr="00CB443A">
              <w:rPr>
                <w:b/>
                <w:sz w:val="24"/>
                <w:szCs w:val="26"/>
                <w:lang w:val="de-DE"/>
              </w:rPr>
              <w:t>, 2015-2016</w:t>
            </w:r>
            <w:r w:rsidR="00FC6CBF" w:rsidRPr="00FC6CBF">
              <w:rPr>
                <w:b/>
                <w:sz w:val="24"/>
                <w:szCs w:val="26"/>
                <w:lang w:val="vi-VN"/>
              </w:rPr>
              <w:t xml:space="preserve"> (%)</w:t>
            </w:r>
          </w:p>
          <w:p w:rsidR="00C05A1A" w:rsidRPr="00C05A1A" w:rsidRDefault="00C05A1A" w:rsidP="00FC6CBF">
            <w:pPr>
              <w:ind w:firstLine="6"/>
              <w:jc w:val="center"/>
              <w:rPr>
                <w:sz w:val="24"/>
                <w:szCs w:val="26"/>
              </w:rPr>
            </w:pPr>
            <w:r>
              <w:rPr>
                <w:noProof/>
              </w:rPr>
              <w:drawing>
                <wp:inline distT="0" distB="0" distL="0" distR="0">
                  <wp:extent cx="2815390" cy="1788695"/>
                  <wp:effectExtent l="0" t="0" r="444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CBF" w:rsidRPr="00FC6CBF" w:rsidRDefault="00FC6CBF" w:rsidP="00E80F63">
            <w:pPr>
              <w:spacing w:after="0"/>
              <w:ind w:firstLine="0"/>
              <w:jc w:val="right"/>
              <w:rPr>
                <w:b/>
                <w:sz w:val="24"/>
                <w:szCs w:val="26"/>
              </w:rPr>
            </w:pPr>
            <w:r w:rsidRPr="00FC6CBF">
              <w:rPr>
                <w:i/>
                <w:sz w:val="24"/>
                <w:szCs w:val="26"/>
                <w:lang w:val="vi-VN"/>
              </w:rPr>
              <w:t xml:space="preserve">Nguồn: </w:t>
            </w:r>
            <w:r w:rsidRPr="00FC6CBF">
              <w:rPr>
                <w:i/>
                <w:sz w:val="24"/>
                <w:szCs w:val="26"/>
              </w:rPr>
              <w:t xml:space="preserve">HNX, </w:t>
            </w:r>
            <w:r w:rsidR="00282596">
              <w:rPr>
                <w:i/>
                <w:sz w:val="24"/>
                <w:szCs w:val="26"/>
              </w:rPr>
              <w:t xml:space="preserve">UBGSTCQG </w:t>
            </w:r>
            <w:r w:rsidRPr="00FC6CBF">
              <w:rPr>
                <w:i/>
                <w:sz w:val="24"/>
                <w:szCs w:val="26"/>
              </w:rPr>
              <w:t>tổng hợp</w:t>
            </w:r>
          </w:p>
          <w:p w:rsidR="00FC6CBF" w:rsidRPr="00FC6CBF" w:rsidRDefault="00FC6CBF" w:rsidP="00CF408F">
            <w:pPr>
              <w:spacing w:before="120"/>
              <w:ind w:firstLine="0"/>
              <w:rPr>
                <w:sz w:val="24"/>
                <w:szCs w:val="26"/>
                <w:lang w:val="pl-PL"/>
              </w:rPr>
            </w:pPr>
          </w:p>
        </w:tc>
      </w:tr>
    </w:tbl>
    <w:p w:rsidR="00BC5190" w:rsidRPr="005C6A26" w:rsidRDefault="00556FC1">
      <w:pPr>
        <w:spacing w:before="240" w:after="100"/>
        <w:ind w:left="3261" w:firstLine="0"/>
        <w:jc w:val="right"/>
        <w:rPr>
          <w:b/>
          <w:sz w:val="26"/>
          <w:szCs w:val="26"/>
          <w:lang w:val="nl-NL"/>
        </w:rPr>
      </w:pPr>
      <w:r w:rsidRPr="005C6A26">
        <w:rPr>
          <w:b/>
          <w:sz w:val="26"/>
          <w:szCs w:val="26"/>
          <w:lang w:val="nl-NL"/>
        </w:rPr>
        <w:t>ỦY</w:t>
      </w:r>
      <w:r w:rsidR="00B50EE3" w:rsidRPr="005C6A26">
        <w:rPr>
          <w:b/>
          <w:sz w:val="26"/>
          <w:szCs w:val="26"/>
          <w:lang w:val="nl-NL"/>
        </w:rPr>
        <w:t xml:space="preserve"> BAN GIÁM SÁT TÀI </w:t>
      </w:r>
      <w:r w:rsidR="00F727DF" w:rsidRPr="005C6A26">
        <w:rPr>
          <w:b/>
          <w:sz w:val="26"/>
          <w:szCs w:val="26"/>
          <w:lang w:val="nl-NL"/>
        </w:rPr>
        <w:t>CHÍNH QUỐC GIA</w:t>
      </w:r>
    </w:p>
    <w:sectPr w:rsidR="00BC5190" w:rsidRPr="005C6A26" w:rsidSect="00C160D1">
      <w:footerReference w:type="default" r:id="rId13"/>
      <w:pgSz w:w="11907" w:h="16839" w:code="9"/>
      <w:pgMar w:top="1134" w:right="1134" w:bottom="1134" w:left="1418" w:header="68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58" w:rsidRDefault="00F65958" w:rsidP="00D118DD">
      <w:pPr>
        <w:spacing w:after="0"/>
      </w:pPr>
      <w:r>
        <w:separator/>
      </w:r>
    </w:p>
  </w:endnote>
  <w:endnote w:type="continuationSeparator" w:id="0">
    <w:p w:rsidR="00F65958" w:rsidRDefault="00F65958"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32142F" w:rsidRDefault="000148A0">
        <w:pPr>
          <w:pStyle w:val="Footer"/>
          <w:jc w:val="right"/>
        </w:pPr>
        <w:r>
          <w:fldChar w:fldCharType="begin"/>
        </w:r>
        <w:r w:rsidR="004E467E">
          <w:instrText xml:space="preserve"> PAGE   \* MERGEFORMAT </w:instrText>
        </w:r>
        <w:r>
          <w:fldChar w:fldCharType="separate"/>
        </w:r>
        <w:r w:rsidR="00C42E93">
          <w:rPr>
            <w:noProof/>
          </w:rPr>
          <w:t>6</w:t>
        </w:r>
        <w:r>
          <w:rPr>
            <w:noProof/>
          </w:rPr>
          <w:fldChar w:fldCharType="end"/>
        </w:r>
      </w:p>
    </w:sdtContent>
  </w:sdt>
  <w:p w:rsidR="0032142F" w:rsidRDefault="00321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58" w:rsidRDefault="00F65958" w:rsidP="00D118DD">
      <w:pPr>
        <w:spacing w:after="0"/>
      </w:pPr>
      <w:r>
        <w:separator/>
      </w:r>
    </w:p>
  </w:footnote>
  <w:footnote w:type="continuationSeparator" w:id="0">
    <w:p w:rsidR="00F65958" w:rsidRDefault="00F65958" w:rsidP="00D118DD">
      <w:pPr>
        <w:spacing w:after="0"/>
      </w:pPr>
      <w:r>
        <w:continuationSeparator/>
      </w:r>
    </w:p>
  </w:footnote>
  <w:footnote w:id="1">
    <w:p w:rsidR="00AE031F" w:rsidRPr="00546DC5" w:rsidRDefault="00AE031F" w:rsidP="00AE031F">
      <w:pPr>
        <w:pStyle w:val="FootnoteText"/>
        <w:spacing w:after="0"/>
        <w:ind w:firstLine="0"/>
        <w:rPr>
          <w:lang w:val="nl-NL"/>
        </w:rPr>
      </w:pPr>
      <w:r w:rsidRPr="008A3A30">
        <w:rPr>
          <w:rStyle w:val="FootnoteReference"/>
        </w:rPr>
        <w:footnoteRef/>
      </w:r>
      <w:r w:rsidRPr="00546DC5">
        <w:rPr>
          <w:lang w:val="nl-NL"/>
        </w:rPr>
        <w:t xml:space="preserve"> Bắt đầu từ tháng 10 năm 2015.</w:t>
      </w:r>
    </w:p>
  </w:footnote>
  <w:footnote w:id="2">
    <w:p w:rsidR="00383EE8" w:rsidRPr="00CB443A" w:rsidRDefault="00383EE8" w:rsidP="0095247A">
      <w:pPr>
        <w:pStyle w:val="FootnoteText"/>
        <w:spacing w:after="0"/>
        <w:ind w:firstLine="0"/>
        <w:rPr>
          <w:lang w:val="nl-NL"/>
        </w:rPr>
      </w:pPr>
      <w:r>
        <w:rPr>
          <w:rStyle w:val="FootnoteReference"/>
        </w:rPr>
        <w:footnoteRef/>
      </w:r>
      <w:r w:rsidRPr="00CB443A">
        <w:rPr>
          <w:lang w:val="nl-NL"/>
        </w:rPr>
        <w:t xml:space="preserve"> Nguồn: Văn phòng nội các Nhật Bản</w:t>
      </w:r>
    </w:p>
  </w:footnote>
  <w:footnote w:id="3">
    <w:p w:rsidR="00205ABC" w:rsidRDefault="00205ABC" w:rsidP="00205ABC">
      <w:pPr>
        <w:pStyle w:val="FootnoteText"/>
        <w:ind w:firstLine="0"/>
      </w:pPr>
      <w:r>
        <w:rPr>
          <w:rStyle w:val="FootnoteReference"/>
        </w:rPr>
        <w:footnoteRef/>
      </w:r>
      <w:r>
        <w:t xml:space="preserve"> Nguồn: tradingeconomics</w:t>
      </w:r>
    </w:p>
  </w:footnote>
  <w:footnote w:id="4">
    <w:p w:rsidR="00096C82" w:rsidRDefault="00096C82" w:rsidP="00403A26">
      <w:pPr>
        <w:pStyle w:val="FootnoteText"/>
        <w:spacing w:after="0"/>
        <w:ind w:firstLine="0"/>
      </w:pPr>
      <w:r>
        <w:rPr>
          <w:rStyle w:val="FootnoteReference"/>
        </w:rPr>
        <w:footnoteRef/>
      </w:r>
      <w:r>
        <w:t xml:space="preserve"> Nguồn: investing.com</w:t>
      </w:r>
      <w:r w:rsidR="007F1099">
        <w:t xml:space="preserve"> tính đến ngày 25/2/2016.</w:t>
      </w:r>
    </w:p>
  </w:footnote>
  <w:footnote w:id="5">
    <w:p w:rsidR="00DB7CED" w:rsidRDefault="00DB7CED" w:rsidP="009E60B2">
      <w:pPr>
        <w:pStyle w:val="FootnoteText"/>
        <w:spacing w:after="0"/>
        <w:ind w:firstLine="0"/>
      </w:pPr>
      <w:r w:rsidRPr="009E60B2">
        <w:rPr>
          <w:rStyle w:val="FootnoteReference"/>
        </w:rPr>
        <w:footnoteRef/>
      </w:r>
      <w:r w:rsidRPr="009E60B2">
        <w:t xml:space="preserve"> Ngồn: World Bank Commodity Price Data – Tháng 1/2016</w:t>
      </w:r>
    </w:p>
  </w:footnote>
  <w:footnote w:id="6">
    <w:p w:rsidR="009E0010" w:rsidRPr="007A6A26" w:rsidRDefault="009E0010" w:rsidP="009E0010">
      <w:pPr>
        <w:pStyle w:val="FootnoteText"/>
        <w:spacing w:after="0"/>
        <w:ind w:firstLine="0"/>
        <w:rPr>
          <w:lang w:val="nl-NL"/>
        </w:rPr>
      </w:pPr>
      <w:r w:rsidRPr="007A6A26">
        <w:rPr>
          <w:rStyle w:val="FootnoteReference"/>
        </w:rPr>
        <w:footnoteRef/>
      </w:r>
      <w:r w:rsidRPr="007A6A26">
        <w:rPr>
          <w:lang w:val="nl-NL"/>
        </w:rPr>
        <w:t xml:space="preserve"> </w:t>
      </w:r>
      <w:r>
        <w:rPr>
          <w:lang w:val="nl-NL"/>
        </w:rPr>
        <w:t xml:space="preserve">Chỉ số </w:t>
      </w:r>
      <w:r w:rsidRPr="007A6A26">
        <w:rPr>
          <w:lang w:val="nl-NL"/>
        </w:rPr>
        <w:t>PMI của HSBC là một chỉ số tổng hợp được xây dựng để đánh giá khái quát về hoạt động trong ngành sản xuất. Kết quả chỉ số PMI dưới 50 cho thấy nền kinh tế sản xuất giảm sút; trên 50 có nghĩa là phát triển; bằng 50 là không có sự thay đổi. Mức chênh lệch so với 50 càng lớn thì tốc độ thay đổi mà chỉ số báo hiệu sẽ càng lớn.</w:t>
      </w:r>
    </w:p>
  </w:footnote>
  <w:footnote w:id="7">
    <w:p w:rsidR="0095772F" w:rsidRPr="009E0010" w:rsidRDefault="0095772F" w:rsidP="0095772F">
      <w:pPr>
        <w:pStyle w:val="FootnoteText"/>
        <w:spacing w:after="0"/>
        <w:ind w:firstLine="0"/>
        <w:rPr>
          <w:lang w:val="nl-NL"/>
        </w:rPr>
      </w:pPr>
      <w:r w:rsidRPr="0095772F">
        <w:rPr>
          <w:rStyle w:val="FootnoteReference"/>
        </w:rPr>
        <w:footnoteRef/>
      </w:r>
      <w:r w:rsidRPr="009E0010">
        <w:rPr>
          <w:lang w:val="nl-NL"/>
        </w:rPr>
        <w:t xml:space="preserve"> </w:t>
      </w:r>
      <w:r w:rsidRPr="0095772F">
        <w:rPr>
          <w:lang w:val="de-DE"/>
        </w:rPr>
        <w:t xml:space="preserve">Trong tháng 2/2016, tổng </w:t>
      </w:r>
      <w:r w:rsidR="000B0552">
        <w:rPr>
          <w:lang w:val="de-DE"/>
        </w:rPr>
        <w:t>khối lượng phát hành TPCP đạt 28.2</w:t>
      </w:r>
      <w:r w:rsidRPr="0095772F">
        <w:rPr>
          <w:lang w:val="de-DE"/>
        </w:rPr>
        <w:t xml:space="preserve">93 tỷ đồng, </w:t>
      </w:r>
      <w:r w:rsidR="00A060DE">
        <w:rPr>
          <w:lang w:val="de-DE"/>
        </w:rPr>
        <w:t>tăng 18</w:t>
      </w:r>
      <w:r w:rsidR="000B0552">
        <w:rPr>
          <w:lang w:val="de-DE"/>
        </w:rPr>
        <w:t>% so với tháng 1/2016</w:t>
      </w:r>
      <w:r w:rsidRPr="0095772F">
        <w:rPr>
          <w:lang w:val="de-DE"/>
        </w:rPr>
        <w:t>, trong đó khối lượng phát hành kỳ hạn 3 năm là 2.200</w:t>
      </w:r>
      <w:r w:rsidR="000B0552">
        <w:rPr>
          <w:lang w:val="de-DE"/>
        </w:rPr>
        <w:t xml:space="preserve"> tỷ đồng, kỳ hạn 5 năm là 23.950</w:t>
      </w:r>
      <w:r w:rsidRPr="0095772F">
        <w:rPr>
          <w:lang w:val="de-DE"/>
        </w:rPr>
        <w:t xml:space="preserve"> tỷ đồng, và kỳ hạn 15 là 2.143 tỷ đồng.</w:t>
      </w:r>
    </w:p>
  </w:footnote>
  <w:footnote w:id="8">
    <w:p w:rsidR="0095772F" w:rsidRPr="006A0751" w:rsidRDefault="0095772F" w:rsidP="0095772F">
      <w:pPr>
        <w:pStyle w:val="FootnoteText"/>
        <w:ind w:firstLine="0"/>
        <w:rPr>
          <w:lang w:val="nl-NL"/>
        </w:rPr>
      </w:pPr>
      <w:r w:rsidRPr="0095772F">
        <w:rPr>
          <w:rStyle w:val="FootnoteReference"/>
        </w:rPr>
        <w:footnoteRef/>
      </w:r>
      <w:r w:rsidRPr="006A0751">
        <w:rPr>
          <w:lang w:val="nl-NL"/>
        </w:rPr>
        <w:t xml:space="preserve"> </w:t>
      </w:r>
      <w:r w:rsidRPr="0095772F">
        <w:rPr>
          <w:lang w:val="de-DE"/>
        </w:rPr>
        <w:t>Lãi suất trúng thầu kỳ hạn 3 năm và 5 năm là 5,5% và 6,4% (giảm lần lượt 0,2 và 0,1 điểm phần trăm so với tháng trước), riêng lãi suất trúng thầu kỳ hạn 15 năm vẫn giữ ở mức 7,65%.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05A13"/>
    <w:multiLevelType w:val="hybridMultilevel"/>
    <w:tmpl w:val="B51472A4"/>
    <w:lvl w:ilvl="0" w:tplc="5D7E394E">
      <w:numFmt w:val="bullet"/>
      <w:suff w:val="space"/>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AF61125"/>
    <w:multiLevelType w:val="hybridMultilevel"/>
    <w:tmpl w:val="9E907FF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841675D"/>
    <w:multiLevelType w:val="hybridMultilevel"/>
    <w:tmpl w:val="FC863B2A"/>
    <w:lvl w:ilvl="0" w:tplc="7A16FE8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72B85"/>
    <w:multiLevelType w:val="hybridMultilevel"/>
    <w:tmpl w:val="5AAE4BEC"/>
    <w:lvl w:ilvl="0" w:tplc="16C2825A">
      <w:start w:val="4"/>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4">
    <w:nsid w:val="56F242DA"/>
    <w:multiLevelType w:val="hybridMultilevel"/>
    <w:tmpl w:val="34DE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C543FE0"/>
    <w:multiLevelType w:val="hybridMultilevel"/>
    <w:tmpl w:val="B9767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06502"/>
    <w:multiLevelType w:val="hybridMultilevel"/>
    <w:tmpl w:val="39ACCF14"/>
    <w:lvl w:ilvl="0" w:tplc="042A0001">
      <w:start w:val="1"/>
      <w:numFmt w:val="bullet"/>
      <w:lvlText w:val=""/>
      <w:lvlJc w:val="left"/>
      <w:pPr>
        <w:ind w:left="1211" w:hanging="360"/>
      </w:pPr>
      <w:rPr>
        <w:rFonts w:ascii="Symbol" w:hAnsi="Symbol"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19">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8F7A12"/>
    <w:multiLevelType w:val="hybridMultilevel"/>
    <w:tmpl w:val="FBB274CA"/>
    <w:lvl w:ilvl="0" w:tplc="F8E28176">
      <w:start w:val="1"/>
      <w:numFmt w:val="bullet"/>
      <w:lvlText w:val="o"/>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A2758"/>
    <w:multiLevelType w:val="hybridMultilevel"/>
    <w:tmpl w:val="C79C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11"/>
  </w:num>
  <w:num w:numId="2">
    <w:abstractNumId w:val="2"/>
  </w:num>
  <w:num w:numId="3">
    <w:abstractNumId w:val="15"/>
  </w:num>
  <w:num w:numId="4">
    <w:abstractNumId w:val="19"/>
  </w:num>
  <w:num w:numId="5">
    <w:abstractNumId w:val="21"/>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9"/>
  </w:num>
  <w:num w:numId="11">
    <w:abstractNumId w:val="26"/>
  </w:num>
  <w:num w:numId="12">
    <w:abstractNumId w:val="17"/>
  </w:num>
  <w:num w:numId="13">
    <w:abstractNumId w:val="22"/>
  </w:num>
  <w:num w:numId="14">
    <w:abstractNumId w:val="20"/>
  </w:num>
  <w:num w:numId="15">
    <w:abstractNumId w:val="12"/>
  </w:num>
  <w:num w:numId="16">
    <w:abstractNumId w:val="8"/>
  </w:num>
  <w:num w:numId="17">
    <w:abstractNumId w:val="23"/>
  </w:num>
  <w:num w:numId="18">
    <w:abstractNumId w:val="0"/>
  </w:num>
  <w:num w:numId="19">
    <w:abstractNumId w:val="7"/>
  </w:num>
  <w:num w:numId="20">
    <w:abstractNumId w:val="5"/>
  </w:num>
  <w:num w:numId="21">
    <w:abstractNumId w:val="13"/>
  </w:num>
  <w:num w:numId="22">
    <w:abstractNumId w:val="3"/>
  </w:num>
  <w:num w:numId="23">
    <w:abstractNumId w:val="24"/>
  </w:num>
  <w:num w:numId="24">
    <w:abstractNumId w:val="4"/>
  </w:num>
  <w:num w:numId="25">
    <w:abstractNumId w:val="18"/>
  </w:num>
  <w:num w:numId="26">
    <w:abstractNumId w:val="16"/>
  </w:num>
  <w:num w:numId="27">
    <w:abstractNumId w:val="14"/>
  </w:num>
  <w:num w:numId="2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33C"/>
    <w:rsid w:val="00001412"/>
    <w:rsid w:val="000023EE"/>
    <w:rsid w:val="00002F77"/>
    <w:rsid w:val="000046D3"/>
    <w:rsid w:val="00005E87"/>
    <w:rsid w:val="000066DA"/>
    <w:rsid w:val="00007C23"/>
    <w:rsid w:val="000110F5"/>
    <w:rsid w:val="00011110"/>
    <w:rsid w:val="000148A0"/>
    <w:rsid w:val="00017A11"/>
    <w:rsid w:val="00021644"/>
    <w:rsid w:val="000224EE"/>
    <w:rsid w:val="000249A6"/>
    <w:rsid w:val="0002600D"/>
    <w:rsid w:val="00032512"/>
    <w:rsid w:val="00033F45"/>
    <w:rsid w:val="00035AA5"/>
    <w:rsid w:val="00037E92"/>
    <w:rsid w:val="00042CB7"/>
    <w:rsid w:val="00052186"/>
    <w:rsid w:val="000538CB"/>
    <w:rsid w:val="000548E2"/>
    <w:rsid w:val="0005492F"/>
    <w:rsid w:val="00056602"/>
    <w:rsid w:val="0006078F"/>
    <w:rsid w:val="00062ABC"/>
    <w:rsid w:val="00063004"/>
    <w:rsid w:val="00064D4D"/>
    <w:rsid w:val="00065C96"/>
    <w:rsid w:val="0006628C"/>
    <w:rsid w:val="000678C1"/>
    <w:rsid w:val="000736C6"/>
    <w:rsid w:val="00084A2C"/>
    <w:rsid w:val="00086600"/>
    <w:rsid w:val="000869A0"/>
    <w:rsid w:val="00090AB5"/>
    <w:rsid w:val="000925E8"/>
    <w:rsid w:val="000929FE"/>
    <w:rsid w:val="00094B26"/>
    <w:rsid w:val="00094FF4"/>
    <w:rsid w:val="00096C82"/>
    <w:rsid w:val="000A128B"/>
    <w:rsid w:val="000A14B5"/>
    <w:rsid w:val="000A1E64"/>
    <w:rsid w:val="000A28B1"/>
    <w:rsid w:val="000A3176"/>
    <w:rsid w:val="000A5F0B"/>
    <w:rsid w:val="000A68F9"/>
    <w:rsid w:val="000A6915"/>
    <w:rsid w:val="000B04BB"/>
    <w:rsid w:val="000B0552"/>
    <w:rsid w:val="000B1CE1"/>
    <w:rsid w:val="000B2C62"/>
    <w:rsid w:val="000B4126"/>
    <w:rsid w:val="000B6A00"/>
    <w:rsid w:val="000B7767"/>
    <w:rsid w:val="000C0801"/>
    <w:rsid w:val="000C1A39"/>
    <w:rsid w:val="000C42F1"/>
    <w:rsid w:val="000C4973"/>
    <w:rsid w:val="000D25AC"/>
    <w:rsid w:val="000D2B9E"/>
    <w:rsid w:val="000D30BA"/>
    <w:rsid w:val="000E07D8"/>
    <w:rsid w:val="000E2357"/>
    <w:rsid w:val="000E5231"/>
    <w:rsid w:val="000E5F9F"/>
    <w:rsid w:val="000F05F6"/>
    <w:rsid w:val="000F06A7"/>
    <w:rsid w:val="000F410A"/>
    <w:rsid w:val="000F60E5"/>
    <w:rsid w:val="000F72F5"/>
    <w:rsid w:val="00101003"/>
    <w:rsid w:val="0010140C"/>
    <w:rsid w:val="00101CF5"/>
    <w:rsid w:val="001054A8"/>
    <w:rsid w:val="00106FC0"/>
    <w:rsid w:val="00110E5A"/>
    <w:rsid w:val="00111984"/>
    <w:rsid w:val="00111DDC"/>
    <w:rsid w:val="0011247E"/>
    <w:rsid w:val="001142F2"/>
    <w:rsid w:val="001147E5"/>
    <w:rsid w:val="00115FBB"/>
    <w:rsid w:val="001203DB"/>
    <w:rsid w:val="001235C7"/>
    <w:rsid w:val="001252E6"/>
    <w:rsid w:val="001259AF"/>
    <w:rsid w:val="001265AA"/>
    <w:rsid w:val="001276F4"/>
    <w:rsid w:val="00127CAD"/>
    <w:rsid w:val="001317D1"/>
    <w:rsid w:val="00134926"/>
    <w:rsid w:val="0013796B"/>
    <w:rsid w:val="00141D44"/>
    <w:rsid w:val="0014213A"/>
    <w:rsid w:val="00143C7C"/>
    <w:rsid w:val="00144805"/>
    <w:rsid w:val="001462B2"/>
    <w:rsid w:val="001462C9"/>
    <w:rsid w:val="00146641"/>
    <w:rsid w:val="0014761C"/>
    <w:rsid w:val="00153B23"/>
    <w:rsid w:val="001565EB"/>
    <w:rsid w:val="001579F5"/>
    <w:rsid w:val="00157FB2"/>
    <w:rsid w:val="001614CB"/>
    <w:rsid w:val="001615F5"/>
    <w:rsid w:val="001649AF"/>
    <w:rsid w:val="00171CC5"/>
    <w:rsid w:val="00172DB1"/>
    <w:rsid w:val="001731AA"/>
    <w:rsid w:val="00173BB2"/>
    <w:rsid w:val="00173D20"/>
    <w:rsid w:val="00175957"/>
    <w:rsid w:val="00176441"/>
    <w:rsid w:val="00177A78"/>
    <w:rsid w:val="001805B0"/>
    <w:rsid w:val="0018161F"/>
    <w:rsid w:val="001845CB"/>
    <w:rsid w:val="00184820"/>
    <w:rsid w:val="00190977"/>
    <w:rsid w:val="0019231B"/>
    <w:rsid w:val="00192970"/>
    <w:rsid w:val="00193CBE"/>
    <w:rsid w:val="00196181"/>
    <w:rsid w:val="00196CB2"/>
    <w:rsid w:val="00196D7D"/>
    <w:rsid w:val="001979A1"/>
    <w:rsid w:val="001A012B"/>
    <w:rsid w:val="001A0C18"/>
    <w:rsid w:val="001A3F79"/>
    <w:rsid w:val="001A5DED"/>
    <w:rsid w:val="001A6068"/>
    <w:rsid w:val="001A74E7"/>
    <w:rsid w:val="001A76D3"/>
    <w:rsid w:val="001B1A80"/>
    <w:rsid w:val="001B1A88"/>
    <w:rsid w:val="001B28A5"/>
    <w:rsid w:val="001B47DD"/>
    <w:rsid w:val="001B559D"/>
    <w:rsid w:val="001B7E3F"/>
    <w:rsid w:val="001C1FA8"/>
    <w:rsid w:val="001C6854"/>
    <w:rsid w:val="001C72BD"/>
    <w:rsid w:val="001D0788"/>
    <w:rsid w:val="001D18CD"/>
    <w:rsid w:val="001D2545"/>
    <w:rsid w:val="001D3061"/>
    <w:rsid w:val="001E0EA6"/>
    <w:rsid w:val="001E16D6"/>
    <w:rsid w:val="001E2BF7"/>
    <w:rsid w:val="001E3DAE"/>
    <w:rsid w:val="001E71E4"/>
    <w:rsid w:val="001F0569"/>
    <w:rsid w:val="001F0601"/>
    <w:rsid w:val="001F2985"/>
    <w:rsid w:val="001F3DAC"/>
    <w:rsid w:val="001F5975"/>
    <w:rsid w:val="001F5D90"/>
    <w:rsid w:val="001F61B2"/>
    <w:rsid w:val="00201875"/>
    <w:rsid w:val="00202A47"/>
    <w:rsid w:val="00204B48"/>
    <w:rsid w:val="00204E3E"/>
    <w:rsid w:val="00205ABC"/>
    <w:rsid w:val="00213CFA"/>
    <w:rsid w:val="00214077"/>
    <w:rsid w:val="002146F1"/>
    <w:rsid w:val="002259C1"/>
    <w:rsid w:val="00225D35"/>
    <w:rsid w:val="00226419"/>
    <w:rsid w:val="00231056"/>
    <w:rsid w:val="00231175"/>
    <w:rsid w:val="002337D5"/>
    <w:rsid w:val="00233AF4"/>
    <w:rsid w:val="002341B2"/>
    <w:rsid w:val="00236A55"/>
    <w:rsid w:val="00237E19"/>
    <w:rsid w:val="00241E0A"/>
    <w:rsid w:val="00242345"/>
    <w:rsid w:val="002428CA"/>
    <w:rsid w:val="002430E3"/>
    <w:rsid w:val="00247882"/>
    <w:rsid w:val="0025372E"/>
    <w:rsid w:val="002564C5"/>
    <w:rsid w:val="00256502"/>
    <w:rsid w:val="0026087C"/>
    <w:rsid w:val="002613A6"/>
    <w:rsid w:val="00261D75"/>
    <w:rsid w:val="002733EC"/>
    <w:rsid w:val="002735A9"/>
    <w:rsid w:val="00275768"/>
    <w:rsid w:val="00276122"/>
    <w:rsid w:val="00282397"/>
    <w:rsid w:val="0028248C"/>
    <w:rsid w:val="00282596"/>
    <w:rsid w:val="00284FAE"/>
    <w:rsid w:val="00285CD5"/>
    <w:rsid w:val="00285EE2"/>
    <w:rsid w:val="00286BD3"/>
    <w:rsid w:val="00287750"/>
    <w:rsid w:val="0029089E"/>
    <w:rsid w:val="00290FEB"/>
    <w:rsid w:val="00291563"/>
    <w:rsid w:val="00291F7A"/>
    <w:rsid w:val="00294B7A"/>
    <w:rsid w:val="002955C3"/>
    <w:rsid w:val="002970CD"/>
    <w:rsid w:val="002A476C"/>
    <w:rsid w:val="002A61FE"/>
    <w:rsid w:val="002B0217"/>
    <w:rsid w:val="002B08DB"/>
    <w:rsid w:val="002B2A96"/>
    <w:rsid w:val="002B4A98"/>
    <w:rsid w:val="002B797F"/>
    <w:rsid w:val="002C45C1"/>
    <w:rsid w:val="002C4D15"/>
    <w:rsid w:val="002C536B"/>
    <w:rsid w:val="002C63CA"/>
    <w:rsid w:val="002D1C9D"/>
    <w:rsid w:val="002D367E"/>
    <w:rsid w:val="002D4218"/>
    <w:rsid w:val="002D55D7"/>
    <w:rsid w:val="002D5A89"/>
    <w:rsid w:val="002E0C42"/>
    <w:rsid w:val="002E1377"/>
    <w:rsid w:val="002E4615"/>
    <w:rsid w:val="002E73FE"/>
    <w:rsid w:val="002F011D"/>
    <w:rsid w:val="002F0CA1"/>
    <w:rsid w:val="002F2A1A"/>
    <w:rsid w:val="002F35C7"/>
    <w:rsid w:val="0030243F"/>
    <w:rsid w:val="00303A5A"/>
    <w:rsid w:val="00304D2C"/>
    <w:rsid w:val="00305819"/>
    <w:rsid w:val="003059FB"/>
    <w:rsid w:val="00307583"/>
    <w:rsid w:val="00307EA4"/>
    <w:rsid w:val="00310281"/>
    <w:rsid w:val="00311209"/>
    <w:rsid w:val="00312C9C"/>
    <w:rsid w:val="00314962"/>
    <w:rsid w:val="00317B09"/>
    <w:rsid w:val="0032142F"/>
    <w:rsid w:val="00321F37"/>
    <w:rsid w:val="0032289A"/>
    <w:rsid w:val="0032464F"/>
    <w:rsid w:val="00325466"/>
    <w:rsid w:val="003266B2"/>
    <w:rsid w:val="00326CE4"/>
    <w:rsid w:val="0032799B"/>
    <w:rsid w:val="0033363C"/>
    <w:rsid w:val="00336F0A"/>
    <w:rsid w:val="00341455"/>
    <w:rsid w:val="003415F7"/>
    <w:rsid w:val="00342980"/>
    <w:rsid w:val="00343B4B"/>
    <w:rsid w:val="00345A1B"/>
    <w:rsid w:val="00345EBD"/>
    <w:rsid w:val="00346F4E"/>
    <w:rsid w:val="00350EEB"/>
    <w:rsid w:val="00355F36"/>
    <w:rsid w:val="003568A8"/>
    <w:rsid w:val="00360B7B"/>
    <w:rsid w:val="003619A8"/>
    <w:rsid w:val="00362041"/>
    <w:rsid w:val="00366846"/>
    <w:rsid w:val="00366AB3"/>
    <w:rsid w:val="0037234F"/>
    <w:rsid w:val="00375CDC"/>
    <w:rsid w:val="0038143F"/>
    <w:rsid w:val="00381651"/>
    <w:rsid w:val="00382AF5"/>
    <w:rsid w:val="00383EE8"/>
    <w:rsid w:val="00385A31"/>
    <w:rsid w:val="00386E01"/>
    <w:rsid w:val="00387FCF"/>
    <w:rsid w:val="00390388"/>
    <w:rsid w:val="00391B29"/>
    <w:rsid w:val="00392E13"/>
    <w:rsid w:val="0039604C"/>
    <w:rsid w:val="003A0BC1"/>
    <w:rsid w:val="003A215B"/>
    <w:rsid w:val="003A236F"/>
    <w:rsid w:val="003A420F"/>
    <w:rsid w:val="003A4632"/>
    <w:rsid w:val="003B048A"/>
    <w:rsid w:val="003B0C2A"/>
    <w:rsid w:val="003B3BFE"/>
    <w:rsid w:val="003B606A"/>
    <w:rsid w:val="003B6BA9"/>
    <w:rsid w:val="003B7C4C"/>
    <w:rsid w:val="003C12DF"/>
    <w:rsid w:val="003C1625"/>
    <w:rsid w:val="003C51A1"/>
    <w:rsid w:val="003C5B34"/>
    <w:rsid w:val="003D11A8"/>
    <w:rsid w:val="003D1B2E"/>
    <w:rsid w:val="003D5437"/>
    <w:rsid w:val="003E3BFB"/>
    <w:rsid w:val="003E3D0D"/>
    <w:rsid w:val="003E49CF"/>
    <w:rsid w:val="003F060A"/>
    <w:rsid w:val="003F21EA"/>
    <w:rsid w:val="003F2F3F"/>
    <w:rsid w:val="003F71B7"/>
    <w:rsid w:val="003F7929"/>
    <w:rsid w:val="0040109F"/>
    <w:rsid w:val="004016E4"/>
    <w:rsid w:val="00403A26"/>
    <w:rsid w:val="00404E08"/>
    <w:rsid w:val="004141B8"/>
    <w:rsid w:val="00414644"/>
    <w:rsid w:val="00416374"/>
    <w:rsid w:val="00417C2F"/>
    <w:rsid w:val="0042069B"/>
    <w:rsid w:val="00421929"/>
    <w:rsid w:val="00421A94"/>
    <w:rsid w:val="004319BD"/>
    <w:rsid w:val="00431E26"/>
    <w:rsid w:val="0043252D"/>
    <w:rsid w:val="004349B4"/>
    <w:rsid w:val="0043558E"/>
    <w:rsid w:val="004356F1"/>
    <w:rsid w:val="00436415"/>
    <w:rsid w:val="0044530A"/>
    <w:rsid w:val="00447347"/>
    <w:rsid w:val="00447761"/>
    <w:rsid w:val="00450424"/>
    <w:rsid w:val="004519A0"/>
    <w:rsid w:val="00452C74"/>
    <w:rsid w:val="00454ADF"/>
    <w:rsid w:val="004555DB"/>
    <w:rsid w:val="00455E76"/>
    <w:rsid w:val="004579F9"/>
    <w:rsid w:val="00464F00"/>
    <w:rsid w:val="004657E1"/>
    <w:rsid w:val="00465DEA"/>
    <w:rsid w:val="004661E6"/>
    <w:rsid w:val="0046639B"/>
    <w:rsid w:val="004764E7"/>
    <w:rsid w:val="004766D0"/>
    <w:rsid w:val="00481069"/>
    <w:rsid w:val="00485730"/>
    <w:rsid w:val="00491047"/>
    <w:rsid w:val="004912FD"/>
    <w:rsid w:val="00491FA3"/>
    <w:rsid w:val="004949A7"/>
    <w:rsid w:val="00495AC7"/>
    <w:rsid w:val="00497550"/>
    <w:rsid w:val="004A0B82"/>
    <w:rsid w:val="004A100C"/>
    <w:rsid w:val="004A1EAF"/>
    <w:rsid w:val="004A3C3F"/>
    <w:rsid w:val="004A3C55"/>
    <w:rsid w:val="004A4006"/>
    <w:rsid w:val="004A48E9"/>
    <w:rsid w:val="004A7B00"/>
    <w:rsid w:val="004B3623"/>
    <w:rsid w:val="004B5889"/>
    <w:rsid w:val="004C5E33"/>
    <w:rsid w:val="004D35FC"/>
    <w:rsid w:val="004D40F8"/>
    <w:rsid w:val="004D73AA"/>
    <w:rsid w:val="004D7A81"/>
    <w:rsid w:val="004E1D4C"/>
    <w:rsid w:val="004E3275"/>
    <w:rsid w:val="004E4098"/>
    <w:rsid w:val="004E42C0"/>
    <w:rsid w:val="004E467E"/>
    <w:rsid w:val="004E4EAD"/>
    <w:rsid w:val="004F56DE"/>
    <w:rsid w:val="004F6476"/>
    <w:rsid w:val="004F6D6C"/>
    <w:rsid w:val="00500AB3"/>
    <w:rsid w:val="00502461"/>
    <w:rsid w:val="00502BCD"/>
    <w:rsid w:val="005042F7"/>
    <w:rsid w:val="00505DE0"/>
    <w:rsid w:val="00507A44"/>
    <w:rsid w:val="0051012B"/>
    <w:rsid w:val="005113BB"/>
    <w:rsid w:val="00511E00"/>
    <w:rsid w:val="00512F47"/>
    <w:rsid w:val="00524517"/>
    <w:rsid w:val="0052616E"/>
    <w:rsid w:val="00530746"/>
    <w:rsid w:val="00530FEC"/>
    <w:rsid w:val="00532AF5"/>
    <w:rsid w:val="00532B73"/>
    <w:rsid w:val="00533A26"/>
    <w:rsid w:val="00533D6C"/>
    <w:rsid w:val="00537637"/>
    <w:rsid w:val="00542C8A"/>
    <w:rsid w:val="00543B2C"/>
    <w:rsid w:val="00546DC5"/>
    <w:rsid w:val="00547EF8"/>
    <w:rsid w:val="00550560"/>
    <w:rsid w:val="00552931"/>
    <w:rsid w:val="0055433C"/>
    <w:rsid w:val="00554DF9"/>
    <w:rsid w:val="00556FC1"/>
    <w:rsid w:val="00560B0C"/>
    <w:rsid w:val="005620E8"/>
    <w:rsid w:val="00562652"/>
    <w:rsid w:val="005647F4"/>
    <w:rsid w:val="00564C07"/>
    <w:rsid w:val="00565B5B"/>
    <w:rsid w:val="005722EF"/>
    <w:rsid w:val="00572A98"/>
    <w:rsid w:val="0057396C"/>
    <w:rsid w:val="005753C5"/>
    <w:rsid w:val="00580305"/>
    <w:rsid w:val="00581714"/>
    <w:rsid w:val="005865D6"/>
    <w:rsid w:val="00586880"/>
    <w:rsid w:val="00590491"/>
    <w:rsid w:val="0059186F"/>
    <w:rsid w:val="005918CA"/>
    <w:rsid w:val="00591BE2"/>
    <w:rsid w:val="005926AC"/>
    <w:rsid w:val="00592B70"/>
    <w:rsid w:val="00594113"/>
    <w:rsid w:val="00596219"/>
    <w:rsid w:val="005A082C"/>
    <w:rsid w:val="005A2163"/>
    <w:rsid w:val="005A2414"/>
    <w:rsid w:val="005A3DE1"/>
    <w:rsid w:val="005A7274"/>
    <w:rsid w:val="005B0169"/>
    <w:rsid w:val="005B0398"/>
    <w:rsid w:val="005B1C4C"/>
    <w:rsid w:val="005B21D6"/>
    <w:rsid w:val="005B242A"/>
    <w:rsid w:val="005B2719"/>
    <w:rsid w:val="005B6AD4"/>
    <w:rsid w:val="005B733A"/>
    <w:rsid w:val="005C1694"/>
    <w:rsid w:val="005C1C7F"/>
    <w:rsid w:val="005C2F87"/>
    <w:rsid w:val="005C4A93"/>
    <w:rsid w:val="005C4AFF"/>
    <w:rsid w:val="005C50B2"/>
    <w:rsid w:val="005C530B"/>
    <w:rsid w:val="005C56CD"/>
    <w:rsid w:val="005C6828"/>
    <w:rsid w:val="005C6A26"/>
    <w:rsid w:val="005C7947"/>
    <w:rsid w:val="005C7EEB"/>
    <w:rsid w:val="005D10AD"/>
    <w:rsid w:val="005D123A"/>
    <w:rsid w:val="005D3425"/>
    <w:rsid w:val="005D47FB"/>
    <w:rsid w:val="005D571F"/>
    <w:rsid w:val="005D5A84"/>
    <w:rsid w:val="005D67D9"/>
    <w:rsid w:val="005E4111"/>
    <w:rsid w:val="005E4E00"/>
    <w:rsid w:val="005E56D3"/>
    <w:rsid w:val="005E6FDC"/>
    <w:rsid w:val="005F1801"/>
    <w:rsid w:val="005F2AC9"/>
    <w:rsid w:val="005F5E3A"/>
    <w:rsid w:val="006005A4"/>
    <w:rsid w:val="00603070"/>
    <w:rsid w:val="00604F4F"/>
    <w:rsid w:val="00604F9C"/>
    <w:rsid w:val="006100DD"/>
    <w:rsid w:val="006104B2"/>
    <w:rsid w:val="006108F7"/>
    <w:rsid w:val="006120CC"/>
    <w:rsid w:val="00612AF4"/>
    <w:rsid w:val="00615B56"/>
    <w:rsid w:val="00616A66"/>
    <w:rsid w:val="00617378"/>
    <w:rsid w:val="0062075C"/>
    <w:rsid w:val="00621C39"/>
    <w:rsid w:val="00625148"/>
    <w:rsid w:val="00630B6C"/>
    <w:rsid w:val="00630C1B"/>
    <w:rsid w:val="00630C4B"/>
    <w:rsid w:val="00634C49"/>
    <w:rsid w:val="00637453"/>
    <w:rsid w:val="006411E8"/>
    <w:rsid w:val="0064120E"/>
    <w:rsid w:val="00641965"/>
    <w:rsid w:val="00642D78"/>
    <w:rsid w:val="006447A6"/>
    <w:rsid w:val="006456EA"/>
    <w:rsid w:val="00645E58"/>
    <w:rsid w:val="00647263"/>
    <w:rsid w:val="006479BD"/>
    <w:rsid w:val="006539E4"/>
    <w:rsid w:val="00653A12"/>
    <w:rsid w:val="00654541"/>
    <w:rsid w:val="006565D2"/>
    <w:rsid w:val="00661EC7"/>
    <w:rsid w:val="00662787"/>
    <w:rsid w:val="00662F6A"/>
    <w:rsid w:val="006630C1"/>
    <w:rsid w:val="0066529C"/>
    <w:rsid w:val="0066567D"/>
    <w:rsid w:val="00667D47"/>
    <w:rsid w:val="00670C85"/>
    <w:rsid w:val="0067429C"/>
    <w:rsid w:val="00674EAD"/>
    <w:rsid w:val="006758E0"/>
    <w:rsid w:val="00677373"/>
    <w:rsid w:val="006802F7"/>
    <w:rsid w:val="00682A9B"/>
    <w:rsid w:val="00682CBE"/>
    <w:rsid w:val="00684B1A"/>
    <w:rsid w:val="00684F8C"/>
    <w:rsid w:val="00685EEA"/>
    <w:rsid w:val="006900C6"/>
    <w:rsid w:val="0069174B"/>
    <w:rsid w:val="00691E0B"/>
    <w:rsid w:val="006A0460"/>
    <w:rsid w:val="006A0751"/>
    <w:rsid w:val="006A159C"/>
    <w:rsid w:val="006A191D"/>
    <w:rsid w:val="006A2CF1"/>
    <w:rsid w:val="006B2EA7"/>
    <w:rsid w:val="006B4D53"/>
    <w:rsid w:val="006B68F5"/>
    <w:rsid w:val="006B6AB1"/>
    <w:rsid w:val="006B7CA7"/>
    <w:rsid w:val="006C166B"/>
    <w:rsid w:val="006C2EA6"/>
    <w:rsid w:val="006C415E"/>
    <w:rsid w:val="006C47F8"/>
    <w:rsid w:val="006C4E1A"/>
    <w:rsid w:val="006C4F21"/>
    <w:rsid w:val="006C4F50"/>
    <w:rsid w:val="006C6556"/>
    <w:rsid w:val="006C7196"/>
    <w:rsid w:val="006D2212"/>
    <w:rsid w:val="006D35E9"/>
    <w:rsid w:val="006D4AF0"/>
    <w:rsid w:val="006D7ED0"/>
    <w:rsid w:val="006E1323"/>
    <w:rsid w:val="006E6B83"/>
    <w:rsid w:val="006E7B0E"/>
    <w:rsid w:val="006F0BC1"/>
    <w:rsid w:val="006F35D0"/>
    <w:rsid w:val="006F35F8"/>
    <w:rsid w:val="006F39AD"/>
    <w:rsid w:val="006F3E40"/>
    <w:rsid w:val="006F56BA"/>
    <w:rsid w:val="006F6D85"/>
    <w:rsid w:val="006F7589"/>
    <w:rsid w:val="00702735"/>
    <w:rsid w:val="007037A9"/>
    <w:rsid w:val="007053CE"/>
    <w:rsid w:val="00705A43"/>
    <w:rsid w:val="00706DDE"/>
    <w:rsid w:val="00707816"/>
    <w:rsid w:val="00710010"/>
    <w:rsid w:val="00710E74"/>
    <w:rsid w:val="00711FA3"/>
    <w:rsid w:val="007131D0"/>
    <w:rsid w:val="00713B57"/>
    <w:rsid w:val="00716B58"/>
    <w:rsid w:val="00717037"/>
    <w:rsid w:val="0072035D"/>
    <w:rsid w:val="00720AD1"/>
    <w:rsid w:val="00720CCB"/>
    <w:rsid w:val="0072135E"/>
    <w:rsid w:val="00722665"/>
    <w:rsid w:val="0072362A"/>
    <w:rsid w:val="00723C3D"/>
    <w:rsid w:val="00731A4C"/>
    <w:rsid w:val="00736A90"/>
    <w:rsid w:val="00737E19"/>
    <w:rsid w:val="00740564"/>
    <w:rsid w:val="0074084A"/>
    <w:rsid w:val="00742B2D"/>
    <w:rsid w:val="00743371"/>
    <w:rsid w:val="00745B1B"/>
    <w:rsid w:val="00750E5B"/>
    <w:rsid w:val="00751D89"/>
    <w:rsid w:val="00752639"/>
    <w:rsid w:val="00752F21"/>
    <w:rsid w:val="007530BC"/>
    <w:rsid w:val="00754E36"/>
    <w:rsid w:val="00760482"/>
    <w:rsid w:val="007640B0"/>
    <w:rsid w:val="00767386"/>
    <w:rsid w:val="00770D3B"/>
    <w:rsid w:val="00772E0C"/>
    <w:rsid w:val="00774D4C"/>
    <w:rsid w:val="00775BA5"/>
    <w:rsid w:val="00783FCC"/>
    <w:rsid w:val="00786882"/>
    <w:rsid w:val="00786C4A"/>
    <w:rsid w:val="00792839"/>
    <w:rsid w:val="00792A3D"/>
    <w:rsid w:val="00793C8A"/>
    <w:rsid w:val="00794C3B"/>
    <w:rsid w:val="00796EE2"/>
    <w:rsid w:val="007A24F0"/>
    <w:rsid w:val="007A2FD2"/>
    <w:rsid w:val="007A4BA0"/>
    <w:rsid w:val="007B121F"/>
    <w:rsid w:val="007B2C63"/>
    <w:rsid w:val="007B2EA0"/>
    <w:rsid w:val="007B39AA"/>
    <w:rsid w:val="007B53D2"/>
    <w:rsid w:val="007B550E"/>
    <w:rsid w:val="007C52FC"/>
    <w:rsid w:val="007C63A4"/>
    <w:rsid w:val="007C7402"/>
    <w:rsid w:val="007C755A"/>
    <w:rsid w:val="007C7664"/>
    <w:rsid w:val="007C7CA8"/>
    <w:rsid w:val="007D3722"/>
    <w:rsid w:val="007D4069"/>
    <w:rsid w:val="007E047E"/>
    <w:rsid w:val="007E14EE"/>
    <w:rsid w:val="007E31A1"/>
    <w:rsid w:val="007E3795"/>
    <w:rsid w:val="007E3935"/>
    <w:rsid w:val="007E4093"/>
    <w:rsid w:val="007E4E39"/>
    <w:rsid w:val="007E7CCE"/>
    <w:rsid w:val="007F06E5"/>
    <w:rsid w:val="007F07D1"/>
    <w:rsid w:val="007F1099"/>
    <w:rsid w:val="007F179A"/>
    <w:rsid w:val="007F43DB"/>
    <w:rsid w:val="007F6CC4"/>
    <w:rsid w:val="007F7D7A"/>
    <w:rsid w:val="0080027F"/>
    <w:rsid w:val="00800306"/>
    <w:rsid w:val="00802DC1"/>
    <w:rsid w:val="00806378"/>
    <w:rsid w:val="00806F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73E9"/>
    <w:rsid w:val="0082770E"/>
    <w:rsid w:val="008318ED"/>
    <w:rsid w:val="00832922"/>
    <w:rsid w:val="00833DEB"/>
    <w:rsid w:val="00833E66"/>
    <w:rsid w:val="00834C3B"/>
    <w:rsid w:val="00836F43"/>
    <w:rsid w:val="00845DC8"/>
    <w:rsid w:val="00845E32"/>
    <w:rsid w:val="00846819"/>
    <w:rsid w:val="00850545"/>
    <w:rsid w:val="0085275E"/>
    <w:rsid w:val="00861088"/>
    <w:rsid w:val="00862A96"/>
    <w:rsid w:val="00862E6F"/>
    <w:rsid w:val="00866DCD"/>
    <w:rsid w:val="00870B87"/>
    <w:rsid w:val="00876F2F"/>
    <w:rsid w:val="00877FB0"/>
    <w:rsid w:val="0088188B"/>
    <w:rsid w:val="0088487E"/>
    <w:rsid w:val="00885F02"/>
    <w:rsid w:val="008862B9"/>
    <w:rsid w:val="00886CB2"/>
    <w:rsid w:val="00892F51"/>
    <w:rsid w:val="0089304A"/>
    <w:rsid w:val="00894153"/>
    <w:rsid w:val="008A1E4C"/>
    <w:rsid w:val="008A30C5"/>
    <w:rsid w:val="008A6C90"/>
    <w:rsid w:val="008B10C1"/>
    <w:rsid w:val="008B20A5"/>
    <w:rsid w:val="008B4C95"/>
    <w:rsid w:val="008B54E3"/>
    <w:rsid w:val="008B5F76"/>
    <w:rsid w:val="008B6B85"/>
    <w:rsid w:val="008C05BC"/>
    <w:rsid w:val="008C1975"/>
    <w:rsid w:val="008C4B1A"/>
    <w:rsid w:val="008C5BC0"/>
    <w:rsid w:val="008C7433"/>
    <w:rsid w:val="008D086D"/>
    <w:rsid w:val="008D0F13"/>
    <w:rsid w:val="008D1489"/>
    <w:rsid w:val="008D2284"/>
    <w:rsid w:val="008D56AC"/>
    <w:rsid w:val="008D6984"/>
    <w:rsid w:val="008D6DCB"/>
    <w:rsid w:val="008E3164"/>
    <w:rsid w:val="008E5730"/>
    <w:rsid w:val="008E6411"/>
    <w:rsid w:val="008E774C"/>
    <w:rsid w:val="008F1E6A"/>
    <w:rsid w:val="008F337E"/>
    <w:rsid w:val="008F3E64"/>
    <w:rsid w:val="008F4E6E"/>
    <w:rsid w:val="008F6570"/>
    <w:rsid w:val="00900767"/>
    <w:rsid w:val="009029FC"/>
    <w:rsid w:val="00903ABC"/>
    <w:rsid w:val="0090443D"/>
    <w:rsid w:val="00904C44"/>
    <w:rsid w:val="00905577"/>
    <w:rsid w:val="0090681E"/>
    <w:rsid w:val="00910F80"/>
    <w:rsid w:val="0091176A"/>
    <w:rsid w:val="009127EF"/>
    <w:rsid w:val="00913690"/>
    <w:rsid w:val="0091407F"/>
    <w:rsid w:val="00915AC1"/>
    <w:rsid w:val="009170C0"/>
    <w:rsid w:val="00917430"/>
    <w:rsid w:val="00920135"/>
    <w:rsid w:val="00920CDF"/>
    <w:rsid w:val="00923576"/>
    <w:rsid w:val="00930B0D"/>
    <w:rsid w:val="00933260"/>
    <w:rsid w:val="00933EDB"/>
    <w:rsid w:val="009352D0"/>
    <w:rsid w:val="00936142"/>
    <w:rsid w:val="009405A7"/>
    <w:rsid w:val="00945733"/>
    <w:rsid w:val="00945E23"/>
    <w:rsid w:val="009461E3"/>
    <w:rsid w:val="00946906"/>
    <w:rsid w:val="00950EB7"/>
    <w:rsid w:val="0095247A"/>
    <w:rsid w:val="00953D43"/>
    <w:rsid w:val="00955EA2"/>
    <w:rsid w:val="0095610C"/>
    <w:rsid w:val="00957281"/>
    <w:rsid w:val="0095772F"/>
    <w:rsid w:val="00960AC8"/>
    <w:rsid w:val="00960C6C"/>
    <w:rsid w:val="009625BF"/>
    <w:rsid w:val="00962E9C"/>
    <w:rsid w:val="00964561"/>
    <w:rsid w:val="00967A3D"/>
    <w:rsid w:val="009704C1"/>
    <w:rsid w:val="009707FF"/>
    <w:rsid w:val="009727F9"/>
    <w:rsid w:val="009760AD"/>
    <w:rsid w:val="00976104"/>
    <w:rsid w:val="009848CF"/>
    <w:rsid w:val="00985217"/>
    <w:rsid w:val="0098645F"/>
    <w:rsid w:val="00986529"/>
    <w:rsid w:val="00990A41"/>
    <w:rsid w:val="009923F0"/>
    <w:rsid w:val="00996B22"/>
    <w:rsid w:val="00997047"/>
    <w:rsid w:val="009975BF"/>
    <w:rsid w:val="009A0C76"/>
    <w:rsid w:val="009A0FEE"/>
    <w:rsid w:val="009A12AC"/>
    <w:rsid w:val="009A2504"/>
    <w:rsid w:val="009A3CF3"/>
    <w:rsid w:val="009A4793"/>
    <w:rsid w:val="009A6BF7"/>
    <w:rsid w:val="009A6EAE"/>
    <w:rsid w:val="009A7565"/>
    <w:rsid w:val="009B012C"/>
    <w:rsid w:val="009B0305"/>
    <w:rsid w:val="009B4765"/>
    <w:rsid w:val="009B4CDB"/>
    <w:rsid w:val="009B572C"/>
    <w:rsid w:val="009C1F28"/>
    <w:rsid w:val="009C4274"/>
    <w:rsid w:val="009C5E5D"/>
    <w:rsid w:val="009D4AB4"/>
    <w:rsid w:val="009D6692"/>
    <w:rsid w:val="009D6CD9"/>
    <w:rsid w:val="009D6E43"/>
    <w:rsid w:val="009D77A2"/>
    <w:rsid w:val="009E0010"/>
    <w:rsid w:val="009E60B2"/>
    <w:rsid w:val="009E6777"/>
    <w:rsid w:val="009F1DBC"/>
    <w:rsid w:val="009F56E0"/>
    <w:rsid w:val="009F59E0"/>
    <w:rsid w:val="009F6E6D"/>
    <w:rsid w:val="009F7122"/>
    <w:rsid w:val="00A00C49"/>
    <w:rsid w:val="00A0138F"/>
    <w:rsid w:val="00A013F0"/>
    <w:rsid w:val="00A02F3B"/>
    <w:rsid w:val="00A0381C"/>
    <w:rsid w:val="00A04333"/>
    <w:rsid w:val="00A04389"/>
    <w:rsid w:val="00A060DE"/>
    <w:rsid w:val="00A07BEC"/>
    <w:rsid w:val="00A1061A"/>
    <w:rsid w:val="00A12166"/>
    <w:rsid w:val="00A128BA"/>
    <w:rsid w:val="00A152BC"/>
    <w:rsid w:val="00A15929"/>
    <w:rsid w:val="00A1598F"/>
    <w:rsid w:val="00A16B42"/>
    <w:rsid w:val="00A2483A"/>
    <w:rsid w:val="00A24AB7"/>
    <w:rsid w:val="00A25D18"/>
    <w:rsid w:val="00A25FDC"/>
    <w:rsid w:val="00A30D68"/>
    <w:rsid w:val="00A30DBC"/>
    <w:rsid w:val="00A314F5"/>
    <w:rsid w:val="00A3363B"/>
    <w:rsid w:val="00A3540F"/>
    <w:rsid w:val="00A356C9"/>
    <w:rsid w:val="00A35F94"/>
    <w:rsid w:val="00A37B5B"/>
    <w:rsid w:val="00A41EA9"/>
    <w:rsid w:val="00A453F5"/>
    <w:rsid w:val="00A464C2"/>
    <w:rsid w:val="00A46CEF"/>
    <w:rsid w:val="00A51B7F"/>
    <w:rsid w:val="00A5351E"/>
    <w:rsid w:val="00A6138C"/>
    <w:rsid w:val="00A62B95"/>
    <w:rsid w:val="00A671B0"/>
    <w:rsid w:val="00A714F4"/>
    <w:rsid w:val="00A71CBE"/>
    <w:rsid w:val="00A74724"/>
    <w:rsid w:val="00A750DC"/>
    <w:rsid w:val="00A75AAD"/>
    <w:rsid w:val="00A76E15"/>
    <w:rsid w:val="00A7751D"/>
    <w:rsid w:val="00A81741"/>
    <w:rsid w:val="00A82673"/>
    <w:rsid w:val="00A82727"/>
    <w:rsid w:val="00A827C6"/>
    <w:rsid w:val="00A841F9"/>
    <w:rsid w:val="00A84262"/>
    <w:rsid w:val="00A86A59"/>
    <w:rsid w:val="00A87739"/>
    <w:rsid w:val="00A879D7"/>
    <w:rsid w:val="00A9184D"/>
    <w:rsid w:val="00A92121"/>
    <w:rsid w:val="00AA0318"/>
    <w:rsid w:val="00AA26F1"/>
    <w:rsid w:val="00AA30CA"/>
    <w:rsid w:val="00AA412D"/>
    <w:rsid w:val="00AA4A3D"/>
    <w:rsid w:val="00AA596B"/>
    <w:rsid w:val="00AA6BC8"/>
    <w:rsid w:val="00AB07DE"/>
    <w:rsid w:val="00AB1B77"/>
    <w:rsid w:val="00AC0E9F"/>
    <w:rsid w:val="00AC4790"/>
    <w:rsid w:val="00AC6A63"/>
    <w:rsid w:val="00AC701B"/>
    <w:rsid w:val="00AC7D66"/>
    <w:rsid w:val="00AD00E3"/>
    <w:rsid w:val="00AD48D7"/>
    <w:rsid w:val="00AD5855"/>
    <w:rsid w:val="00AD79E4"/>
    <w:rsid w:val="00AE031F"/>
    <w:rsid w:val="00AE1534"/>
    <w:rsid w:val="00AE2E1C"/>
    <w:rsid w:val="00AE3677"/>
    <w:rsid w:val="00AE3BB3"/>
    <w:rsid w:val="00AE3DF9"/>
    <w:rsid w:val="00AE4F5D"/>
    <w:rsid w:val="00AE5886"/>
    <w:rsid w:val="00AE7BCD"/>
    <w:rsid w:val="00AF0623"/>
    <w:rsid w:val="00AF0BE5"/>
    <w:rsid w:val="00AF0F20"/>
    <w:rsid w:val="00AF25AA"/>
    <w:rsid w:val="00AF6489"/>
    <w:rsid w:val="00AF7D32"/>
    <w:rsid w:val="00B005FB"/>
    <w:rsid w:val="00B0085B"/>
    <w:rsid w:val="00B022F1"/>
    <w:rsid w:val="00B0278F"/>
    <w:rsid w:val="00B05FD9"/>
    <w:rsid w:val="00B068DB"/>
    <w:rsid w:val="00B06B37"/>
    <w:rsid w:val="00B12873"/>
    <w:rsid w:val="00B1789B"/>
    <w:rsid w:val="00B215CA"/>
    <w:rsid w:val="00B25085"/>
    <w:rsid w:val="00B2659E"/>
    <w:rsid w:val="00B277BD"/>
    <w:rsid w:val="00B305C1"/>
    <w:rsid w:val="00B315D9"/>
    <w:rsid w:val="00B326F2"/>
    <w:rsid w:val="00B33895"/>
    <w:rsid w:val="00B342F0"/>
    <w:rsid w:val="00B35FF2"/>
    <w:rsid w:val="00B36BA4"/>
    <w:rsid w:val="00B37508"/>
    <w:rsid w:val="00B4520D"/>
    <w:rsid w:val="00B47E0A"/>
    <w:rsid w:val="00B50972"/>
    <w:rsid w:val="00B50EE3"/>
    <w:rsid w:val="00B53B62"/>
    <w:rsid w:val="00B53DD2"/>
    <w:rsid w:val="00B54C22"/>
    <w:rsid w:val="00B57A40"/>
    <w:rsid w:val="00B6187B"/>
    <w:rsid w:val="00B6242F"/>
    <w:rsid w:val="00B65862"/>
    <w:rsid w:val="00B66C8D"/>
    <w:rsid w:val="00B6731F"/>
    <w:rsid w:val="00B677D0"/>
    <w:rsid w:val="00B67CC4"/>
    <w:rsid w:val="00B71E8D"/>
    <w:rsid w:val="00B7299C"/>
    <w:rsid w:val="00B72EBA"/>
    <w:rsid w:val="00B741F3"/>
    <w:rsid w:val="00B751DC"/>
    <w:rsid w:val="00B75CA7"/>
    <w:rsid w:val="00B774D7"/>
    <w:rsid w:val="00B839C8"/>
    <w:rsid w:val="00B8515D"/>
    <w:rsid w:val="00B85897"/>
    <w:rsid w:val="00B86979"/>
    <w:rsid w:val="00B86C5E"/>
    <w:rsid w:val="00B91263"/>
    <w:rsid w:val="00B914D7"/>
    <w:rsid w:val="00B92413"/>
    <w:rsid w:val="00B954BA"/>
    <w:rsid w:val="00B964B8"/>
    <w:rsid w:val="00BA00BD"/>
    <w:rsid w:val="00BA08B0"/>
    <w:rsid w:val="00BA1073"/>
    <w:rsid w:val="00BA2285"/>
    <w:rsid w:val="00BA4C72"/>
    <w:rsid w:val="00BA4FFA"/>
    <w:rsid w:val="00BB5D32"/>
    <w:rsid w:val="00BB796F"/>
    <w:rsid w:val="00BC32AE"/>
    <w:rsid w:val="00BC5190"/>
    <w:rsid w:val="00BC60F0"/>
    <w:rsid w:val="00BC6AA2"/>
    <w:rsid w:val="00BC7595"/>
    <w:rsid w:val="00BD16D3"/>
    <w:rsid w:val="00BD3C9A"/>
    <w:rsid w:val="00BD503E"/>
    <w:rsid w:val="00BE495E"/>
    <w:rsid w:val="00BE6922"/>
    <w:rsid w:val="00BE6B86"/>
    <w:rsid w:val="00BF0FC6"/>
    <w:rsid w:val="00BF2203"/>
    <w:rsid w:val="00BF230D"/>
    <w:rsid w:val="00BF2AA7"/>
    <w:rsid w:val="00BF41BA"/>
    <w:rsid w:val="00BF65AB"/>
    <w:rsid w:val="00BF7190"/>
    <w:rsid w:val="00BF7E5A"/>
    <w:rsid w:val="00C018DA"/>
    <w:rsid w:val="00C04F4F"/>
    <w:rsid w:val="00C05A1A"/>
    <w:rsid w:val="00C07326"/>
    <w:rsid w:val="00C07E5F"/>
    <w:rsid w:val="00C14B7F"/>
    <w:rsid w:val="00C155C7"/>
    <w:rsid w:val="00C15C6D"/>
    <w:rsid w:val="00C160D1"/>
    <w:rsid w:val="00C16501"/>
    <w:rsid w:val="00C16D71"/>
    <w:rsid w:val="00C17233"/>
    <w:rsid w:val="00C176B6"/>
    <w:rsid w:val="00C2006C"/>
    <w:rsid w:val="00C20886"/>
    <w:rsid w:val="00C22E8A"/>
    <w:rsid w:val="00C27741"/>
    <w:rsid w:val="00C27DF9"/>
    <w:rsid w:val="00C309ED"/>
    <w:rsid w:val="00C31673"/>
    <w:rsid w:val="00C31BC3"/>
    <w:rsid w:val="00C33503"/>
    <w:rsid w:val="00C346CD"/>
    <w:rsid w:val="00C35DBA"/>
    <w:rsid w:val="00C36467"/>
    <w:rsid w:val="00C37A95"/>
    <w:rsid w:val="00C37EFE"/>
    <w:rsid w:val="00C4084C"/>
    <w:rsid w:val="00C42E93"/>
    <w:rsid w:val="00C4320F"/>
    <w:rsid w:val="00C440AD"/>
    <w:rsid w:val="00C44549"/>
    <w:rsid w:val="00C45BF9"/>
    <w:rsid w:val="00C47CA9"/>
    <w:rsid w:val="00C50ABD"/>
    <w:rsid w:val="00C51781"/>
    <w:rsid w:val="00C5272A"/>
    <w:rsid w:val="00C544CB"/>
    <w:rsid w:val="00C54DAC"/>
    <w:rsid w:val="00C559A6"/>
    <w:rsid w:val="00C5621D"/>
    <w:rsid w:val="00C578C7"/>
    <w:rsid w:val="00C603D6"/>
    <w:rsid w:val="00C61504"/>
    <w:rsid w:val="00C63B30"/>
    <w:rsid w:val="00C67BFF"/>
    <w:rsid w:val="00C719AB"/>
    <w:rsid w:val="00C73300"/>
    <w:rsid w:val="00C7506C"/>
    <w:rsid w:val="00C77E46"/>
    <w:rsid w:val="00C8497C"/>
    <w:rsid w:val="00C903FA"/>
    <w:rsid w:val="00C9154F"/>
    <w:rsid w:val="00C91E93"/>
    <w:rsid w:val="00C92D6B"/>
    <w:rsid w:val="00C94A36"/>
    <w:rsid w:val="00CA0F8F"/>
    <w:rsid w:val="00CA28E1"/>
    <w:rsid w:val="00CA320C"/>
    <w:rsid w:val="00CA4F9E"/>
    <w:rsid w:val="00CA7DA3"/>
    <w:rsid w:val="00CB3F61"/>
    <w:rsid w:val="00CB443A"/>
    <w:rsid w:val="00CB49B8"/>
    <w:rsid w:val="00CC0254"/>
    <w:rsid w:val="00CC1AD5"/>
    <w:rsid w:val="00CC1EFC"/>
    <w:rsid w:val="00CC28DB"/>
    <w:rsid w:val="00CC33A3"/>
    <w:rsid w:val="00CC509C"/>
    <w:rsid w:val="00CC5C73"/>
    <w:rsid w:val="00CC6B1D"/>
    <w:rsid w:val="00CD2573"/>
    <w:rsid w:val="00CD661B"/>
    <w:rsid w:val="00CD77D6"/>
    <w:rsid w:val="00CE0CA7"/>
    <w:rsid w:val="00CE1800"/>
    <w:rsid w:val="00CE5473"/>
    <w:rsid w:val="00CE5A5A"/>
    <w:rsid w:val="00CE7D66"/>
    <w:rsid w:val="00CE7F93"/>
    <w:rsid w:val="00CF071C"/>
    <w:rsid w:val="00CF154B"/>
    <w:rsid w:val="00CF3798"/>
    <w:rsid w:val="00CF408F"/>
    <w:rsid w:val="00CF452E"/>
    <w:rsid w:val="00CF4DFF"/>
    <w:rsid w:val="00CF71A5"/>
    <w:rsid w:val="00D004F2"/>
    <w:rsid w:val="00D00972"/>
    <w:rsid w:val="00D00C04"/>
    <w:rsid w:val="00D02579"/>
    <w:rsid w:val="00D03E26"/>
    <w:rsid w:val="00D04102"/>
    <w:rsid w:val="00D103C4"/>
    <w:rsid w:val="00D118DD"/>
    <w:rsid w:val="00D11C9D"/>
    <w:rsid w:val="00D127B0"/>
    <w:rsid w:val="00D1291E"/>
    <w:rsid w:val="00D13B1D"/>
    <w:rsid w:val="00D14FDF"/>
    <w:rsid w:val="00D170BD"/>
    <w:rsid w:val="00D22C67"/>
    <w:rsid w:val="00D23826"/>
    <w:rsid w:val="00D24BF7"/>
    <w:rsid w:val="00D26DCB"/>
    <w:rsid w:val="00D30A0A"/>
    <w:rsid w:val="00D30E1C"/>
    <w:rsid w:val="00D31582"/>
    <w:rsid w:val="00D31964"/>
    <w:rsid w:val="00D32171"/>
    <w:rsid w:val="00D33D42"/>
    <w:rsid w:val="00D356DD"/>
    <w:rsid w:val="00D45B51"/>
    <w:rsid w:val="00D45BB0"/>
    <w:rsid w:val="00D46146"/>
    <w:rsid w:val="00D51580"/>
    <w:rsid w:val="00D62399"/>
    <w:rsid w:val="00D63CF0"/>
    <w:rsid w:val="00D64EA7"/>
    <w:rsid w:val="00D707C1"/>
    <w:rsid w:val="00D7348C"/>
    <w:rsid w:val="00D737B2"/>
    <w:rsid w:val="00D748AB"/>
    <w:rsid w:val="00D75922"/>
    <w:rsid w:val="00D75EBE"/>
    <w:rsid w:val="00D75F23"/>
    <w:rsid w:val="00D76B0C"/>
    <w:rsid w:val="00D77705"/>
    <w:rsid w:val="00D80B7B"/>
    <w:rsid w:val="00D80C0C"/>
    <w:rsid w:val="00D825EC"/>
    <w:rsid w:val="00D83BE6"/>
    <w:rsid w:val="00D84198"/>
    <w:rsid w:val="00D86252"/>
    <w:rsid w:val="00D86D9A"/>
    <w:rsid w:val="00D873D5"/>
    <w:rsid w:val="00D90757"/>
    <w:rsid w:val="00D90D46"/>
    <w:rsid w:val="00D91915"/>
    <w:rsid w:val="00D94965"/>
    <w:rsid w:val="00D97202"/>
    <w:rsid w:val="00DA161F"/>
    <w:rsid w:val="00DA39AC"/>
    <w:rsid w:val="00DA3D5B"/>
    <w:rsid w:val="00DA521D"/>
    <w:rsid w:val="00DA5858"/>
    <w:rsid w:val="00DB04F0"/>
    <w:rsid w:val="00DB2147"/>
    <w:rsid w:val="00DB6452"/>
    <w:rsid w:val="00DB6A67"/>
    <w:rsid w:val="00DB7CED"/>
    <w:rsid w:val="00DC1743"/>
    <w:rsid w:val="00DC27AB"/>
    <w:rsid w:val="00DC3C64"/>
    <w:rsid w:val="00DC4EB5"/>
    <w:rsid w:val="00DC7107"/>
    <w:rsid w:val="00DD06E2"/>
    <w:rsid w:val="00DD0D5F"/>
    <w:rsid w:val="00DD34D4"/>
    <w:rsid w:val="00DD3A74"/>
    <w:rsid w:val="00DD3AFA"/>
    <w:rsid w:val="00DE03FA"/>
    <w:rsid w:val="00DE131E"/>
    <w:rsid w:val="00DE44CC"/>
    <w:rsid w:val="00DE7790"/>
    <w:rsid w:val="00DF459D"/>
    <w:rsid w:val="00DF48DC"/>
    <w:rsid w:val="00DF4B9A"/>
    <w:rsid w:val="00DF69B5"/>
    <w:rsid w:val="00E008FA"/>
    <w:rsid w:val="00E01B91"/>
    <w:rsid w:val="00E02214"/>
    <w:rsid w:val="00E02357"/>
    <w:rsid w:val="00E028E0"/>
    <w:rsid w:val="00E04DB2"/>
    <w:rsid w:val="00E06B0A"/>
    <w:rsid w:val="00E07C6F"/>
    <w:rsid w:val="00E10E5E"/>
    <w:rsid w:val="00E168F1"/>
    <w:rsid w:val="00E24323"/>
    <w:rsid w:val="00E260B4"/>
    <w:rsid w:val="00E27360"/>
    <w:rsid w:val="00E30319"/>
    <w:rsid w:val="00E31B42"/>
    <w:rsid w:val="00E32DA4"/>
    <w:rsid w:val="00E32ED8"/>
    <w:rsid w:val="00E33EC3"/>
    <w:rsid w:val="00E3406E"/>
    <w:rsid w:val="00E355F4"/>
    <w:rsid w:val="00E35CF2"/>
    <w:rsid w:val="00E3784F"/>
    <w:rsid w:val="00E4060A"/>
    <w:rsid w:val="00E43798"/>
    <w:rsid w:val="00E43BC1"/>
    <w:rsid w:val="00E45EBB"/>
    <w:rsid w:val="00E467E0"/>
    <w:rsid w:val="00E4735C"/>
    <w:rsid w:val="00E55298"/>
    <w:rsid w:val="00E61453"/>
    <w:rsid w:val="00E628C1"/>
    <w:rsid w:val="00E63DC1"/>
    <w:rsid w:val="00E64E51"/>
    <w:rsid w:val="00E668B3"/>
    <w:rsid w:val="00E66906"/>
    <w:rsid w:val="00E67B52"/>
    <w:rsid w:val="00E715E8"/>
    <w:rsid w:val="00E7593D"/>
    <w:rsid w:val="00E76063"/>
    <w:rsid w:val="00E80F63"/>
    <w:rsid w:val="00E81F76"/>
    <w:rsid w:val="00E821AD"/>
    <w:rsid w:val="00E84EE8"/>
    <w:rsid w:val="00E852A9"/>
    <w:rsid w:val="00E859CB"/>
    <w:rsid w:val="00E92A70"/>
    <w:rsid w:val="00E93E6B"/>
    <w:rsid w:val="00E93F4C"/>
    <w:rsid w:val="00E942F0"/>
    <w:rsid w:val="00E94722"/>
    <w:rsid w:val="00E95AB5"/>
    <w:rsid w:val="00E96A52"/>
    <w:rsid w:val="00E97527"/>
    <w:rsid w:val="00EA0F64"/>
    <w:rsid w:val="00EA16A7"/>
    <w:rsid w:val="00EA1AA6"/>
    <w:rsid w:val="00EA1CB9"/>
    <w:rsid w:val="00EA3F33"/>
    <w:rsid w:val="00EA48CE"/>
    <w:rsid w:val="00EB17E1"/>
    <w:rsid w:val="00EB3480"/>
    <w:rsid w:val="00EB44E6"/>
    <w:rsid w:val="00EB5A4E"/>
    <w:rsid w:val="00EC0901"/>
    <w:rsid w:val="00EC1D11"/>
    <w:rsid w:val="00EC216C"/>
    <w:rsid w:val="00EC22DE"/>
    <w:rsid w:val="00EC276D"/>
    <w:rsid w:val="00EC44B2"/>
    <w:rsid w:val="00EC55C2"/>
    <w:rsid w:val="00EC6E16"/>
    <w:rsid w:val="00EC736A"/>
    <w:rsid w:val="00ED1049"/>
    <w:rsid w:val="00ED1758"/>
    <w:rsid w:val="00ED1FE4"/>
    <w:rsid w:val="00ED3586"/>
    <w:rsid w:val="00EE245F"/>
    <w:rsid w:val="00EE33FC"/>
    <w:rsid w:val="00EE7FD1"/>
    <w:rsid w:val="00EF089A"/>
    <w:rsid w:val="00EF12F5"/>
    <w:rsid w:val="00EF2C32"/>
    <w:rsid w:val="00F019D2"/>
    <w:rsid w:val="00F05DE7"/>
    <w:rsid w:val="00F05EAF"/>
    <w:rsid w:val="00F064E4"/>
    <w:rsid w:val="00F06A89"/>
    <w:rsid w:val="00F106A4"/>
    <w:rsid w:val="00F10941"/>
    <w:rsid w:val="00F123F2"/>
    <w:rsid w:val="00F13B8D"/>
    <w:rsid w:val="00F14C57"/>
    <w:rsid w:val="00F15207"/>
    <w:rsid w:val="00F15E8C"/>
    <w:rsid w:val="00F17A2A"/>
    <w:rsid w:val="00F17A73"/>
    <w:rsid w:val="00F20EED"/>
    <w:rsid w:val="00F21768"/>
    <w:rsid w:val="00F21AEF"/>
    <w:rsid w:val="00F22114"/>
    <w:rsid w:val="00F31C55"/>
    <w:rsid w:val="00F3525F"/>
    <w:rsid w:val="00F352EE"/>
    <w:rsid w:val="00F361F8"/>
    <w:rsid w:val="00F36E38"/>
    <w:rsid w:val="00F37D6C"/>
    <w:rsid w:val="00F42363"/>
    <w:rsid w:val="00F42D47"/>
    <w:rsid w:val="00F44F97"/>
    <w:rsid w:val="00F45568"/>
    <w:rsid w:val="00F45C7B"/>
    <w:rsid w:val="00F47588"/>
    <w:rsid w:val="00F50F98"/>
    <w:rsid w:val="00F5409A"/>
    <w:rsid w:val="00F56693"/>
    <w:rsid w:val="00F6008B"/>
    <w:rsid w:val="00F611E7"/>
    <w:rsid w:val="00F63499"/>
    <w:rsid w:val="00F64CB9"/>
    <w:rsid w:val="00F65958"/>
    <w:rsid w:val="00F7112F"/>
    <w:rsid w:val="00F727DF"/>
    <w:rsid w:val="00F72F16"/>
    <w:rsid w:val="00F74063"/>
    <w:rsid w:val="00F772BC"/>
    <w:rsid w:val="00F80C83"/>
    <w:rsid w:val="00F82768"/>
    <w:rsid w:val="00F91A5B"/>
    <w:rsid w:val="00F95347"/>
    <w:rsid w:val="00FA1BB2"/>
    <w:rsid w:val="00FA76BF"/>
    <w:rsid w:val="00FA7F89"/>
    <w:rsid w:val="00FB0F91"/>
    <w:rsid w:val="00FB1DDE"/>
    <w:rsid w:val="00FB2017"/>
    <w:rsid w:val="00FB3075"/>
    <w:rsid w:val="00FB78C8"/>
    <w:rsid w:val="00FC076B"/>
    <w:rsid w:val="00FC0B5B"/>
    <w:rsid w:val="00FC3836"/>
    <w:rsid w:val="00FC39E5"/>
    <w:rsid w:val="00FC3D0A"/>
    <w:rsid w:val="00FC4501"/>
    <w:rsid w:val="00FC4730"/>
    <w:rsid w:val="00FC5D0E"/>
    <w:rsid w:val="00FC6CBF"/>
    <w:rsid w:val="00FC791F"/>
    <w:rsid w:val="00FD074B"/>
    <w:rsid w:val="00FD1666"/>
    <w:rsid w:val="00FD17EE"/>
    <w:rsid w:val="00FD1E3F"/>
    <w:rsid w:val="00FD214D"/>
    <w:rsid w:val="00FD23BD"/>
    <w:rsid w:val="00FD46C5"/>
    <w:rsid w:val="00FD748A"/>
    <w:rsid w:val="00FE17C1"/>
    <w:rsid w:val="00FE1838"/>
    <w:rsid w:val="00FE7D7E"/>
    <w:rsid w:val="00FF157E"/>
    <w:rsid w:val="00FF27B1"/>
    <w:rsid w:val="00FF2C4E"/>
    <w:rsid w:val="00FF73F3"/>
    <w:rsid w:val="00FF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787048127">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437670482">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t\Desktop\Consumer%20confidence%20index\VN%20Consumer%20confidence%20inde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FSC\Data%20t&#7893;ng%20h&#7907;p\T&#236;nh%20h&#236;nh%20ho&#7841;t%20&#273;&#7897;ng%20DN.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tpcp%20201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cat>
            <c:strRef>
              <c:f>PMI!$AI$1:$AU$1</c:f>
              <c:strCache>
                <c:ptCount val="13"/>
                <c:pt idx="0">
                  <c:v>T1/15</c:v>
                </c:pt>
                <c:pt idx="1">
                  <c:v>T2/15</c:v>
                </c:pt>
                <c:pt idx="2">
                  <c:v>T3/15</c:v>
                </c:pt>
                <c:pt idx="3">
                  <c:v>T4/15</c:v>
                </c:pt>
                <c:pt idx="4">
                  <c:v>T5/15</c:v>
                </c:pt>
                <c:pt idx="5">
                  <c:v>T6/15</c:v>
                </c:pt>
                <c:pt idx="6">
                  <c:v>T7/15</c:v>
                </c:pt>
                <c:pt idx="7">
                  <c:v>T8/15</c:v>
                </c:pt>
                <c:pt idx="8">
                  <c:v>T9/15</c:v>
                </c:pt>
                <c:pt idx="9">
                  <c:v>T10/2015</c:v>
                </c:pt>
                <c:pt idx="10">
                  <c:v>T11/15</c:v>
                </c:pt>
                <c:pt idx="11">
                  <c:v>T12/15</c:v>
                </c:pt>
                <c:pt idx="12">
                  <c:v>T1/16</c:v>
                </c:pt>
              </c:strCache>
            </c:strRef>
          </c:cat>
          <c:val>
            <c:numRef>
              <c:f>PMI!$AI$2:$AU$2</c:f>
              <c:numCache>
                <c:formatCode>General</c:formatCode>
                <c:ptCount val="13"/>
                <c:pt idx="0">
                  <c:v>51.5</c:v>
                </c:pt>
                <c:pt idx="1">
                  <c:v>51.7</c:v>
                </c:pt>
                <c:pt idx="2">
                  <c:v>50.7</c:v>
                </c:pt>
                <c:pt idx="3">
                  <c:v>53.5</c:v>
                </c:pt>
                <c:pt idx="4">
                  <c:v>54.8</c:v>
                </c:pt>
                <c:pt idx="5">
                  <c:v>52.2</c:v>
                </c:pt>
                <c:pt idx="6">
                  <c:v>52.6</c:v>
                </c:pt>
                <c:pt idx="7">
                  <c:v>51.3</c:v>
                </c:pt>
                <c:pt idx="8">
                  <c:v>49.5</c:v>
                </c:pt>
                <c:pt idx="9">
                  <c:v>50.1</c:v>
                </c:pt>
                <c:pt idx="10">
                  <c:v>49.4</c:v>
                </c:pt>
                <c:pt idx="11">
                  <c:v>51.3</c:v>
                </c:pt>
                <c:pt idx="12">
                  <c:v>51.5</c:v>
                </c:pt>
              </c:numCache>
            </c:numRef>
          </c:val>
        </c:ser>
        <c:axId val="107074304"/>
        <c:axId val="107075840"/>
      </c:barChart>
      <c:catAx>
        <c:axId val="107074304"/>
        <c:scaling>
          <c:orientation val="minMax"/>
        </c:scaling>
        <c:axPos val="b"/>
        <c:tickLblPos val="nextTo"/>
        <c:crossAx val="107075840"/>
        <c:crosses val="autoZero"/>
        <c:auto val="1"/>
        <c:lblAlgn val="ctr"/>
        <c:lblOffset val="100"/>
      </c:catAx>
      <c:valAx>
        <c:axId val="107075840"/>
        <c:scaling>
          <c:orientation val="minMax"/>
          <c:max val="55"/>
          <c:min val="49"/>
        </c:scaling>
        <c:axPos val="l"/>
        <c:majorGridlines>
          <c:spPr>
            <a:ln>
              <a:prstDash val="sysDash"/>
            </a:ln>
          </c:spPr>
        </c:majorGridlines>
        <c:numFmt formatCode="General" sourceLinked="1"/>
        <c:tickLblPos val="nextTo"/>
        <c:crossAx val="107074304"/>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175357427531845"/>
          <c:y val="3.2228458506076155E-2"/>
          <c:w val="0.82926359745352562"/>
          <c:h val="0.65783276120239176"/>
        </c:manualLayout>
      </c:layout>
      <c:barChart>
        <c:barDir val="col"/>
        <c:grouping val="clustered"/>
        <c:ser>
          <c:idx val="0"/>
          <c:order val="0"/>
          <c:cat>
            <c:strRef>
              <c:f>Sheet1!$B$2:$Y$2</c:f>
              <c:strCache>
                <c:ptCount val="24"/>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strCache>
            </c:strRef>
          </c:cat>
          <c:val>
            <c:numRef>
              <c:f>Sheet1!$B$3:$Y$3</c:f>
              <c:numCache>
                <c:formatCode>General</c:formatCode>
                <c:ptCount val="24"/>
                <c:pt idx="0">
                  <c:v>126.5</c:v>
                </c:pt>
                <c:pt idx="1">
                  <c:v>136.4</c:v>
                </c:pt>
                <c:pt idx="2">
                  <c:v>136.4</c:v>
                </c:pt>
                <c:pt idx="3">
                  <c:v>129.6</c:v>
                </c:pt>
                <c:pt idx="4">
                  <c:v>123.3</c:v>
                </c:pt>
                <c:pt idx="5">
                  <c:v>131</c:v>
                </c:pt>
                <c:pt idx="6">
                  <c:v>134.1</c:v>
                </c:pt>
                <c:pt idx="7">
                  <c:v>135.5</c:v>
                </c:pt>
                <c:pt idx="8">
                  <c:v>135</c:v>
                </c:pt>
                <c:pt idx="9">
                  <c:v>134.69999999999999</c:v>
                </c:pt>
                <c:pt idx="10">
                  <c:v>140.9</c:v>
                </c:pt>
                <c:pt idx="11">
                  <c:v>135.6</c:v>
                </c:pt>
                <c:pt idx="12">
                  <c:v>135.4</c:v>
                </c:pt>
                <c:pt idx="13">
                  <c:v>142.30000000000001</c:v>
                </c:pt>
                <c:pt idx="14">
                  <c:v>141.5</c:v>
                </c:pt>
                <c:pt idx="15">
                  <c:v>140.19999999999999</c:v>
                </c:pt>
                <c:pt idx="16">
                  <c:v>140.19999999999999</c:v>
                </c:pt>
                <c:pt idx="17">
                  <c:v>143.1</c:v>
                </c:pt>
                <c:pt idx="18">
                  <c:v>138.6</c:v>
                </c:pt>
                <c:pt idx="19">
                  <c:v>133.69999999999999</c:v>
                </c:pt>
                <c:pt idx="20">
                  <c:v>135.30000000000001</c:v>
                </c:pt>
                <c:pt idx="21">
                  <c:v>141.4</c:v>
                </c:pt>
                <c:pt idx="22">
                  <c:v>142.30000000000001</c:v>
                </c:pt>
                <c:pt idx="23">
                  <c:v>144.80000000000001</c:v>
                </c:pt>
              </c:numCache>
            </c:numRef>
          </c:val>
        </c:ser>
        <c:axId val="100636544"/>
        <c:axId val="100638080"/>
      </c:barChart>
      <c:catAx>
        <c:axId val="100636544"/>
        <c:scaling>
          <c:orientation val="minMax"/>
        </c:scaling>
        <c:axPos val="b"/>
        <c:tickLblPos val="nextTo"/>
        <c:crossAx val="100638080"/>
        <c:crosses val="autoZero"/>
        <c:auto val="1"/>
        <c:lblAlgn val="ctr"/>
        <c:lblOffset val="100"/>
      </c:catAx>
      <c:valAx>
        <c:axId val="100638080"/>
        <c:scaling>
          <c:orientation val="minMax"/>
        </c:scaling>
        <c:axPos val="l"/>
        <c:majorGridlines>
          <c:spPr>
            <a:ln w="3175">
              <a:prstDash val="sysDot"/>
            </a:ln>
          </c:spPr>
        </c:majorGridlines>
        <c:numFmt formatCode="General" sourceLinked="1"/>
        <c:tickLblPos val="nextTo"/>
        <c:crossAx val="100636544"/>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0040817235263123"/>
          <c:y val="3.7914407690571111E-2"/>
          <c:w val="0.78975858460670734"/>
          <c:h val="0.5622040502642649"/>
        </c:manualLayout>
      </c:layout>
      <c:barChart>
        <c:barDir val="col"/>
        <c:grouping val="clustered"/>
        <c:ser>
          <c:idx val="0"/>
          <c:order val="0"/>
          <c:tx>
            <c:strRef>
              <c:f>Sheet1!$D$40</c:f>
              <c:strCache>
                <c:ptCount val="1"/>
                <c:pt idx="0">
                  <c:v>Số DN thành lập mới</c:v>
                </c:pt>
              </c:strCache>
            </c:strRef>
          </c:tx>
          <c:cat>
            <c:strRef>
              <c:f>Sheet1!$E$39:$H$39</c:f>
              <c:strCache>
                <c:ptCount val="4"/>
                <c:pt idx="0">
                  <c:v>T1/13</c:v>
                </c:pt>
                <c:pt idx="1">
                  <c:v>T1/14</c:v>
                </c:pt>
                <c:pt idx="2">
                  <c:v>T1/15</c:v>
                </c:pt>
                <c:pt idx="3">
                  <c:v>T1/16</c:v>
                </c:pt>
              </c:strCache>
            </c:strRef>
          </c:cat>
          <c:val>
            <c:numRef>
              <c:f>Sheet1!$E$40:$H$40</c:f>
              <c:numCache>
                <c:formatCode>General</c:formatCode>
                <c:ptCount val="4"/>
                <c:pt idx="0">
                  <c:v>3.8369999999999989</c:v>
                </c:pt>
                <c:pt idx="1">
                  <c:v>6.865999999999997</c:v>
                </c:pt>
                <c:pt idx="2">
                  <c:v>6.8669999999999973</c:v>
                </c:pt>
                <c:pt idx="3">
                  <c:v>8.32</c:v>
                </c:pt>
              </c:numCache>
            </c:numRef>
          </c:val>
        </c:ser>
        <c:axId val="105308928"/>
        <c:axId val="105310464"/>
      </c:barChart>
      <c:lineChart>
        <c:grouping val="standard"/>
        <c:ser>
          <c:idx val="1"/>
          <c:order val="1"/>
          <c:tx>
            <c:strRef>
              <c:f>Sheet1!$D$41</c:f>
              <c:strCache>
                <c:ptCount val="1"/>
                <c:pt idx="0">
                  <c:v>Số DN giải thể, chấm dứt hoạt động</c:v>
                </c:pt>
              </c:strCache>
            </c:strRef>
          </c:tx>
          <c:cat>
            <c:strRef>
              <c:f>Sheet1!$E$39:$H$39</c:f>
              <c:strCache>
                <c:ptCount val="4"/>
                <c:pt idx="0">
                  <c:v>T1/13</c:v>
                </c:pt>
                <c:pt idx="1">
                  <c:v>T1/14</c:v>
                </c:pt>
                <c:pt idx="2">
                  <c:v>T1/15</c:v>
                </c:pt>
                <c:pt idx="3">
                  <c:v>T1/16</c:v>
                </c:pt>
              </c:strCache>
            </c:strRef>
          </c:cat>
          <c:val>
            <c:numRef>
              <c:f>Sheet1!$E$41:$H$41</c:f>
              <c:numCache>
                <c:formatCode>General</c:formatCode>
                <c:ptCount val="4"/>
                <c:pt idx="0">
                  <c:v>0.72800000000000031</c:v>
                </c:pt>
                <c:pt idx="1">
                  <c:v>1.08</c:v>
                </c:pt>
                <c:pt idx="2">
                  <c:v>0.93300000000000005</c:v>
                </c:pt>
                <c:pt idx="3">
                  <c:v>1.3380000000000001</c:v>
                </c:pt>
              </c:numCache>
            </c:numRef>
          </c:val>
        </c:ser>
        <c:marker val="1"/>
        <c:axId val="107038208"/>
        <c:axId val="107036672"/>
      </c:lineChart>
      <c:catAx>
        <c:axId val="105308928"/>
        <c:scaling>
          <c:orientation val="minMax"/>
        </c:scaling>
        <c:axPos val="b"/>
        <c:majorTickMark val="none"/>
        <c:tickLblPos val="nextTo"/>
        <c:crossAx val="105310464"/>
        <c:crosses val="autoZero"/>
        <c:auto val="1"/>
        <c:lblAlgn val="ctr"/>
        <c:lblOffset val="100"/>
      </c:catAx>
      <c:valAx>
        <c:axId val="105310464"/>
        <c:scaling>
          <c:orientation val="minMax"/>
        </c:scaling>
        <c:axPos val="l"/>
        <c:majorGridlines>
          <c:spPr>
            <a:ln>
              <a:prstDash val="sysDash"/>
            </a:ln>
          </c:spPr>
        </c:majorGridlines>
        <c:numFmt formatCode="General" sourceLinked="1"/>
        <c:majorTickMark val="none"/>
        <c:tickLblPos val="nextTo"/>
        <c:spPr>
          <a:ln w="9525">
            <a:noFill/>
          </a:ln>
        </c:spPr>
        <c:crossAx val="105308928"/>
        <c:crosses val="autoZero"/>
        <c:crossBetween val="between"/>
        <c:majorUnit val="2"/>
      </c:valAx>
      <c:valAx>
        <c:axId val="107036672"/>
        <c:scaling>
          <c:orientation val="minMax"/>
        </c:scaling>
        <c:axPos val="r"/>
        <c:numFmt formatCode="General" sourceLinked="1"/>
        <c:tickLblPos val="nextTo"/>
        <c:crossAx val="107038208"/>
        <c:crosses val="max"/>
        <c:crossBetween val="between"/>
        <c:majorUnit val="0.4"/>
      </c:valAx>
      <c:catAx>
        <c:axId val="107038208"/>
        <c:scaling>
          <c:orientation val="minMax"/>
        </c:scaling>
        <c:delete val="1"/>
        <c:axPos val="b"/>
        <c:tickLblPos val="none"/>
        <c:crossAx val="107036672"/>
        <c:crosses val="autoZero"/>
        <c:auto val="1"/>
        <c:lblAlgn val="ctr"/>
        <c:lblOffset val="100"/>
      </c:catAx>
    </c:plotArea>
    <c:legend>
      <c:legendPos val="b"/>
      <c:layout>
        <c:manualLayout>
          <c:xMode val="edge"/>
          <c:yMode val="edge"/>
          <c:x val="0.1724449196199172"/>
          <c:y val="0.78521544639556062"/>
          <c:w val="0.65511016076016559"/>
          <c:h val="0.15872934388106605"/>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Series 1</c:v>
                </c:pt>
              </c:strCache>
            </c:strRef>
          </c:tx>
          <c:spPr>
            <a:solidFill>
              <a:srgbClr val="0070C0"/>
            </a:solidFill>
            <a:ln>
              <a:solidFill>
                <a:srgbClr val="0070C0"/>
              </a:solidFill>
            </a:ln>
          </c:spPr>
          <c:dLbls>
            <c:dLbl>
              <c:idx val="8"/>
              <c:layout>
                <c:manualLayout>
                  <c:x val="4.0650406504065054E-3"/>
                  <c:y val="-7.3059360730593603E-2"/>
                </c:manualLayout>
              </c:layout>
              <c:showVal val="1"/>
              <c:extLst>
                <c:ext xmlns:c15="http://schemas.microsoft.com/office/drawing/2012/chart" uri="{CE6537A1-D6FC-4f65-9D91-7224C49458BB}"/>
              </c:extLst>
            </c:dLbl>
            <c:dLbl>
              <c:idx val="11"/>
              <c:layout>
                <c:manualLayout>
                  <c:x val="7.2426726868928008E-3"/>
                  <c:y val="7.1985099651184024E-3"/>
                </c:manualLayout>
              </c:layout>
              <c:showVal val="1"/>
            </c:dLbl>
            <c:dLbl>
              <c:idx val="17"/>
              <c:layout>
                <c:manualLayout>
                  <c:x val="1.219512195121952E-2"/>
                  <c:y val="-1.8264840182648397E-2"/>
                </c:manualLayout>
              </c:layout>
              <c:showVal val="1"/>
              <c:extLst>
                <c:ext xmlns:c15="http://schemas.microsoft.com/office/drawing/2012/chart" uri="{CE6537A1-D6FC-4f65-9D91-7224C49458BB}"/>
              </c:extLst>
            </c:dLbl>
            <c:numFmt formatCode="#,##0_);[Red]\(#,##0\)" sourceLinked="0"/>
            <c:spPr>
              <a:noFill/>
              <a:ln>
                <a:noFill/>
              </a:ln>
              <a:effectLst/>
            </c:spPr>
            <c:txPr>
              <a:bodyPr/>
              <a:lstStyle/>
              <a:p>
                <a:pPr>
                  <a:defRPr sz="600">
                    <a:latin typeface="Times New Roman" pitchFamily="18" charset="0"/>
                    <a:cs typeface="Times New Roman" pitchFamily="18" charset="0"/>
                  </a:defRPr>
                </a:pPr>
                <a:endParaRPr lang="en-US"/>
              </a:p>
            </c:txPr>
            <c:showVal val="1"/>
            <c:extLst>
              <c:ext xmlns:c15="http://schemas.microsoft.com/office/drawing/2012/chart" uri="{CE6537A1-D6FC-4f65-9D91-7224C49458BB}">
                <c15:showLeaderLines val="0"/>
              </c:ext>
            </c:extLst>
          </c:dLbls>
          <c:cat>
            <c:strRef>
              <c:f>Sheet1!$A$2:$A$27</c:f>
              <c:strCache>
                <c:ptCount val="26"/>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pt idx="24">
                  <c:v>T1.16 </c:v>
                </c:pt>
                <c:pt idx="25">
                  <c:v>T2.16 (tới 25/2)</c:v>
                </c:pt>
              </c:strCache>
            </c:strRef>
          </c:cat>
          <c:val>
            <c:numRef>
              <c:f>Sheet1!$B$2:$B$27</c:f>
              <c:numCache>
                <c:formatCode>General</c:formatCode>
                <c:ptCount val="26"/>
                <c:pt idx="0">
                  <c:v>1729.6083031000001</c:v>
                </c:pt>
                <c:pt idx="1">
                  <c:v>1207.6733591999998</c:v>
                </c:pt>
                <c:pt idx="2">
                  <c:v>-2136.2198143999999</c:v>
                </c:pt>
                <c:pt idx="3">
                  <c:v>1747.9157595000013</c:v>
                </c:pt>
                <c:pt idx="4">
                  <c:v>2582.6406432999997</c:v>
                </c:pt>
                <c:pt idx="5">
                  <c:v>1952.8508684000001</c:v>
                </c:pt>
                <c:pt idx="6">
                  <c:v>266.19191409999985</c:v>
                </c:pt>
                <c:pt idx="7">
                  <c:v>-322.08579250000003</c:v>
                </c:pt>
                <c:pt idx="8">
                  <c:v>-1129.9355867000011</c:v>
                </c:pt>
                <c:pt idx="9">
                  <c:v>-1168.0029936999999</c:v>
                </c:pt>
                <c:pt idx="10">
                  <c:v>-943.03500829999996</c:v>
                </c:pt>
                <c:pt idx="11">
                  <c:v>22.510803599999999</c:v>
                </c:pt>
                <c:pt idx="12">
                  <c:v>-180</c:v>
                </c:pt>
                <c:pt idx="13">
                  <c:v>1164</c:v>
                </c:pt>
                <c:pt idx="14">
                  <c:v>-939</c:v>
                </c:pt>
                <c:pt idx="15">
                  <c:v>1844</c:v>
                </c:pt>
                <c:pt idx="16">
                  <c:v>1394</c:v>
                </c:pt>
                <c:pt idx="17">
                  <c:v>1529</c:v>
                </c:pt>
                <c:pt idx="18">
                  <c:v>754</c:v>
                </c:pt>
                <c:pt idx="19">
                  <c:v>-435</c:v>
                </c:pt>
                <c:pt idx="20">
                  <c:v>-1021</c:v>
                </c:pt>
                <c:pt idx="21">
                  <c:v>1156</c:v>
                </c:pt>
                <c:pt idx="22">
                  <c:v>-381.42999999999984</c:v>
                </c:pt>
                <c:pt idx="23">
                  <c:v>-2126.2799999999997</c:v>
                </c:pt>
                <c:pt idx="24">
                  <c:v>-1282</c:v>
                </c:pt>
                <c:pt idx="25">
                  <c:v>-191</c:v>
                </c:pt>
              </c:numCache>
            </c:numRef>
          </c:val>
        </c:ser>
        <c:axId val="107119744"/>
        <c:axId val="107121280"/>
      </c:barChart>
      <c:catAx>
        <c:axId val="107119744"/>
        <c:scaling>
          <c:orientation val="minMax"/>
        </c:scaling>
        <c:axPos val="b"/>
        <c:numFmt formatCode="General" sourceLinked="0"/>
        <c:tickLblPos val="low"/>
        <c:txPr>
          <a:bodyPr rot="-5400000" vert="horz"/>
          <a:lstStyle/>
          <a:p>
            <a:pPr>
              <a:defRPr sz="800" b="0" i="0">
                <a:latin typeface="Times New Roman" pitchFamily="18" charset="0"/>
                <a:cs typeface="Times New Roman" pitchFamily="18" charset="0"/>
              </a:defRPr>
            </a:pPr>
            <a:endParaRPr lang="en-US"/>
          </a:p>
        </c:txPr>
        <c:crossAx val="107121280"/>
        <c:crosses val="autoZero"/>
        <c:auto val="1"/>
        <c:lblAlgn val="ctr"/>
        <c:lblOffset val="100"/>
      </c:catAx>
      <c:valAx>
        <c:axId val="107121280"/>
        <c:scaling>
          <c:orientation val="minMax"/>
        </c:scaling>
        <c:delete val="1"/>
        <c:axPos val="l"/>
        <c:numFmt formatCode="General" sourceLinked="1"/>
        <c:tickLblPos val="none"/>
        <c:crossAx val="107119744"/>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2"/>
          <c:order val="0"/>
          <c:dLbls>
            <c:dLbl>
              <c:idx val="0"/>
              <c:layout>
                <c:manualLayout>
                  <c:x val="-4.2505656409946781E-2"/>
                  <c:y val="-6.3901335890132194E-2"/>
                </c:manualLayout>
              </c:layout>
              <c:showVal val="1"/>
            </c:dLbl>
            <c:dLbl>
              <c:idx val="1"/>
              <c:layout>
                <c:manualLayout>
                  <c:x val="-3.6087362674442992E-2"/>
                  <c:y val="-7.1001484322369107E-2"/>
                </c:manualLayout>
              </c:layout>
              <c:showVal val="1"/>
            </c:dLbl>
            <c:dLbl>
              <c:idx val="2"/>
              <c:layout>
                <c:manualLayout>
                  <c:x val="-1.8043681337221451E-2"/>
                  <c:y val="-7.1001484322369768E-3"/>
                </c:manualLayout>
              </c:layout>
              <c:showVal val="1"/>
            </c:dLbl>
            <c:dLbl>
              <c:idx val="3"/>
              <c:layout>
                <c:manualLayout>
                  <c:x val="-9.0218406686107446E-3"/>
                  <c:y val="2.1300445296710737E-2"/>
                </c:manualLayout>
              </c:layout>
              <c:showVal val="1"/>
            </c:dLbl>
            <c:dLbl>
              <c:idx val="4"/>
              <c:layout>
                <c:manualLayout>
                  <c:x val="-9.0218406686107446E-3"/>
                  <c:y val="-1.4200296864473883E-2"/>
                </c:manualLayout>
              </c:layout>
              <c:showVal val="1"/>
            </c:dLbl>
            <c:dLbl>
              <c:idx val="5"/>
              <c:layout>
                <c:manualLayout>
                  <c:x val="-5.4131044011664464E-2"/>
                  <c:y val="-7.1001484322369107E-2"/>
                </c:manualLayout>
              </c:layout>
              <c:showVal val="1"/>
            </c:dLbl>
            <c:dLbl>
              <c:idx val="6"/>
              <c:layout>
                <c:manualLayout>
                  <c:x val="-3.4522748180536265E-2"/>
                  <c:y val="-7.8101632754606035E-2"/>
                </c:manualLayout>
              </c:layout>
              <c:showVal val="1"/>
            </c:dLbl>
            <c:dLbl>
              <c:idx val="7"/>
              <c:layout>
                <c:manualLayout>
                  <c:x val="-4.5109203343053714E-3"/>
                  <c:y val="2.840059372894764E-2"/>
                </c:manualLayout>
              </c:layout>
              <c:showVal val="1"/>
            </c:dLbl>
            <c:dLbl>
              <c:idx val="8"/>
              <c:layout>
                <c:manualLayout>
                  <c:x val="-6.0891741463882453E-2"/>
                  <c:y val="-4.1812047330595792E-2"/>
                </c:manualLayout>
              </c:layout>
              <c:showVal val="1"/>
            </c:dLbl>
            <c:dLbl>
              <c:idx val="9"/>
              <c:layout>
                <c:manualLayout>
                  <c:x val="-6.3152884680275204E-2"/>
                  <c:y val="-0.11360237491579056"/>
                </c:manualLayout>
              </c:layout>
              <c:showVal val="1"/>
            </c:dLbl>
            <c:dLbl>
              <c:idx val="12"/>
              <c:layout>
                <c:manualLayout>
                  <c:x val="0"/>
                  <c:y val="-5.1103368176538905E-2"/>
                </c:manualLayout>
              </c:layout>
              <c:showVal val="1"/>
            </c:dLbl>
            <c:txPr>
              <a:bodyPr/>
              <a:lstStyle/>
              <a:p>
                <a:pPr>
                  <a:defRPr sz="800">
                    <a:latin typeface="Times New Roman" pitchFamily="18" charset="0"/>
                    <a:cs typeface="Times New Roman" pitchFamily="18" charset="0"/>
                  </a:defRPr>
                </a:pPr>
                <a:endParaRPr lang="en-US"/>
              </a:p>
            </c:txPr>
            <c:showVal val="1"/>
          </c:dLbls>
          <c:cat>
            <c:numRef>
              <c:f>'Tổng hợp theo tháng'!$B$6:$B$18</c:f>
              <c:numCache>
                <c:formatCode>mmm\-yy</c:formatCode>
                <c:ptCount val="13"/>
                <c:pt idx="0">
                  <c:v>42036</c:v>
                </c:pt>
                <c:pt idx="1">
                  <c:v>42064</c:v>
                </c:pt>
                <c:pt idx="2">
                  <c:v>42095</c:v>
                </c:pt>
                <c:pt idx="3">
                  <c:v>42125</c:v>
                </c:pt>
                <c:pt idx="4">
                  <c:v>42156</c:v>
                </c:pt>
                <c:pt idx="5">
                  <c:v>42186</c:v>
                </c:pt>
                <c:pt idx="6">
                  <c:v>42217</c:v>
                </c:pt>
                <c:pt idx="7">
                  <c:v>42248</c:v>
                </c:pt>
                <c:pt idx="8">
                  <c:v>42278</c:v>
                </c:pt>
                <c:pt idx="9">
                  <c:v>42309</c:v>
                </c:pt>
                <c:pt idx="10">
                  <c:v>42339</c:v>
                </c:pt>
                <c:pt idx="11">
                  <c:v>42370</c:v>
                </c:pt>
                <c:pt idx="12">
                  <c:v>42401</c:v>
                </c:pt>
              </c:numCache>
            </c:numRef>
          </c:cat>
          <c:val>
            <c:numRef>
              <c:f>'Tổng hợp theo tháng'!$E$6:$E$18</c:f>
              <c:numCache>
                <c:formatCode>0.0</c:formatCode>
                <c:ptCount val="13"/>
                <c:pt idx="0">
                  <c:v>91.897280000000023</c:v>
                </c:pt>
                <c:pt idx="1">
                  <c:v>51.207213114754111</c:v>
                </c:pt>
                <c:pt idx="2">
                  <c:v>41.577512195121969</c:v>
                </c:pt>
                <c:pt idx="3">
                  <c:v>18.421621621621622</c:v>
                </c:pt>
                <c:pt idx="4">
                  <c:v>43.418823529411753</c:v>
                </c:pt>
                <c:pt idx="5">
                  <c:v>60.191621632653046</c:v>
                </c:pt>
                <c:pt idx="6">
                  <c:v>30.039589285714271</c:v>
                </c:pt>
                <c:pt idx="7">
                  <c:v>16.686666666666667</c:v>
                </c:pt>
                <c:pt idx="8">
                  <c:v>81.470440251572313</c:v>
                </c:pt>
                <c:pt idx="9">
                  <c:v>80.233734939759003</c:v>
                </c:pt>
                <c:pt idx="10">
                  <c:v>98.387339743589678</c:v>
                </c:pt>
                <c:pt idx="11" formatCode="General">
                  <c:v>65.599999999999994</c:v>
                </c:pt>
                <c:pt idx="12">
                  <c:v>96.6</c:v>
                </c:pt>
              </c:numCache>
            </c:numRef>
          </c:val>
        </c:ser>
        <c:marker val="1"/>
        <c:axId val="107148800"/>
        <c:axId val="107150336"/>
      </c:lineChart>
      <c:dateAx>
        <c:axId val="107148800"/>
        <c:scaling>
          <c:orientation val="minMax"/>
        </c:scaling>
        <c:axPos val="b"/>
        <c:numFmt formatCode="mm/yy;@" sourceLinked="0"/>
        <c:tickLblPos val="nextTo"/>
        <c:txPr>
          <a:bodyPr rot="-2220000"/>
          <a:lstStyle/>
          <a:p>
            <a:pPr>
              <a:defRPr sz="800" b="1">
                <a:latin typeface="Times New Roman" pitchFamily="18" charset="0"/>
                <a:cs typeface="Times New Roman" pitchFamily="18" charset="0"/>
              </a:defRPr>
            </a:pPr>
            <a:endParaRPr lang="en-US"/>
          </a:p>
        </c:txPr>
        <c:crossAx val="107150336"/>
        <c:crosses val="autoZero"/>
        <c:auto val="1"/>
        <c:lblOffset val="100"/>
        <c:baseTimeUnit val="months"/>
        <c:majorUnit val="2"/>
        <c:majorTimeUnit val="months"/>
      </c:dateAx>
      <c:valAx>
        <c:axId val="107150336"/>
        <c:scaling>
          <c:orientation val="minMax"/>
        </c:scaling>
        <c:axPos val="l"/>
        <c:majorGridlines>
          <c:spPr>
            <a:ln>
              <a:prstDash val="sysDot"/>
            </a:ln>
          </c:spPr>
        </c:majorGridlines>
        <c:numFmt formatCode="0" sourceLinked="0"/>
        <c:tickLblPos val="nextTo"/>
        <c:txPr>
          <a:bodyPr/>
          <a:lstStyle/>
          <a:p>
            <a:pPr>
              <a:defRPr sz="800" b="1">
                <a:latin typeface="Times New Roman" pitchFamily="18" charset="0"/>
                <a:cs typeface="Times New Roman" pitchFamily="18" charset="0"/>
              </a:defRPr>
            </a:pPr>
            <a:endParaRPr lang="en-US"/>
          </a:p>
        </c:txPr>
        <c:crossAx val="107148800"/>
        <c:crosses val="autoZero"/>
        <c:crossBetween val="between"/>
        <c:majorUnit val="20"/>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51B0-C24D-4624-A63F-3BD79BFD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HP5530MW7U</cp:lastModifiedBy>
  <cp:revision>2</cp:revision>
  <cp:lastPrinted>2016-02-26T09:00:00Z</cp:lastPrinted>
  <dcterms:created xsi:type="dcterms:W3CDTF">2016-03-06T15:16:00Z</dcterms:created>
  <dcterms:modified xsi:type="dcterms:W3CDTF">2016-03-06T15:16:00Z</dcterms:modified>
</cp:coreProperties>
</file>