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4" w:type="dxa"/>
        <w:jc w:val="center"/>
        <w:tblLook w:val="01E0" w:firstRow="1" w:lastRow="1" w:firstColumn="1" w:lastColumn="1" w:noHBand="0" w:noVBand="0"/>
      </w:tblPr>
      <w:tblGrid>
        <w:gridCol w:w="3556"/>
        <w:gridCol w:w="6488"/>
      </w:tblGrid>
      <w:tr w:rsidR="00900767" w:rsidRPr="005C6A26" w:rsidTr="00B0278F">
        <w:trPr>
          <w:jc w:val="center"/>
        </w:trPr>
        <w:tc>
          <w:tcPr>
            <w:tcW w:w="3556" w:type="dxa"/>
          </w:tcPr>
          <w:p w:rsidR="00900767" w:rsidRPr="005C6A26" w:rsidRDefault="00900767" w:rsidP="00BC5190">
            <w:pPr>
              <w:widowControl w:val="0"/>
              <w:spacing w:after="0"/>
              <w:ind w:firstLine="0"/>
              <w:jc w:val="center"/>
              <w:rPr>
                <w:b/>
                <w:bCs/>
                <w:sz w:val="26"/>
                <w:szCs w:val="26"/>
                <w:lang w:val="vi-VN"/>
              </w:rPr>
            </w:pPr>
            <w:r w:rsidRPr="005C6A26">
              <w:rPr>
                <w:b/>
                <w:bCs/>
                <w:sz w:val="26"/>
                <w:szCs w:val="26"/>
                <w:lang w:val="vi-VN"/>
              </w:rPr>
              <w:t xml:space="preserve">ỦY BAN GIÁM SÁT </w:t>
            </w:r>
          </w:p>
          <w:p w:rsidR="00900767" w:rsidRPr="005C6A26" w:rsidRDefault="00900767" w:rsidP="00BC5190">
            <w:pPr>
              <w:widowControl w:val="0"/>
              <w:spacing w:after="0"/>
              <w:ind w:firstLine="0"/>
              <w:jc w:val="center"/>
              <w:rPr>
                <w:b/>
                <w:bCs/>
                <w:sz w:val="26"/>
                <w:szCs w:val="26"/>
                <w:lang w:val="vi-VN"/>
              </w:rPr>
            </w:pPr>
            <w:r w:rsidRPr="005C6A26">
              <w:rPr>
                <w:b/>
                <w:bCs/>
                <w:sz w:val="26"/>
                <w:szCs w:val="26"/>
                <w:lang w:val="vi-VN"/>
              </w:rPr>
              <w:t>TÀI CHÍNH QUỐC GIA</w:t>
            </w:r>
          </w:p>
          <w:p w:rsidR="00900767" w:rsidRPr="005C6A26" w:rsidRDefault="00366A73" w:rsidP="00BC5190">
            <w:pPr>
              <w:widowControl w:val="0"/>
              <w:spacing w:after="0"/>
              <w:ind w:firstLine="0"/>
              <w:jc w:val="center"/>
              <w:rPr>
                <w:sz w:val="26"/>
                <w:szCs w:val="26"/>
                <w:lang w:val="vi-VN"/>
              </w:rPr>
            </w:pPr>
            <w:r>
              <w:rPr>
                <w:noProof/>
                <w:sz w:val="26"/>
                <w:szCs w:val="26"/>
              </w:rPr>
              <mc:AlternateContent>
                <mc:Choice Requires="wps">
                  <w:drawing>
                    <wp:anchor distT="4294967291" distB="4294967291" distL="114300" distR="114300" simplePos="0" relativeHeight="251656192" behindDoc="0" locked="0" layoutInCell="1" allowOverlap="1">
                      <wp:simplePos x="0" y="0"/>
                      <wp:positionH relativeFrom="column">
                        <wp:posOffset>647700</wp:posOffset>
                      </wp:positionH>
                      <wp:positionV relativeFrom="paragraph">
                        <wp:posOffset>44449</wp:posOffset>
                      </wp:positionV>
                      <wp:extent cx="69532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pt,3.5pt" to="10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bVDwIAACc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"/>
                  </w:pict>
                </mc:Fallback>
              </mc:AlternateContent>
            </w:r>
          </w:p>
          <w:p w:rsidR="00900767" w:rsidRPr="005C6A26" w:rsidRDefault="00900767" w:rsidP="00BC5190">
            <w:pPr>
              <w:widowControl w:val="0"/>
              <w:spacing w:after="0"/>
              <w:ind w:firstLine="0"/>
              <w:jc w:val="center"/>
              <w:rPr>
                <w:sz w:val="26"/>
                <w:szCs w:val="26"/>
                <w:lang w:val="vi-VN"/>
              </w:rPr>
            </w:pPr>
            <w:r w:rsidRPr="005C6A26">
              <w:rPr>
                <w:sz w:val="26"/>
                <w:szCs w:val="26"/>
                <w:lang w:val="vi-VN"/>
              </w:rPr>
              <w:t>Số:        /</w:t>
            </w:r>
            <w:r w:rsidR="000E5F9F" w:rsidRPr="005C6A26">
              <w:rPr>
                <w:sz w:val="26"/>
                <w:szCs w:val="26"/>
              </w:rPr>
              <w:t>BC-</w:t>
            </w:r>
            <w:r w:rsidRPr="005C6A26">
              <w:rPr>
                <w:sz w:val="26"/>
                <w:szCs w:val="26"/>
                <w:lang w:val="vi-VN"/>
              </w:rPr>
              <w:t>UBGSTCQG</w:t>
            </w:r>
          </w:p>
        </w:tc>
        <w:tc>
          <w:tcPr>
            <w:tcW w:w="6488" w:type="dxa"/>
          </w:tcPr>
          <w:p w:rsidR="00900767" w:rsidRPr="005C6A26" w:rsidRDefault="00900767" w:rsidP="00BC5190">
            <w:pPr>
              <w:widowControl w:val="0"/>
              <w:spacing w:after="0"/>
              <w:jc w:val="center"/>
              <w:rPr>
                <w:b/>
                <w:bCs/>
                <w:sz w:val="26"/>
                <w:szCs w:val="26"/>
                <w:lang w:val="vi-VN"/>
              </w:rPr>
            </w:pPr>
            <w:r w:rsidRPr="005C6A26">
              <w:rPr>
                <w:b/>
                <w:bCs/>
                <w:sz w:val="26"/>
                <w:szCs w:val="26"/>
                <w:lang w:val="vi-VN"/>
              </w:rPr>
              <w:t>CỘNG HÒA XÃ HỘI CHỦ NGHĨA VIỆT NAM</w:t>
            </w:r>
          </w:p>
          <w:p w:rsidR="00900767" w:rsidRPr="005C6A26" w:rsidRDefault="00900767" w:rsidP="00BC5190">
            <w:pPr>
              <w:widowControl w:val="0"/>
              <w:spacing w:after="0"/>
              <w:jc w:val="center"/>
              <w:rPr>
                <w:b/>
                <w:bCs/>
                <w:sz w:val="26"/>
                <w:szCs w:val="26"/>
                <w:lang w:val="vi-VN"/>
              </w:rPr>
            </w:pPr>
            <w:r w:rsidRPr="005C6A26">
              <w:rPr>
                <w:b/>
                <w:bCs/>
                <w:sz w:val="26"/>
                <w:szCs w:val="26"/>
                <w:lang w:val="vi-VN"/>
              </w:rPr>
              <w:t>Độc lập - Tự do - Hạnh phúc</w:t>
            </w:r>
          </w:p>
          <w:p w:rsidR="00900767" w:rsidRPr="005C6A26" w:rsidRDefault="00366A73" w:rsidP="00BC5190">
            <w:pPr>
              <w:widowControl w:val="0"/>
              <w:spacing w:after="0"/>
              <w:ind w:left="397"/>
              <w:jc w:val="right"/>
              <w:rPr>
                <w:i/>
                <w:iCs/>
                <w:sz w:val="26"/>
                <w:szCs w:val="26"/>
              </w:rPr>
            </w:pPr>
            <w:r>
              <w:rPr>
                <w:noProof/>
                <w:sz w:val="26"/>
                <w:szCs w:val="26"/>
              </w:rPr>
              <mc:AlternateContent>
                <mc:Choice Requires="wps">
                  <w:drawing>
                    <wp:anchor distT="4294967291" distB="4294967291" distL="114300" distR="114300" simplePos="0" relativeHeight="251657216" behindDoc="0" locked="0" layoutInCell="1" allowOverlap="1">
                      <wp:simplePos x="0" y="0"/>
                      <wp:positionH relativeFrom="column">
                        <wp:posOffset>1181100</wp:posOffset>
                      </wp:positionH>
                      <wp:positionV relativeFrom="paragraph">
                        <wp:posOffset>44449</wp:posOffset>
                      </wp:positionV>
                      <wp:extent cx="2070100" cy="0"/>
                      <wp:effectExtent l="0" t="0" r="2540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3pt,3.5pt" to="2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ML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"/>
                  </w:pict>
                </mc:Fallback>
              </mc:AlternateContent>
            </w:r>
            <w:r w:rsidR="00900767" w:rsidRPr="005C6A26">
              <w:rPr>
                <w:i/>
                <w:iCs/>
                <w:sz w:val="26"/>
                <w:szCs w:val="26"/>
                <w:lang w:val="vi-VN"/>
              </w:rPr>
              <w:t xml:space="preserve">      </w:t>
            </w:r>
          </w:p>
          <w:p w:rsidR="00900767" w:rsidRPr="00BA4FFA" w:rsidRDefault="00900767" w:rsidP="00F95983">
            <w:pPr>
              <w:widowControl w:val="0"/>
              <w:spacing w:after="0"/>
              <w:ind w:firstLine="0"/>
              <w:jc w:val="right"/>
              <w:rPr>
                <w:i/>
                <w:iCs/>
                <w:sz w:val="26"/>
                <w:szCs w:val="26"/>
              </w:rPr>
            </w:pPr>
            <w:r w:rsidRPr="005C6A26">
              <w:rPr>
                <w:i/>
                <w:iCs/>
                <w:sz w:val="26"/>
                <w:szCs w:val="26"/>
                <w:lang w:val="vi-VN"/>
              </w:rPr>
              <w:t>Hà Nội, ngày</w:t>
            </w:r>
            <w:r w:rsidR="00B0278F" w:rsidRPr="005C6A26">
              <w:rPr>
                <w:i/>
                <w:iCs/>
                <w:sz w:val="26"/>
                <w:szCs w:val="26"/>
              </w:rPr>
              <w:t xml:space="preserve"> </w:t>
            </w:r>
            <w:r w:rsidR="00F95983">
              <w:rPr>
                <w:i/>
                <w:iCs/>
                <w:sz w:val="26"/>
                <w:szCs w:val="26"/>
              </w:rPr>
              <w:t>25</w:t>
            </w:r>
            <w:r w:rsidR="008D56AC">
              <w:rPr>
                <w:i/>
                <w:iCs/>
                <w:sz w:val="26"/>
                <w:szCs w:val="26"/>
              </w:rPr>
              <w:t xml:space="preserve"> </w:t>
            </w:r>
            <w:r w:rsidRPr="005C6A26">
              <w:rPr>
                <w:i/>
                <w:iCs/>
                <w:sz w:val="26"/>
                <w:szCs w:val="26"/>
                <w:lang w:val="vi-VN"/>
              </w:rPr>
              <w:t>tháng</w:t>
            </w:r>
            <w:r w:rsidR="00BA4FFA">
              <w:rPr>
                <w:i/>
                <w:iCs/>
                <w:sz w:val="26"/>
                <w:szCs w:val="26"/>
              </w:rPr>
              <w:t xml:space="preserve"> </w:t>
            </w:r>
            <w:r w:rsidR="00262B15">
              <w:rPr>
                <w:i/>
                <w:iCs/>
                <w:sz w:val="26"/>
                <w:szCs w:val="26"/>
              </w:rPr>
              <w:t>3</w:t>
            </w:r>
            <w:r w:rsidR="00D63CF0" w:rsidRPr="005C6A26">
              <w:rPr>
                <w:i/>
                <w:iCs/>
                <w:sz w:val="26"/>
                <w:szCs w:val="26"/>
              </w:rPr>
              <w:t xml:space="preserve"> </w:t>
            </w:r>
            <w:r w:rsidRPr="005C6A26">
              <w:rPr>
                <w:i/>
                <w:iCs/>
                <w:sz w:val="26"/>
                <w:szCs w:val="26"/>
                <w:lang w:val="vi-VN"/>
              </w:rPr>
              <w:t>năm 201</w:t>
            </w:r>
            <w:r w:rsidR="00BA4FFA">
              <w:rPr>
                <w:i/>
                <w:iCs/>
                <w:sz w:val="26"/>
                <w:szCs w:val="26"/>
              </w:rPr>
              <w:t>6</w:t>
            </w:r>
          </w:p>
        </w:tc>
      </w:tr>
    </w:tbl>
    <w:p w:rsidR="00900767" w:rsidRPr="005C6A26" w:rsidRDefault="00900767" w:rsidP="00BC5190">
      <w:pPr>
        <w:rPr>
          <w:sz w:val="26"/>
          <w:szCs w:val="26"/>
        </w:rPr>
      </w:pPr>
    </w:p>
    <w:p w:rsidR="00900767" w:rsidRPr="005C6A26" w:rsidRDefault="00900767" w:rsidP="00BC5190">
      <w:pPr>
        <w:ind w:firstLine="0"/>
        <w:jc w:val="center"/>
        <w:rPr>
          <w:b/>
          <w:sz w:val="26"/>
          <w:szCs w:val="26"/>
        </w:rPr>
      </w:pPr>
    </w:p>
    <w:p w:rsidR="00F22114" w:rsidRPr="005C6A26" w:rsidRDefault="00F22114" w:rsidP="00BC5190">
      <w:pPr>
        <w:spacing w:before="120"/>
        <w:ind w:firstLine="0"/>
        <w:jc w:val="center"/>
        <w:rPr>
          <w:b/>
          <w:sz w:val="26"/>
          <w:szCs w:val="26"/>
        </w:rPr>
      </w:pPr>
      <w:r w:rsidRPr="005C6A26">
        <w:rPr>
          <w:b/>
          <w:sz w:val="26"/>
          <w:szCs w:val="26"/>
          <w:lang w:val="vi-VN"/>
        </w:rPr>
        <w:t>BÁO CÁO</w:t>
      </w:r>
    </w:p>
    <w:p w:rsidR="00F22114" w:rsidRPr="005C6A26" w:rsidRDefault="00F22114" w:rsidP="00BC5190">
      <w:pPr>
        <w:spacing w:before="120"/>
        <w:ind w:firstLine="0"/>
        <w:jc w:val="center"/>
        <w:rPr>
          <w:b/>
          <w:sz w:val="26"/>
          <w:szCs w:val="26"/>
        </w:rPr>
      </w:pPr>
      <w:r w:rsidRPr="005C6A26">
        <w:rPr>
          <w:b/>
          <w:sz w:val="26"/>
          <w:szCs w:val="26"/>
        </w:rPr>
        <w:t xml:space="preserve">TÌNH HÌNH KINH TẾ THÁNG </w:t>
      </w:r>
      <w:r w:rsidR="00262B15">
        <w:rPr>
          <w:b/>
          <w:sz w:val="26"/>
          <w:szCs w:val="26"/>
        </w:rPr>
        <w:t>3</w:t>
      </w:r>
      <w:r w:rsidR="007F43DB">
        <w:rPr>
          <w:b/>
          <w:sz w:val="26"/>
          <w:szCs w:val="26"/>
        </w:rPr>
        <w:t xml:space="preserve"> VÀ </w:t>
      </w:r>
      <w:r w:rsidR="00262B15">
        <w:rPr>
          <w:b/>
          <w:sz w:val="26"/>
          <w:szCs w:val="26"/>
        </w:rPr>
        <w:t>3</w:t>
      </w:r>
      <w:r w:rsidR="007F43DB">
        <w:rPr>
          <w:b/>
          <w:sz w:val="26"/>
          <w:szCs w:val="26"/>
        </w:rPr>
        <w:t xml:space="preserve"> THÁNG ĐẦU </w:t>
      </w:r>
      <w:r w:rsidR="00BA4FFA">
        <w:rPr>
          <w:b/>
          <w:sz w:val="26"/>
          <w:szCs w:val="26"/>
        </w:rPr>
        <w:t xml:space="preserve">NĂM </w:t>
      </w:r>
      <w:r w:rsidRPr="005C6A26">
        <w:rPr>
          <w:b/>
          <w:sz w:val="26"/>
          <w:szCs w:val="26"/>
        </w:rPr>
        <w:t>201</w:t>
      </w:r>
      <w:r w:rsidR="00BA4FFA">
        <w:rPr>
          <w:b/>
          <w:sz w:val="26"/>
          <w:szCs w:val="26"/>
        </w:rPr>
        <w:t>6</w:t>
      </w:r>
    </w:p>
    <w:p w:rsidR="00F22114" w:rsidRPr="005C6A26" w:rsidRDefault="00F22114" w:rsidP="00BC5190">
      <w:pPr>
        <w:pStyle w:val="Footer"/>
        <w:spacing w:before="120"/>
        <w:ind w:firstLine="0"/>
        <w:jc w:val="center"/>
        <w:rPr>
          <w:i/>
          <w:sz w:val="26"/>
          <w:szCs w:val="26"/>
        </w:rPr>
      </w:pPr>
      <w:r w:rsidRPr="005C6A26">
        <w:rPr>
          <w:i/>
          <w:sz w:val="26"/>
          <w:szCs w:val="26"/>
          <w:lang w:val="vi-VN"/>
        </w:rPr>
        <w:t xml:space="preserve">(Tài liệu phục vụ </w:t>
      </w:r>
      <w:r w:rsidRPr="005C6A26">
        <w:rPr>
          <w:i/>
          <w:sz w:val="26"/>
          <w:szCs w:val="26"/>
        </w:rPr>
        <w:t>phiên họp</w:t>
      </w:r>
      <w:r w:rsidR="00D63CF0" w:rsidRPr="005C6A26">
        <w:rPr>
          <w:i/>
          <w:sz w:val="26"/>
          <w:szCs w:val="26"/>
        </w:rPr>
        <w:t xml:space="preserve"> Chính phủ tháng</w:t>
      </w:r>
      <w:r w:rsidR="00BA4FFA">
        <w:rPr>
          <w:i/>
          <w:sz w:val="26"/>
          <w:szCs w:val="26"/>
        </w:rPr>
        <w:t xml:space="preserve"> </w:t>
      </w:r>
      <w:r w:rsidR="00262B15">
        <w:rPr>
          <w:i/>
          <w:sz w:val="26"/>
          <w:szCs w:val="26"/>
        </w:rPr>
        <w:t>3</w:t>
      </w:r>
      <w:r w:rsidRPr="005C6A26">
        <w:rPr>
          <w:i/>
          <w:sz w:val="26"/>
          <w:szCs w:val="26"/>
        </w:rPr>
        <w:t>/201</w:t>
      </w:r>
      <w:r w:rsidR="00BA4FFA">
        <w:rPr>
          <w:i/>
          <w:sz w:val="26"/>
          <w:szCs w:val="26"/>
        </w:rPr>
        <w:t>6</w:t>
      </w:r>
      <w:r w:rsidRPr="005C6A26">
        <w:rPr>
          <w:i/>
          <w:sz w:val="26"/>
          <w:szCs w:val="26"/>
          <w:lang w:val="vi-VN"/>
        </w:rPr>
        <w:t>)</w:t>
      </w:r>
    </w:p>
    <w:p w:rsidR="00900767" w:rsidRDefault="00900767" w:rsidP="00BC5190">
      <w:pPr>
        <w:pStyle w:val="Footer"/>
        <w:spacing w:before="120"/>
        <w:ind w:firstLine="0"/>
        <w:jc w:val="center"/>
        <w:rPr>
          <w:i/>
          <w:sz w:val="26"/>
          <w:szCs w:val="26"/>
        </w:rPr>
      </w:pPr>
      <w:bookmarkStart w:id="0" w:name="_GoBack"/>
      <w:bookmarkEnd w:id="0"/>
    </w:p>
    <w:p w:rsidR="00546DC5" w:rsidRPr="005C6A26" w:rsidRDefault="00546DC5" w:rsidP="00BC5190">
      <w:pPr>
        <w:pStyle w:val="Footer"/>
        <w:spacing w:before="120"/>
        <w:ind w:firstLine="0"/>
        <w:jc w:val="center"/>
        <w:rPr>
          <w:i/>
          <w:sz w:val="26"/>
          <w:szCs w:val="26"/>
        </w:rPr>
      </w:pPr>
    </w:p>
    <w:p w:rsidR="000116A2" w:rsidRPr="00232F6F" w:rsidRDefault="000116A2" w:rsidP="00366A73">
      <w:pPr>
        <w:pStyle w:val="Footer"/>
        <w:numPr>
          <w:ilvl w:val="0"/>
          <w:numId w:val="13"/>
        </w:numPr>
        <w:spacing w:before="240" w:line="288" w:lineRule="auto"/>
        <w:ind w:left="851" w:hanging="567"/>
        <w:rPr>
          <w:i/>
          <w:spacing w:val="4"/>
          <w:sz w:val="26"/>
          <w:szCs w:val="26"/>
        </w:rPr>
      </w:pPr>
      <w:r w:rsidRPr="00232F6F">
        <w:rPr>
          <w:i/>
          <w:spacing w:val="4"/>
          <w:sz w:val="26"/>
          <w:szCs w:val="26"/>
          <w:lang w:val="de-DE"/>
        </w:rPr>
        <w:t xml:space="preserve">Kinh tế thế giới được dự báo sẽ tiếp tục đối mặt với nhiều thách thức trong năm 2016 </w:t>
      </w:r>
    </w:p>
    <w:p w:rsidR="00262B15" w:rsidRPr="00232F6F" w:rsidRDefault="000116A2" w:rsidP="00366A73">
      <w:pPr>
        <w:pStyle w:val="Footer"/>
        <w:numPr>
          <w:ilvl w:val="0"/>
          <w:numId w:val="13"/>
        </w:numPr>
        <w:spacing w:before="240" w:line="288" w:lineRule="auto"/>
        <w:ind w:left="851" w:hanging="567"/>
        <w:rPr>
          <w:i/>
          <w:sz w:val="26"/>
          <w:szCs w:val="26"/>
        </w:rPr>
      </w:pPr>
      <w:r w:rsidRPr="00232F6F">
        <w:rPr>
          <w:i/>
          <w:sz w:val="26"/>
          <w:szCs w:val="26"/>
        </w:rPr>
        <w:t>Giá dầu và giá hàng hóa thế giới bắt đầu có dấu hiệu tăng trở lại</w:t>
      </w:r>
    </w:p>
    <w:p w:rsidR="00262B15" w:rsidRPr="00232F6F" w:rsidRDefault="00240816" w:rsidP="00366A73">
      <w:pPr>
        <w:pStyle w:val="Footer"/>
        <w:numPr>
          <w:ilvl w:val="0"/>
          <w:numId w:val="13"/>
        </w:numPr>
        <w:spacing w:before="240" w:line="288" w:lineRule="auto"/>
        <w:ind w:left="851" w:hanging="567"/>
        <w:rPr>
          <w:i/>
          <w:sz w:val="26"/>
          <w:szCs w:val="26"/>
        </w:rPr>
      </w:pPr>
      <w:r w:rsidRPr="00232F6F">
        <w:rPr>
          <w:i/>
          <w:sz w:val="26"/>
          <w:szCs w:val="26"/>
        </w:rPr>
        <w:t xml:space="preserve">Tăng trưởng </w:t>
      </w:r>
      <w:r w:rsidR="00753D0D" w:rsidRPr="00232F6F">
        <w:rPr>
          <w:i/>
          <w:sz w:val="26"/>
          <w:szCs w:val="26"/>
        </w:rPr>
        <w:t>kinh tế Việt Nam trong những tháng đầu năm 2016 tiếp đà phục hồi, song đang có gia tốc chậm lại</w:t>
      </w:r>
      <w:r w:rsidR="00EA5299" w:rsidRPr="00232F6F">
        <w:rPr>
          <w:i/>
          <w:sz w:val="26"/>
          <w:szCs w:val="26"/>
        </w:rPr>
        <w:t>. Nguyên nhân là t</w:t>
      </w:r>
      <w:r w:rsidR="0085345E" w:rsidRPr="00232F6F">
        <w:rPr>
          <w:i/>
          <w:sz w:val="26"/>
          <w:szCs w:val="26"/>
        </w:rPr>
        <w:t xml:space="preserve">ổng cầu quý I/2016 </w:t>
      </w:r>
      <w:r w:rsidR="00EA5299" w:rsidRPr="00232F6F">
        <w:rPr>
          <w:i/>
          <w:sz w:val="26"/>
          <w:szCs w:val="26"/>
        </w:rPr>
        <w:t>tăng chậm</w:t>
      </w:r>
      <w:r w:rsidR="0085345E" w:rsidRPr="00232F6F">
        <w:rPr>
          <w:i/>
          <w:sz w:val="26"/>
          <w:szCs w:val="26"/>
        </w:rPr>
        <w:t xml:space="preserve"> hơn so với cùng kỳ năm 2015</w:t>
      </w:r>
      <w:r w:rsidR="00EA5299" w:rsidRPr="00232F6F">
        <w:rPr>
          <w:i/>
          <w:sz w:val="26"/>
          <w:szCs w:val="26"/>
        </w:rPr>
        <w:t xml:space="preserve">. </w:t>
      </w:r>
      <w:r w:rsidR="0085423C" w:rsidRPr="00232F6F">
        <w:rPr>
          <w:i/>
          <w:sz w:val="26"/>
          <w:szCs w:val="26"/>
        </w:rPr>
        <w:t xml:space="preserve">Chỉ số sản xuất công nghiệp </w:t>
      </w:r>
      <w:r w:rsidR="00EA5299" w:rsidRPr="00232F6F">
        <w:rPr>
          <w:i/>
          <w:sz w:val="26"/>
          <w:szCs w:val="26"/>
        </w:rPr>
        <w:t xml:space="preserve">cũng </w:t>
      </w:r>
      <w:r w:rsidR="0085423C" w:rsidRPr="00232F6F">
        <w:rPr>
          <w:i/>
          <w:sz w:val="26"/>
          <w:szCs w:val="26"/>
        </w:rPr>
        <w:t>tăng thấp</w:t>
      </w:r>
      <w:r w:rsidR="00EA5299" w:rsidRPr="00232F6F">
        <w:rPr>
          <w:i/>
          <w:sz w:val="26"/>
          <w:szCs w:val="26"/>
        </w:rPr>
        <w:t xml:space="preserve"> hơn so với mức cùng kỳ năm trước.</w:t>
      </w:r>
    </w:p>
    <w:p w:rsidR="0085423C" w:rsidRPr="00232F6F" w:rsidRDefault="0085423C" w:rsidP="00366A73">
      <w:pPr>
        <w:pStyle w:val="Footer"/>
        <w:numPr>
          <w:ilvl w:val="0"/>
          <w:numId w:val="13"/>
        </w:numPr>
        <w:spacing w:before="240" w:line="288" w:lineRule="auto"/>
        <w:ind w:left="851" w:hanging="567"/>
        <w:rPr>
          <w:i/>
          <w:sz w:val="26"/>
          <w:szCs w:val="26"/>
        </w:rPr>
      </w:pPr>
      <w:r w:rsidRPr="00232F6F">
        <w:rPr>
          <w:i/>
          <w:sz w:val="26"/>
          <w:szCs w:val="26"/>
        </w:rPr>
        <w:t xml:space="preserve">Lạm phát </w:t>
      </w:r>
      <w:r w:rsidR="00B732FF" w:rsidRPr="00232F6F">
        <w:rPr>
          <w:i/>
          <w:sz w:val="26"/>
          <w:szCs w:val="26"/>
        </w:rPr>
        <w:t>tháng 3 so với tháng 2 tăng cao nhất trong 5 năm ở lại đây chủ yếu do tăng giá dịch vụ y tế và giáo dục, không phải do yếu tố chi phí đẩy</w:t>
      </w:r>
    </w:p>
    <w:p w:rsidR="00B97D45" w:rsidRPr="00232F6F" w:rsidRDefault="00B97D45" w:rsidP="00366A73">
      <w:pPr>
        <w:pStyle w:val="Footer"/>
        <w:numPr>
          <w:ilvl w:val="0"/>
          <w:numId w:val="13"/>
        </w:numPr>
        <w:spacing w:before="240" w:line="288" w:lineRule="auto"/>
        <w:ind w:left="851" w:hanging="567"/>
        <w:rPr>
          <w:i/>
          <w:sz w:val="26"/>
          <w:szCs w:val="26"/>
        </w:rPr>
      </w:pPr>
      <w:r w:rsidRPr="00232F6F">
        <w:rPr>
          <w:i/>
          <w:sz w:val="26"/>
          <w:szCs w:val="26"/>
        </w:rPr>
        <w:t>Thu ngân sách Nhà nước gặp khó khăn do giá dầu giảm</w:t>
      </w:r>
    </w:p>
    <w:p w:rsidR="00B97D45" w:rsidRPr="00232F6F" w:rsidRDefault="00B75D7D" w:rsidP="00366A73">
      <w:pPr>
        <w:pStyle w:val="Footer"/>
        <w:numPr>
          <w:ilvl w:val="0"/>
          <w:numId w:val="13"/>
        </w:numPr>
        <w:spacing w:before="240" w:line="288" w:lineRule="auto"/>
        <w:ind w:left="851" w:hanging="567"/>
        <w:rPr>
          <w:i/>
          <w:sz w:val="26"/>
          <w:szCs w:val="26"/>
          <w:lang w:val="sv-SE"/>
        </w:rPr>
      </w:pPr>
      <w:r w:rsidRPr="00232F6F">
        <w:rPr>
          <w:i/>
          <w:sz w:val="26"/>
          <w:szCs w:val="26"/>
        </w:rPr>
        <w:t xml:space="preserve">Thị trường tiền tệ-ngân hàng: (i) </w:t>
      </w:r>
      <w:r w:rsidRPr="00232F6F">
        <w:rPr>
          <w:i/>
          <w:sz w:val="26"/>
          <w:szCs w:val="26"/>
          <w:lang w:val="sv-SE"/>
        </w:rPr>
        <w:t>Lãi suất liên ngân hàng quý I/2016 cao hơn so với cùng kỳ 2015; (ii) Lãi suất huy động ngắn hạn biến động nhẹ ở kỳ hạn 6-12 tháng. Mặt bằng lãi suất huy động chủ yếu tăng mạnh ở các kỳ hạn dài trên 12 tháng; (iii) T</w:t>
      </w:r>
      <w:r w:rsidR="00B97D45" w:rsidRPr="00232F6F">
        <w:rPr>
          <w:i/>
          <w:sz w:val="26"/>
          <w:szCs w:val="26"/>
          <w:lang w:val="sv-SE"/>
        </w:rPr>
        <w:t xml:space="preserve">hị trường ngoại hối trong nước ổn định. Tỷ giá kỳ hạn NDF và CDS của VND tiếp tục xu hướng giảm cho thấy niềm tin vào đồng Việt Nam </w:t>
      </w:r>
    </w:p>
    <w:p w:rsidR="00F7112F" w:rsidRPr="00232F6F" w:rsidRDefault="00B75D7D" w:rsidP="00366A73">
      <w:pPr>
        <w:pStyle w:val="Footer"/>
        <w:numPr>
          <w:ilvl w:val="0"/>
          <w:numId w:val="13"/>
        </w:numPr>
        <w:spacing w:before="240" w:line="288" w:lineRule="auto"/>
        <w:ind w:left="851" w:hanging="567"/>
        <w:rPr>
          <w:i/>
          <w:sz w:val="26"/>
          <w:szCs w:val="26"/>
          <w:lang w:val="de-DE"/>
        </w:rPr>
      </w:pPr>
      <w:r w:rsidRPr="00232F6F">
        <w:rPr>
          <w:i/>
          <w:sz w:val="26"/>
          <w:szCs w:val="26"/>
          <w:lang w:val="sv-SE"/>
        </w:rPr>
        <w:t xml:space="preserve">Thị trường cổ phiếu-trái phiếu: (i) Thị trường cổ phiếu tiếp tục diễn biến tích cực trong tháng 3 nhờ kết quả kinh doanh của các doanh nghiệp niêm yết cải thiện; (ii) </w:t>
      </w:r>
      <w:r w:rsidR="00225809" w:rsidRPr="00232F6F">
        <w:rPr>
          <w:i/>
          <w:sz w:val="26"/>
          <w:szCs w:val="26"/>
          <w:lang w:val="sv-SE"/>
        </w:rPr>
        <w:t>Tỷ lệ trúng thầu TPCP tháng 3/2016 giảm mạnh so với tháng 2</w:t>
      </w:r>
    </w:p>
    <w:p w:rsidR="00F22114" w:rsidRPr="00CB443A" w:rsidRDefault="00F22114" w:rsidP="00BC5190">
      <w:pPr>
        <w:spacing w:after="200"/>
        <w:ind w:firstLine="0"/>
        <w:jc w:val="left"/>
        <w:rPr>
          <w:b/>
          <w:sz w:val="26"/>
          <w:szCs w:val="26"/>
          <w:lang w:val="de-DE"/>
        </w:rPr>
      </w:pPr>
      <w:r w:rsidRPr="00CB443A">
        <w:rPr>
          <w:b/>
          <w:sz w:val="26"/>
          <w:szCs w:val="26"/>
          <w:lang w:val="de-DE"/>
        </w:rPr>
        <w:br w:type="page"/>
      </w:r>
    </w:p>
    <w:p w:rsidR="005926AC" w:rsidRPr="006C7196" w:rsidRDefault="005926AC" w:rsidP="006C7196">
      <w:pPr>
        <w:pStyle w:val="Footer"/>
        <w:numPr>
          <w:ilvl w:val="0"/>
          <w:numId w:val="12"/>
        </w:numPr>
        <w:tabs>
          <w:tab w:val="left" w:pos="284"/>
          <w:tab w:val="left" w:pos="567"/>
        </w:tabs>
        <w:spacing w:before="120" w:line="312" w:lineRule="auto"/>
        <w:ind w:hanging="1080"/>
        <w:rPr>
          <w:b/>
          <w:sz w:val="26"/>
          <w:szCs w:val="26"/>
        </w:rPr>
      </w:pPr>
      <w:r w:rsidRPr="006C7196">
        <w:rPr>
          <w:b/>
          <w:sz w:val="26"/>
          <w:szCs w:val="26"/>
        </w:rPr>
        <w:lastRenderedPageBreak/>
        <w:t>KINH TẾ THẾ GIỚI</w:t>
      </w:r>
      <w:r w:rsidR="008D2284" w:rsidRPr="006C7196">
        <w:rPr>
          <w:b/>
          <w:sz w:val="26"/>
          <w:szCs w:val="26"/>
        </w:rPr>
        <w:t xml:space="preserve"> </w:t>
      </w:r>
    </w:p>
    <w:p w:rsidR="00A750DC" w:rsidRPr="006C7196" w:rsidRDefault="00A750DC" w:rsidP="006C7196">
      <w:pPr>
        <w:pStyle w:val="Footer"/>
        <w:numPr>
          <w:ilvl w:val="0"/>
          <w:numId w:val="23"/>
        </w:numPr>
        <w:tabs>
          <w:tab w:val="left" w:pos="284"/>
          <w:tab w:val="left" w:pos="567"/>
        </w:tabs>
        <w:spacing w:before="120" w:line="312" w:lineRule="auto"/>
        <w:ind w:left="426" w:hanging="426"/>
        <w:rPr>
          <w:b/>
          <w:sz w:val="26"/>
          <w:szCs w:val="26"/>
        </w:rPr>
      </w:pPr>
      <w:r w:rsidRPr="006C7196">
        <w:rPr>
          <w:b/>
          <w:sz w:val="26"/>
          <w:szCs w:val="26"/>
        </w:rPr>
        <w:t>Tăng trưởng kinh tế</w:t>
      </w:r>
    </w:p>
    <w:p w:rsidR="0037519C" w:rsidRPr="00FA78E6" w:rsidRDefault="00C720A3" w:rsidP="0037519C">
      <w:pPr>
        <w:pStyle w:val="Footer"/>
        <w:tabs>
          <w:tab w:val="left" w:pos="284"/>
          <w:tab w:val="left" w:pos="567"/>
          <w:tab w:val="left" w:pos="709"/>
        </w:tabs>
        <w:spacing w:before="120" w:line="312" w:lineRule="auto"/>
        <w:ind w:firstLine="0"/>
        <w:rPr>
          <w:sz w:val="26"/>
          <w:szCs w:val="26"/>
        </w:rPr>
      </w:pPr>
      <w:r>
        <w:rPr>
          <w:b/>
          <w:i/>
          <w:sz w:val="26"/>
          <w:szCs w:val="26"/>
        </w:rPr>
        <w:tab/>
      </w:r>
      <w:r>
        <w:rPr>
          <w:b/>
          <w:i/>
          <w:sz w:val="26"/>
          <w:szCs w:val="26"/>
        </w:rPr>
        <w:tab/>
      </w:r>
      <w:r w:rsidR="00AD7244">
        <w:rPr>
          <w:b/>
          <w:i/>
          <w:sz w:val="26"/>
          <w:szCs w:val="26"/>
        </w:rPr>
        <w:tab/>
      </w:r>
      <w:r w:rsidR="0037519C">
        <w:rPr>
          <w:b/>
          <w:i/>
          <w:sz w:val="26"/>
          <w:szCs w:val="26"/>
        </w:rPr>
        <w:tab/>
      </w:r>
      <w:r w:rsidR="0037519C" w:rsidRPr="00A42524">
        <w:rPr>
          <w:b/>
          <w:i/>
          <w:sz w:val="26"/>
          <w:szCs w:val="26"/>
        </w:rPr>
        <w:t>Mỹ</w:t>
      </w:r>
      <w:r w:rsidR="0037519C" w:rsidRPr="00566FBE">
        <w:rPr>
          <w:b/>
          <w:sz w:val="26"/>
          <w:szCs w:val="26"/>
        </w:rPr>
        <w:t>,</w:t>
      </w:r>
      <w:r w:rsidR="0037519C" w:rsidRPr="00EC4D67">
        <w:rPr>
          <w:b/>
          <w:sz w:val="26"/>
          <w:szCs w:val="26"/>
        </w:rPr>
        <w:t xml:space="preserve"> </w:t>
      </w:r>
      <w:r w:rsidR="0037519C" w:rsidRPr="00DA3111">
        <w:rPr>
          <w:sz w:val="26"/>
          <w:szCs w:val="26"/>
        </w:rPr>
        <w:t>kinh tế tiếp tục có những diễn biến lạc quan, song chưa đạt được như kỳ vọng.</w:t>
      </w:r>
      <w:r w:rsidR="00923124">
        <w:rPr>
          <w:sz w:val="26"/>
          <w:szCs w:val="26"/>
        </w:rPr>
        <w:t xml:space="preserve"> Chỉ số PMI tháng 3 tăng nhẹ lên </w:t>
      </w:r>
      <w:r w:rsidR="0037519C">
        <w:rPr>
          <w:sz w:val="26"/>
          <w:szCs w:val="26"/>
        </w:rPr>
        <w:t xml:space="preserve"> mức 51,4 điểm so với m</w:t>
      </w:r>
      <w:r w:rsidR="00923124">
        <w:rPr>
          <w:sz w:val="26"/>
          <w:szCs w:val="26"/>
        </w:rPr>
        <w:t>ức 51,3 điểm trong tháng trước.</w:t>
      </w:r>
      <w:r w:rsidR="0037519C">
        <w:rPr>
          <w:sz w:val="26"/>
          <w:szCs w:val="26"/>
        </w:rPr>
        <w:t xml:space="preserve"> Số nhà được khởi công xây dựng trong tháng 2 tăng 5,2%</w:t>
      </w:r>
      <w:r w:rsidR="0037519C">
        <w:rPr>
          <w:rStyle w:val="FootnoteReference"/>
          <w:sz w:val="26"/>
          <w:szCs w:val="26"/>
        </w:rPr>
        <w:footnoteReference w:id="1"/>
      </w:r>
      <w:r w:rsidR="0037519C">
        <w:rPr>
          <w:sz w:val="26"/>
          <w:szCs w:val="26"/>
        </w:rPr>
        <w:t xml:space="preserve"> mức cao nhất trong năm tháng trở lại đây.</w:t>
      </w:r>
      <w:r w:rsidR="0037519C" w:rsidRPr="00EC4D67">
        <w:rPr>
          <w:sz w:val="26"/>
          <w:szCs w:val="26"/>
        </w:rPr>
        <w:t xml:space="preserve"> </w:t>
      </w:r>
      <w:r w:rsidR="00923124">
        <w:rPr>
          <w:sz w:val="26"/>
          <w:szCs w:val="26"/>
        </w:rPr>
        <w:t>Tỷ lệ thất nghiệp tiếp tục giảm xuống còn 4,9% trong 2 tháng đầu năm (từ mức 5% trong 3 tháng cuối năm 2015). Lạm phát cơ bản tiếp tục xu hướng tăng kể từ cuối năm 2015 và đạt mức 2,3% trong tháng 2/2016, là mức lạm phát cơ bản cao nhất kể từ tháng 5/2012.</w:t>
      </w:r>
      <w:r w:rsidR="0037519C">
        <w:rPr>
          <w:sz w:val="26"/>
          <w:szCs w:val="26"/>
        </w:rPr>
        <w:t xml:space="preserve"> </w:t>
      </w:r>
      <w:r w:rsidR="0037519C" w:rsidRPr="00EF0D75">
        <w:rPr>
          <w:i/>
          <w:sz w:val="26"/>
          <w:szCs w:val="26"/>
        </w:rPr>
        <w:t>Những dấu hiệu tích cực này đã khiến Mỹ nâng dự báo tăng trưởng GDP quý I/2016 lên 2% (quý IV/2015 tăng 1%)</w:t>
      </w:r>
      <w:r w:rsidR="0037519C">
        <w:rPr>
          <w:sz w:val="26"/>
          <w:szCs w:val="26"/>
        </w:rPr>
        <w:t xml:space="preserve">. </w:t>
      </w:r>
    </w:p>
    <w:p w:rsidR="0037519C" w:rsidRDefault="0037519C" w:rsidP="0037519C">
      <w:pPr>
        <w:spacing w:line="312" w:lineRule="auto"/>
        <w:rPr>
          <w:sz w:val="26"/>
          <w:szCs w:val="26"/>
        </w:rPr>
      </w:pPr>
      <w:r w:rsidRPr="00A42524">
        <w:rPr>
          <w:b/>
          <w:i/>
          <w:sz w:val="26"/>
          <w:szCs w:val="26"/>
        </w:rPr>
        <w:t>Châu Âu</w:t>
      </w:r>
      <w:r w:rsidRPr="00EC4D67">
        <w:rPr>
          <w:b/>
          <w:sz w:val="26"/>
          <w:szCs w:val="26"/>
        </w:rPr>
        <w:t xml:space="preserve">, </w:t>
      </w:r>
      <w:r>
        <w:rPr>
          <w:sz w:val="26"/>
          <w:szCs w:val="26"/>
        </w:rPr>
        <w:t>h</w:t>
      </w:r>
      <w:r w:rsidRPr="00002E50">
        <w:rPr>
          <w:sz w:val="26"/>
          <w:szCs w:val="26"/>
        </w:rPr>
        <w:t xml:space="preserve">oạt động tiêu </w:t>
      </w:r>
      <w:r>
        <w:rPr>
          <w:sz w:val="26"/>
          <w:szCs w:val="26"/>
        </w:rPr>
        <w:t>dù</w:t>
      </w:r>
      <w:r w:rsidRPr="00002E50">
        <w:rPr>
          <w:sz w:val="26"/>
          <w:szCs w:val="26"/>
        </w:rPr>
        <w:t xml:space="preserve">ng không mấy khả quan khi doanh số bán lẻ </w:t>
      </w:r>
      <w:r>
        <w:rPr>
          <w:sz w:val="26"/>
          <w:szCs w:val="26"/>
        </w:rPr>
        <w:t>hà</w:t>
      </w:r>
      <w:r w:rsidRPr="00002E50">
        <w:rPr>
          <w:sz w:val="26"/>
          <w:szCs w:val="26"/>
        </w:rPr>
        <w:t xml:space="preserve">ng hóa </w:t>
      </w:r>
      <w:r>
        <w:rPr>
          <w:sz w:val="26"/>
          <w:szCs w:val="26"/>
        </w:rPr>
        <w:t xml:space="preserve">tháng 1 </w:t>
      </w:r>
      <w:r w:rsidRPr="00002E50">
        <w:rPr>
          <w:sz w:val="26"/>
          <w:szCs w:val="26"/>
        </w:rPr>
        <w:t>chỉ</w:t>
      </w:r>
      <w:r>
        <w:rPr>
          <w:sz w:val="26"/>
          <w:szCs w:val="26"/>
        </w:rPr>
        <w:t xml:space="preserve"> tăng 2% </w:t>
      </w:r>
      <w:r w:rsidRPr="00002E50">
        <w:rPr>
          <w:sz w:val="26"/>
          <w:szCs w:val="26"/>
        </w:rPr>
        <w:t>so với cùng kỳ</w:t>
      </w:r>
      <w:r>
        <w:rPr>
          <w:sz w:val="26"/>
          <w:szCs w:val="26"/>
        </w:rPr>
        <w:t xml:space="preserve"> (tháng 12/2015 tăng 2,1%). Tỷ lệ thất nghiệp ở mức 10,3% trong tháng 1, thấp hơn mức 10,4% của tháng 12/2015. Lạm phát tháng 2 đã quay đầu giảm 0,2% so với cùng kỳ (đây là lần đầu tiên trong 5 tháng lạm phát có mức tăng âm). Chỉ số PMI trong tháng 3 ở mức 51,4 điểm, tăng nhẹ so với mức 51,2 điểm của tháng trước, cao hơn so với kỳ vọng 51,3 điểm của thị trường . </w:t>
      </w:r>
    </w:p>
    <w:p w:rsidR="0037519C" w:rsidRPr="00DA3111" w:rsidRDefault="0037519C" w:rsidP="0037519C">
      <w:pPr>
        <w:spacing w:line="312" w:lineRule="auto"/>
        <w:rPr>
          <w:sz w:val="26"/>
          <w:szCs w:val="26"/>
        </w:rPr>
      </w:pPr>
      <w:r w:rsidRPr="00A42524">
        <w:rPr>
          <w:b/>
          <w:i/>
          <w:sz w:val="26"/>
          <w:szCs w:val="26"/>
        </w:rPr>
        <w:t>Nhật Bản</w:t>
      </w:r>
      <w:r w:rsidRPr="00DA3111">
        <w:rPr>
          <w:b/>
          <w:sz w:val="26"/>
          <w:szCs w:val="26"/>
        </w:rPr>
        <w:t xml:space="preserve">, </w:t>
      </w:r>
      <w:r>
        <w:rPr>
          <w:sz w:val="26"/>
          <w:szCs w:val="26"/>
        </w:rPr>
        <w:t xml:space="preserve">trong bối cảnh giá dầu đi xuống dẫn đến giá trị nhập khẩu giảm, cán cân thương mại của Nhật đạt thặng dư 242,77 triệu USD, so với mức thâm hụt 575,98 triệu USD trong tháng trước. Chỉ số PMI trong tháng 3 ở mức 49,1 điểm, giảm nhẹ so với mức 50,1 điểm của tháng 2 và là mức thấp nhất từ tháng 6/2015. </w:t>
      </w:r>
    </w:p>
    <w:p w:rsidR="0037519C" w:rsidRDefault="0037519C" w:rsidP="0037519C">
      <w:pPr>
        <w:spacing w:line="312" w:lineRule="auto"/>
        <w:rPr>
          <w:sz w:val="26"/>
          <w:szCs w:val="26"/>
        </w:rPr>
      </w:pPr>
      <w:r w:rsidRPr="00A42524">
        <w:rPr>
          <w:b/>
          <w:i/>
          <w:sz w:val="26"/>
          <w:szCs w:val="26"/>
        </w:rPr>
        <w:t>Trung Quốc</w:t>
      </w:r>
      <w:r>
        <w:rPr>
          <w:sz w:val="26"/>
          <w:szCs w:val="26"/>
        </w:rPr>
        <w:t>, kinh tế tiếp tục xấu đi ở cả khu vực sản xuất và dịch vụ. Chỉ số PMI tháng 2 ở mức 48 điểm, giảm 0,4 điểm so với tháng trước, và là tháng thứ 11 liên tiếp ở mức dưới ngưỡng 50 điểm. Lạm phát tháng 2 của nước này là 2,3%</w:t>
      </w:r>
      <w:r>
        <w:rPr>
          <w:rStyle w:val="FootnoteReference"/>
          <w:sz w:val="26"/>
          <w:szCs w:val="26"/>
        </w:rPr>
        <w:footnoteReference w:id="2"/>
      </w:r>
      <w:r>
        <w:rPr>
          <w:sz w:val="26"/>
          <w:szCs w:val="26"/>
        </w:rPr>
        <w:t xml:space="preserve">, cao hơn mức dự đoán 1,9%; đây là tốc độ lạm phát cao nhất kể từ tháng 7/2014 đến nay do giá lương thực thực phẩm tăng 7,3%. Xuất khẩu giảm với tốc độ nhanh nhất trong hơn 6 năm qua, còn nhập khẩu ghi nhận tháng thứ 16 liên tiếp sụt giảm. </w:t>
      </w:r>
    </w:p>
    <w:p w:rsidR="0037519C" w:rsidRPr="00CC1C76" w:rsidRDefault="0037519C" w:rsidP="0037519C">
      <w:pPr>
        <w:pStyle w:val="Footer"/>
        <w:numPr>
          <w:ilvl w:val="0"/>
          <w:numId w:val="23"/>
        </w:numPr>
        <w:tabs>
          <w:tab w:val="left" w:pos="284"/>
          <w:tab w:val="left" w:pos="567"/>
        </w:tabs>
        <w:spacing w:before="120" w:line="312" w:lineRule="auto"/>
        <w:ind w:left="426" w:hanging="426"/>
        <w:rPr>
          <w:b/>
          <w:sz w:val="26"/>
          <w:szCs w:val="26"/>
        </w:rPr>
      </w:pPr>
      <w:r w:rsidRPr="00CC1C76">
        <w:rPr>
          <w:b/>
          <w:sz w:val="26"/>
          <w:szCs w:val="26"/>
        </w:rPr>
        <w:t>Chính sách tiền tệ</w:t>
      </w:r>
    </w:p>
    <w:p w:rsidR="0037519C" w:rsidRPr="00CC1C76" w:rsidRDefault="0037519C" w:rsidP="0037519C">
      <w:pPr>
        <w:spacing w:line="312" w:lineRule="auto"/>
        <w:rPr>
          <w:sz w:val="26"/>
          <w:szCs w:val="26"/>
        </w:rPr>
      </w:pPr>
      <w:r w:rsidRPr="00CC1C76">
        <w:rPr>
          <w:i/>
          <w:sz w:val="26"/>
          <w:szCs w:val="26"/>
        </w:rPr>
        <w:t xml:space="preserve"> </w:t>
      </w:r>
      <w:r w:rsidRPr="00CC1C76">
        <w:rPr>
          <w:b/>
          <w:i/>
          <w:sz w:val="26"/>
          <w:szCs w:val="26"/>
        </w:rPr>
        <w:t xml:space="preserve">Ngân hàng Trung ương Châu Âu (ECB) cắt giảm </w:t>
      </w:r>
      <w:r>
        <w:rPr>
          <w:b/>
          <w:i/>
          <w:sz w:val="26"/>
          <w:szCs w:val="26"/>
        </w:rPr>
        <w:t>lãi suất xuống mức thấp kỷ lục</w:t>
      </w:r>
      <w:r>
        <w:rPr>
          <w:rStyle w:val="FootnoteReference"/>
          <w:b/>
          <w:i/>
          <w:sz w:val="26"/>
          <w:szCs w:val="26"/>
        </w:rPr>
        <w:footnoteReference w:id="3"/>
      </w:r>
      <w:r>
        <w:rPr>
          <w:b/>
          <w:i/>
          <w:sz w:val="26"/>
          <w:szCs w:val="26"/>
        </w:rPr>
        <w:t xml:space="preserve"> </w:t>
      </w:r>
      <w:r w:rsidRPr="00CC1C76">
        <w:rPr>
          <w:sz w:val="26"/>
          <w:szCs w:val="26"/>
        </w:rPr>
        <w:t>nhằm thúc đẩy nền kinh tế của Khu vực Eurozone</w:t>
      </w:r>
      <w:r w:rsidRPr="00CC1C76">
        <w:rPr>
          <w:sz w:val="26"/>
          <w:szCs w:val="26"/>
          <w:lang w:val="vi-VN"/>
        </w:rPr>
        <w:t xml:space="preserve"> </w:t>
      </w:r>
      <w:r w:rsidRPr="00CC1C76">
        <w:rPr>
          <w:sz w:val="26"/>
          <w:szCs w:val="26"/>
        </w:rPr>
        <w:t>và</w:t>
      </w:r>
      <w:r w:rsidRPr="00CC1C76">
        <w:rPr>
          <w:sz w:val="26"/>
          <w:szCs w:val="26"/>
          <w:lang w:val="vi-VN"/>
        </w:rPr>
        <w:t xml:space="preserve"> giảm thiểu tác động của chính sách lãi suất âm lên hệ thống ngân hàng</w:t>
      </w:r>
      <w:r w:rsidRPr="00CC1C76">
        <w:rPr>
          <w:sz w:val="26"/>
          <w:szCs w:val="26"/>
        </w:rPr>
        <w:t xml:space="preserve">. ECB cũng thông báo sẽ chi thêm hàng chục tỉ Euro để phục hồi nền kinh tế yếu kém kéo dài của Eurozone. </w:t>
      </w:r>
    </w:p>
    <w:p w:rsidR="0037519C" w:rsidRPr="00346392" w:rsidRDefault="0037519C" w:rsidP="0037519C">
      <w:pPr>
        <w:spacing w:line="312" w:lineRule="auto"/>
        <w:rPr>
          <w:sz w:val="26"/>
          <w:szCs w:val="26"/>
          <w:lang w:val="vi-VN"/>
        </w:rPr>
      </w:pPr>
      <w:r>
        <w:rPr>
          <w:sz w:val="26"/>
          <w:szCs w:val="26"/>
        </w:rPr>
        <w:lastRenderedPageBreak/>
        <w:t>Quan ngại về tốc độ tăng trưởng chậm tại Châu Âu, Trung Quốc và các nền kinh tế đang nổi, cũng như lo ngại n</w:t>
      </w:r>
      <w:r w:rsidRPr="000C2532">
        <w:rPr>
          <w:sz w:val="26"/>
          <w:szCs w:val="26"/>
          <w:lang w:val="vi-VN"/>
        </w:rPr>
        <w:t xml:space="preserve">hững tín hiệu tích cực từ thị trường chứng khoán, việc làm </w:t>
      </w:r>
      <w:r>
        <w:rPr>
          <w:sz w:val="26"/>
          <w:szCs w:val="26"/>
        </w:rPr>
        <w:t>của nền kinh tế Mỹ</w:t>
      </w:r>
      <w:r w:rsidRPr="000C2532">
        <w:rPr>
          <w:sz w:val="26"/>
          <w:szCs w:val="26"/>
          <w:lang w:val="vi-VN"/>
        </w:rPr>
        <w:t xml:space="preserve"> chưa đủ </w:t>
      </w:r>
      <w:r>
        <w:rPr>
          <w:sz w:val="26"/>
          <w:szCs w:val="26"/>
        </w:rPr>
        <w:t xml:space="preserve">để chống đỡ </w:t>
      </w:r>
      <w:r w:rsidRPr="000C2532">
        <w:rPr>
          <w:sz w:val="26"/>
          <w:szCs w:val="26"/>
          <w:lang w:val="vi-VN"/>
        </w:rPr>
        <w:t>trước những rủi ro suy giảm kinh tế và bất ổn tài chính toàn cầu</w:t>
      </w:r>
      <w:r>
        <w:rPr>
          <w:sz w:val="26"/>
          <w:szCs w:val="26"/>
        </w:rPr>
        <w:t xml:space="preserve">, </w:t>
      </w:r>
      <w:r w:rsidRPr="009B7980">
        <w:rPr>
          <w:sz w:val="26"/>
          <w:szCs w:val="26"/>
        </w:rPr>
        <w:t>Fed giữ nguyên lã</w:t>
      </w:r>
      <w:r>
        <w:rPr>
          <w:sz w:val="26"/>
          <w:szCs w:val="26"/>
        </w:rPr>
        <w:t>i suất trong thời điểm hiện tại và</w:t>
      </w:r>
      <w:r w:rsidRPr="009B7980">
        <w:rPr>
          <w:sz w:val="26"/>
          <w:szCs w:val="26"/>
        </w:rPr>
        <w:t xml:space="preserve"> tuyên bố sẽ nâng lãi suất nếu nền kinh tế Mỹ được giữ ổn định.</w:t>
      </w:r>
      <w:r w:rsidRPr="009B7980">
        <w:rPr>
          <w:sz w:val="26"/>
          <w:szCs w:val="26"/>
          <w:lang w:val="vi-VN"/>
        </w:rPr>
        <w:t xml:space="preserve"> </w:t>
      </w:r>
      <w:r>
        <w:rPr>
          <w:sz w:val="26"/>
          <w:szCs w:val="26"/>
          <w:lang w:val="vi-VN"/>
        </w:rPr>
        <w:t>F</w:t>
      </w:r>
      <w:r w:rsidRPr="00B01ABB">
        <w:rPr>
          <w:sz w:val="26"/>
          <w:szCs w:val="26"/>
          <w:lang w:val="vi-VN"/>
        </w:rPr>
        <w:t>ed</w:t>
      </w:r>
      <w:r w:rsidRPr="000C2532">
        <w:rPr>
          <w:sz w:val="26"/>
          <w:szCs w:val="26"/>
          <w:lang w:val="vi-VN"/>
        </w:rPr>
        <w:t xml:space="preserve"> vẫn dự kiến sẽ nâng lãi suất 2 lần từ nay đến cuối năm, mỗi lần nâng 0,25%, đồng thời dự báo lãi suất liên bang sẽ ở mức 1,875% vào cuối năm 2017, giảm so với mức 2,375% được dự báo vào cuối tháng 12/2015</w:t>
      </w:r>
      <w:r w:rsidRPr="005675DA">
        <w:rPr>
          <w:sz w:val="26"/>
          <w:szCs w:val="26"/>
          <w:lang w:val="vi-VN"/>
        </w:rPr>
        <w:t>.</w:t>
      </w:r>
      <w:r w:rsidRPr="00346392">
        <w:rPr>
          <w:sz w:val="26"/>
          <w:szCs w:val="26"/>
          <w:lang w:val="vi-VN"/>
        </w:rPr>
        <w:t xml:space="preserve"> Fed cũng hạ dự báo tăng trưởng của nền kinh tế Mỹ </w:t>
      </w:r>
      <w:r w:rsidRPr="00B01ABB">
        <w:rPr>
          <w:sz w:val="26"/>
          <w:szCs w:val="26"/>
          <w:lang w:val="vi-VN"/>
        </w:rPr>
        <w:t xml:space="preserve">trong năm 2016 </w:t>
      </w:r>
      <w:r w:rsidRPr="00346392">
        <w:rPr>
          <w:sz w:val="26"/>
          <w:szCs w:val="26"/>
          <w:lang w:val="vi-VN"/>
        </w:rPr>
        <w:t xml:space="preserve">xuống 2,2%, thấp hơn 0,2% so với dự báo đưa ra hồi tháng 12/2015. </w:t>
      </w:r>
    </w:p>
    <w:p w:rsidR="0037519C" w:rsidRPr="00C720A3" w:rsidRDefault="0037519C" w:rsidP="0037519C">
      <w:pPr>
        <w:spacing w:line="312" w:lineRule="auto"/>
        <w:ind w:firstLine="0"/>
        <w:rPr>
          <w:b/>
          <w:sz w:val="26"/>
          <w:szCs w:val="26"/>
          <w:lang w:val="vi-VN"/>
        </w:rPr>
      </w:pPr>
      <w:r w:rsidRPr="007929DB">
        <w:rPr>
          <w:b/>
          <w:sz w:val="26"/>
          <w:szCs w:val="26"/>
          <w:lang w:val="vi-VN"/>
        </w:rPr>
        <w:t>3.</w:t>
      </w:r>
      <w:r w:rsidRPr="00C720A3">
        <w:rPr>
          <w:b/>
          <w:sz w:val="26"/>
          <w:szCs w:val="26"/>
          <w:lang w:val="vi-VN"/>
        </w:rPr>
        <w:t xml:space="preserve"> Giá hàng hóa thế giới</w:t>
      </w:r>
    </w:p>
    <w:p w:rsidR="0037519C" w:rsidRPr="00E721A0" w:rsidRDefault="0037519C" w:rsidP="0037519C">
      <w:pPr>
        <w:spacing w:line="312" w:lineRule="auto"/>
        <w:rPr>
          <w:spacing w:val="4"/>
          <w:sz w:val="26"/>
          <w:szCs w:val="26"/>
          <w:lang w:val="vi-VN"/>
        </w:rPr>
      </w:pPr>
      <w:r w:rsidRPr="007C1D71">
        <w:rPr>
          <w:b/>
          <w:i/>
          <w:spacing w:val="4"/>
          <w:sz w:val="26"/>
          <w:szCs w:val="26"/>
          <w:lang w:val="vi-VN"/>
        </w:rPr>
        <w:t>Giá dầu</w:t>
      </w:r>
      <w:r w:rsidRPr="007C1D71">
        <w:rPr>
          <w:spacing w:val="4"/>
          <w:sz w:val="26"/>
          <w:szCs w:val="26"/>
          <w:lang w:val="vi-VN"/>
        </w:rPr>
        <w:t xml:space="preserve"> thế giới cũng có dấu hiệu biến phục hồi. Tính đến 21/03/2016, giá dầu trên thị trường New York đã tăng 18,5% so với đầu tháng 2/2016</w:t>
      </w:r>
      <w:r w:rsidR="00CD4E9A" w:rsidRPr="007C1D71">
        <w:rPr>
          <w:spacing w:val="4"/>
          <w:sz w:val="26"/>
          <w:szCs w:val="26"/>
          <w:lang w:val="vi-VN"/>
        </w:rPr>
        <w:t xml:space="preserve"> và 13% so với đầu năm 2016</w:t>
      </w:r>
      <w:r w:rsidRPr="007C1D71">
        <w:rPr>
          <w:rStyle w:val="FootnoteReference"/>
          <w:spacing w:val="4"/>
          <w:sz w:val="26"/>
          <w:szCs w:val="26"/>
          <w:lang w:val="vi-VN"/>
        </w:rPr>
        <w:t xml:space="preserve"> </w:t>
      </w:r>
      <w:r w:rsidRPr="007C1D71">
        <w:rPr>
          <w:rStyle w:val="FootnoteReference"/>
          <w:spacing w:val="4"/>
          <w:sz w:val="26"/>
          <w:szCs w:val="26"/>
        </w:rPr>
        <w:footnoteReference w:id="4"/>
      </w:r>
      <w:r w:rsidR="00CD4E9A" w:rsidRPr="007C1D71">
        <w:rPr>
          <w:spacing w:val="4"/>
          <w:sz w:val="26"/>
          <w:szCs w:val="26"/>
          <w:lang w:val="vi-VN"/>
        </w:rPr>
        <w:t>.</w:t>
      </w:r>
      <w:r w:rsidR="00923124" w:rsidRPr="00923124">
        <w:rPr>
          <w:spacing w:val="4"/>
          <w:sz w:val="26"/>
          <w:szCs w:val="26"/>
          <w:lang w:val="vi-VN"/>
        </w:rPr>
        <w:t xml:space="preserve"> Tuy nhiên, theo dự báo của cơ quan năng lượng Hoa Kỳ (EIA) gi</w:t>
      </w:r>
      <w:r w:rsidR="00923124">
        <w:rPr>
          <w:spacing w:val="4"/>
          <w:sz w:val="26"/>
          <w:szCs w:val="26"/>
          <w:lang w:val="vi-VN"/>
        </w:rPr>
        <w:t>á dầu sẽ vẫn dưới 40 USD/thùng</w:t>
      </w:r>
      <w:r w:rsidR="00923124" w:rsidRPr="00E721A0">
        <w:rPr>
          <w:spacing w:val="4"/>
          <w:sz w:val="26"/>
          <w:szCs w:val="26"/>
          <w:lang w:val="vi-VN"/>
        </w:rPr>
        <w:t xml:space="preserve"> cho đến cuối năm 2016.</w:t>
      </w:r>
    </w:p>
    <w:p w:rsidR="0037519C" w:rsidRPr="00346392" w:rsidRDefault="0037519C" w:rsidP="0037519C">
      <w:pPr>
        <w:spacing w:line="312" w:lineRule="auto"/>
        <w:rPr>
          <w:sz w:val="26"/>
          <w:szCs w:val="26"/>
          <w:lang w:val="vi-VN"/>
        </w:rPr>
      </w:pPr>
      <w:r w:rsidRPr="00346392">
        <w:rPr>
          <w:b/>
          <w:i/>
          <w:sz w:val="26"/>
          <w:szCs w:val="26"/>
          <w:lang w:val="vi-VN"/>
        </w:rPr>
        <w:t>Giá hàng hóa</w:t>
      </w:r>
      <w:r w:rsidRPr="00346392">
        <w:rPr>
          <w:sz w:val="26"/>
          <w:szCs w:val="26"/>
          <w:lang w:val="vi-VN"/>
        </w:rPr>
        <w:t xml:space="preserve"> trên thị trường thế giới đồng loạt khởi sắc. Giá kim loại tăng mạnh nhất, ở mức 4,53% so với tháng trước; tiếp đến là giá năng lượng tăng 1,98%; giá lương thực tăng 1,89%; giá nông sản tăng 1,2% và giá nguyên liệu thô tăng 0,67%. </w:t>
      </w:r>
    </w:p>
    <w:p w:rsidR="00C720A3" w:rsidRPr="00F55361" w:rsidRDefault="00C720A3" w:rsidP="0037519C">
      <w:pPr>
        <w:pStyle w:val="Footer"/>
        <w:tabs>
          <w:tab w:val="left" w:pos="284"/>
          <w:tab w:val="left" w:pos="567"/>
          <w:tab w:val="left" w:pos="709"/>
        </w:tabs>
        <w:spacing w:before="120" w:line="312" w:lineRule="auto"/>
        <w:ind w:firstLine="0"/>
        <w:jc w:val="center"/>
        <w:rPr>
          <w:b/>
          <w:sz w:val="26"/>
          <w:szCs w:val="26"/>
          <w:lang w:val="vi-VN"/>
        </w:rPr>
      </w:pPr>
      <w:r w:rsidRPr="00F55361">
        <w:rPr>
          <w:b/>
          <w:sz w:val="26"/>
          <w:szCs w:val="26"/>
          <w:lang w:val="vi-VN"/>
        </w:rPr>
        <w:t xml:space="preserve">Bảng 1: </w:t>
      </w:r>
      <w:r w:rsidR="00F55361" w:rsidRPr="00F55361">
        <w:rPr>
          <w:b/>
          <w:sz w:val="26"/>
          <w:szCs w:val="26"/>
          <w:lang w:val="vi-VN"/>
        </w:rPr>
        <w:t>Tốc độ tăng giá một số hàng hóa cơ bản so với tháng trước (%)</w:t>
      </w:r>
    </w:p>
    <w:tbl>
      <w:tblPr>
        <w:tblW w:w="9169" w:type="dxa"/>
        <w:jc w:val="center"/>
        <w:tblInd w:w="547" w:type="dxa"/>
        <w:tblLook w:val="04A0" w:firstRow="1" w:lastRow="0" w:firstColumn="1" w:lastColumn="0" w:noHBand="0" w:noVBand="1"/>
      </w:tblPr>
      <w:tblGrid>
        <w:gridCol w:w="1404"/>
        <w:gridCol w:w="1561"/>
        <w:gridCol w:w="1350"/>
        <w:gridCol w:w="1794"/>
        <w:gridCol w:w="1890"/>
        <w:gridCol w:w="1170"/>
      </w:tblGrid>
      <w:tr w:rsidR="00C720A3" w:rsidRPr="001B708A" w:rsidTr="00C720A3">
        <w:trPr>
          <w:trHeight w:val="315"/>
          <w:jc w:val="center"/>
        </w:trPr>
        <w:tc>
          <w:tcPr>
            <w:tcW w:w="140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720A3" w:rsidRPr="00F55361" w:rsidRDefault="00C720A3" w:rsidP="00F55361">
            <w:pPr>
              <w:spacing w:before="60" w:after="60"/>
              <w:ind w:firstLine="20"/>
              <w:jc w:val="center"/>
              <w:rPr>
                <w:color w:val="000000"/>
                <w:sz w:val="24"/>
                <w:lang w:val="vi-VN"/>
              </w:rPr>
            </w:pPr>
            <w:r w:rsidRPr="00F55361">
              <w:rPr>
                <w:color w:val="000000"/>
                <w:sz w:val="24"/>
                <w:lang w:val="vi-VN"/>
              </w:rPr>
              <w:t> </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b/>
                <w:bCs/>
                <w:color w:val="000000"/>
                <w:sz w:val="24"/>
              </w:rPr>
            </w:pPr>
            <w:r w:rsidRPr="001B708A">
              <w:rPr>
                <w:b/>
                <w:bCs/>
                <w:color w:val="000000"/>
                <w:sz w:val="24"/>
              </w:rPr>
              <w:t xml:space="preserve">Năng lượng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b/>
                <w:bCs/>
                <w:color w:val="000000"/>
                <w:sz w:val="24"/>
              </w:rPr>
            </w:pPr>
            <w:r w:rsidRPr="001B708A">
              <w:rPr>
                <w:b/>
                <w:bCs/>
                <w:color w:val="000000"/>
                <w:sz w:val="24"/>
              </w:rPr>
              <w:t>Nông sản</w:t>
            </w:r>
          </w:p>
        </w:tc>
        <w:tc>
          <w:tcPr>
            <w:tcW w:w="1794" w:type="dxa"/>
            <w:tcBorders>
              <w:top w:val="single" w:sz="4" w:space="0" w:color="auto"/>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b/>
                <w:bCs/>
                <w:color w:val="000000"/>
                <w:sz w:val="24"/>
              </w:rPr>
            </w:pPr>
            <w:r w:rsidRPr="001B708A">
              <w:rPr>
                <w:b/>
                <w:bCs/>
                <w:color w:val="000000"/>
                <w:sz w:val="24"/>
              </w:rPr>
              <w:t>Lương thực</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b/>
                <w:bCs/>
                <w:color w:val="000000"/>
                <w:sz w:val="24"/>
              </w:rPr>
            </w:pPr>
            <w:r w:rsidRPr="001B708A">
              <w:rPr>
                <w:b/>
                <w:bCs/>
                <w:color w:val="000000"/>
                <w:sz w:val="24"/>
              </w:rPr>
              <w:t>Nguyên liệu thô</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b/>
                <w:bCs/>
                <w:color w:val="000000"/>
                <w:sz w:val="24"/>
              </w:rPr>
            </w:pPr>
            <w:r w:rsidRPr="001B708A">
              <w:rPr>
                <w:b/>
                <w:bCs/>
                <w:color w:val="000000"/>
                <w:sz w:val="24"/>
              </w:rPr>
              <w:t>Kim loại</w:t>
            </w:r>
          </w:p>
        </w:tc>
      </w:tr>
      <w:tr w:rsidR="00C720A3" w:rsidRPr="001B708A" w:rsidTr="00C720A3">
        <w:trPr>
          <w:trHeight w:val="315"/>
          <w:jc w:val="center"/>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rPr>
                <w:b/>
                <w:color w:val="000000"/>
                <w:sz w:val="24"/>
              </w:rPr>
            </w:pPr>
            <w:r w:rsidRPr="001B708A">
              <w:rPr>
                <w:b/>
                <w:color w:val="000000"/>
                <w:sz w:val="24"/>
              </w:rPr>
              <w:t>T9/2015</w:t>
            </w:r>
          </w:p>
        </w:tc>
        <w:tc>
          <w:tcPr>
            <w:tcW w:w="1561"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0.51</w:t>
            </w:r>
          </w:p>
        </w:tc>
        <w:tc>
          <w:tcPr>
            <w:tcW w:w="1350"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-2.05</w:t>
            </w:r>
          </w:p>
        </w:tc>
        <w:tc>
          <w:tcPr>
            <w:tcW w:w="1794"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-1.93</w:t>
            </w:r>
          </w:p>
        </w:tc>
        <w:tc>
          <w:tcPr>
            <w:tcW w:w="1890"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-2.04</w:t>
            </w:r>
          </w:p>
        </w:tc>
        <w:tc>
          <w:tcPr>
            <w:tcW w:w="1170"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1.28</w:t>
            </w:r>
          </w:p>
        </w:tc>
      </w:tr>
      <w:tr w:rsidR="00C720A3" w:rsidRPr="001B708A" w:rsidTr="00C720A3">
        <w:trPr>
          <w:trHeight w:val="315"/>
          <w:jc w:val="center"/>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rPr>
                <w:b/>
                <w:color w:val="000000"/>
                <w:sz w:val="24"/>
              </w:rPr>
            </w:pPr>
            <w:r w:rsidRPr="001B708A">
              <w:rPr>
                <w:b/>
                <w:color w:val="000000"/>
                <w:sz w:val="24"/>
              </w:rPr>
              <w:t>T10/2015</w:t>
            </w:r>
          </w:p>
        </w:tc>
        <w:tc>
          <w:tcPr>
            <w:tcW w:w="1561"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0</w:t>
            </w:r>
          </w:p>
        </w:tc>
        <w:tc>
          <w:tcPr>
            <w:tcW w:w="1350"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1.05</w:t>
            </w:r>
          </w:p>
        </w:tc>
        <w:tc>
          <w:tcPr>
            <w:tcW w:w="1794"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1.62</w:t>
            </w:r>
          </w:p>
        </w:tc>
        <w:tc>
          <w:tcPr>
            <w:tcW w:w="1890"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-0.24</w:t>
            </w:r>
          </w:p>
        </w:tc>
        <w:tc>
          <w:tcPr>
            <w:tcW w:w="1170"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-1.89</w:t>
            </w:r>
          </w:p>
        </w:tc>
      </w:tr>
      <w:tr w:rsidR="00C720A3" w:rsidRPr="001B708A" w:rsidTr="00C720A3">
        <w:trPr>
          <w:trHeight w:val="315"/>
          <w:jc w:val="center"/>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rPr>
                <w:b/>
                <w:color w:val="000000"/>
                <w:sz w:val="24"/>
              </w:rPr>
            </w:pPr>
            <w:r w:rsidRPr="001B708A">
              <w:rPr>
                <w:b/>
                <w:color w:val="000000"/>
                <w:sz w:val="24"/>
              </w:rPr>
              <w:t>T11/2015</w:t>
            </w:r>
          </w:p>
        </w:tc>
        <w:tc>
          <w:tcPr>
            <w:tcW w:w="1561"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-7.54</w:t>
            </w:r>
          </w:p>
        </w:tc>
        <w:tc>
          <w:tcPr>
            <w:tcW w:w="1350"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-0.92</w:t>
            </w:r>
          </w:p>
        </w:tc>
        <w:tc>
          <w:tcPr>
            <w:tcW w:w="1794"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-1.71</w:t>
            </w:r>
          </w:p>
        </w:tc>
        <w:tc>
          <w:tcPr>
            <w:tcW w:w="1890"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-0.37</w:t>
            </w:r>
          </w:p>
        </w:tc>
        <w:tc>
          <w:tcPr>
            <w:tcW w:w="1170"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-6.91</w:t>
            </w:r>
          </w:p>
        </w:tc>
      </w:tr>
      <w:tr w:rsidR="00C720A3" w:rsidRPr="001B708A" w:rsidTr="00C720A3">
        <w:trPr>
          <w:trHeight w:val="315"/>
          <w:jc w:val="center"/>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rPr>
                <w:b/>
                <w:color w:val="000000"/>
                <w:sz w:val="24"/>
              </w:rPr>
            </w:pPr>
            <w:r w:rsidRPr="001B708A">
              <w:rPr>
                <w:b/>
                <w:color w:val="000000"/>
                <w:sz w:val="24"/>
              </w:rPr>
              <w:t>T12/2015</w:t>
            </w:r>
          </w:p>
        </w:tc>
        <w:tc>
          <w:tcPr>
            <w:tcW w:w="1561"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-13.41</w:t>
            </w:r>
          </w:p>
        </w:tc>
        <w:tc>
          <w:tcPr>
            <w:tcW w:w="1350"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-0.7</w:t>
            </w:r>
          </w:p>
        </w:tc>
        <w:tc>
          <w:tcPr>
            <w:tcW w:w="1794"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-0.7</w:t>
            </w:r>
          </w:p>
        </w:tc>
        <w:tc>
          <w:tcPr>
            <w:tcW w:w="1890"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-0.49</w:t>
            </w:r>
          </w:p>
        </w:tc>
        <w:tc>
          <w:tcPr>
            <w:tcW w:w="1170"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-2.59</w:t>
            </w:r>
          </w:p>
        </w:tc>
      </w:tr>
      <w:tr w:rsidR="00C720A3" w:rsidRPr="001B708A" w:rsidTr="00C720A3">
        <w:trPr>
          <w:trHeight w:val="315"/>
          <w:jc w:val="center"/>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rPr>
                <w:b/>
                <w:color w:val="000000"/>
                <w:sz w:val="24"/>
              </w:rPr>
            </w:pPr>
            <w:r w:rsidRPr="001B708A">
              <w:rPr>
                <w:b/>
                <w:color w:val="000000"/>
                <w:sz w:val="24"/>
              </w:rPr>
              <w:t>T1/2016</w:t>
            </w:r>
          </w:p>
        </w:tc>
        <w:tc>
          <w:tcPr>
            <w:tcW w:w="1561"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-15.27</w:t>
            </w:r>
          </w:p>
        </w:tc>
        <w:tc>
          <w:tcPr>
            <w:tcW w:w="1350"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-2.34</w:t>
            </w:r>
          </w:p>
        </w:tc>
        <w:tc>
          <w:tcPr>
            <w:tcW w:w="1794"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-1.17</w:t>
            </w:r>
          </w:p>
        </w:tc>
        <w:tc>
          <w:tcPr>
            <w:tcW w:w="1890"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-1.98</w:t>
            </w:r>
          </w:p>
        </w:tc>
        <w:tc>
          <w:tcPr>
            <w:tcW w:w="1170"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-2.13</w:t>
            </w:r>
          </w:p>
        </w:tc>
      </w:tr>
      <w:tr w:rsidR="00C720A3" w:rsidRPr="001B708A" w:rsidTr="00C720A3">
        <w:trPr>
          <w:trHeight w:val="315"/>
          <w:jc w:val="center"/>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rPr>
                <w:b/>
                <w:color w:val="000000"/>
                <w:sz w:val="24"/>
              </w:rPr>
            </w:pPr>
            <w:r w:rsidRPr="001B708A">
              <w:rPr>
                <w:b/>
                <w:color w:val="000000"/>
                <w:sz w:val="24"/>
              </w:rPr>
              <w:t>T2/2016</w:t>
            </w:r>
          </w:p>
        </w:tc>
        <w:tc>
          <w:tcPr>
            <w:tcW w:w="1561"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1.98</w:t>
            </w:r>
          </w:p>
        </w:tc>
        <w:tc>
          <w:tcPr>
            <w:tcW w:w="1350"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1.2</w:t>
            </w:r>
          </w:p>
        </w:tc>
        <w:tc>
          <w:tcPr>
            <w:tcW w:w="1794"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1.89</w:t>
            </w:r>
          </w:p>
        </w:tc>
        <w:tc>
          <w:tcPr>
            <w:tcW w:w="1890"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0.76</w:t>
            </w:r>
          </w:p>
        </w:tc>
        <w:tc>
          <w:tcPr>
            <w:tcW w:w="1170" w:type="dxa"/>
            <w:tcBorders>
              <w:top w:val="nil"/>
              <w:left w:val="nil"/>
              <w:bottom w:val="single" w:sz="4" w:space="0" w:color="auto"/>
              <w:right w:val="single" w:sz="4" w:space="0" w:color="auto"/>
            </w:tcBorders>
            <w:shd w:val="clear" w:color="auto" w:fill="auto"/>
            <w:noWrap/>
            <w:vAlign w:val="bottom"/>
            <w:hideMark/>
          </w:tcPr>
          <w:p w:rsidR="00C720A3" w:rsidRPr="001B708A" w:rsidRDefault="00C720A3" w:rsidP="00F55361">
            <w:pPr>
              <w:spacing w:before="60" w:after="60"/>
              <w:ind w:firstLine="20"/>
              <w:jc w:val="center"/>
              <w:rPr>
                <w:color w:val="000000"/>
                <w:sz w:val="24"/>
              </w:rPr>
            </w:pPr>
            <w:r w:rsidRPr="001B708A">
              <w:rPr>
                <w:color w:val="000000"/>
                <w:sz w:val="24"/>
              </w:rPr>
              <w:t>4.53</w:t>
            </w:r>
          </w:p>
        </w:tc>
      </w:tr>
    </w:tbl>
    <w:p w:rsidR="00C720A3" w:rsidRPr="00346392" w:rsidRDefault="00C720A3" w:rsidP="00C720A3">
      <w:pPr>
        <w:jc w:val="right"/>
        <w:rPr>
          <w:i/>
          <w:sz w:val="26"/>
          <w:szCs w:val="26"/>
        </w:rPr>
      </w:pPr>
      <w:r w:rsidRPr="00346392">
        <w:rPr>
          <w:i/>
          <w:sz w:val="26"/>
          <w:szCs w:val="26"/>
        </w:rPr>
        <w:t>Nguồn: WB</w:t>
      </w:r>
    </w:p>
    <w:p w:rsidR="00D30A0A" w:rsidRDefault="00D30A0A">
      <w:pPr>
        <w:spacing w:after="200" w:line="276" w:lineRule="auto"/>
        <w:ind w:firstLine="0"/>
        <w:jc w:val="left"/>
        <w:rPr>
          <w:b/>
          <w:sz w:val="26"/>
          <w:szCs w:val="26"/>
          <w:lang w:val="de-DE"/>
        </w:rPr>
      </w:pPr>
      <w:r>
        <w:rPr>
          <w:b/>
          <w:sz w:val="26"/>
          <w:szCs w:val="26"/>
          <w:lang w:val="de-DE"/>
        </w:rPr>
        <w:br w:type="page"/>
      </w:r>
    </w:p>
    <w:p w:rsidR="005926AC" w:rsidRDefault="000110F5" w:rsidP="005F5E3A">
      <w:pPr>
        <w:pStyle w:val="Footer"/>
        <w:numPr>
          <w:ilvl w:val="0"/>
          <w:numId w:val="12"/>
        </w:numPr>
        <w:tabs>
          <w:tab w:val="left" w:pos="284"/>
          <w:tab w:val="left" w:pos="567"/>
        </w:tabs>
        <w:spacing w:after="240"/>
        <w:ind w:hanging="1080"/>
        <w:rPr>
          <w:b/>
          <w:sz w:val="26"/>
          <w:szCs w:val="26"/>
        </w:rPr>
      </w:pPr>
      <w:r w:rsidRPr="00BF65AB">
        <w:rPr>
          <w:b/>
          <w:sz w:val="26"/>
          <w:szCs w:val="26"/>
          <w:lang w:val="de-DE"/>
        </w:rPr>
        <w:lastRenderedPageBreak/>
        <w:t xml:space="preserve"> </w:t>
      </w:r>
      <w:r w:rsidR="005926AC" w:rsidRPr="005C6A26">
        <w:rPr>
          <w:b/>
          <w:sz w:val="26"/>
          <w:szCs w:val="26"/>
        </w:rPr>
        <w:t>KINH TẾ VIỆT NAM</w:t>
      </w:r>
    </w:p>
    <w:p w:rsidR="003C70FB" w:rsidRPr="00AD7244" w:rsidRDefault="003C70FB" w:rsidP="0084418B">
      <w:pPr>
        <w:pStyle w:val="ListParagraph"/>
        <w:numPr>
          <w:ilvl w:val="0"/>
          <w:numId w:val="36"/>
        </w:numPr>
        <w:spacing w:before="120" w:line="312" w:lineRule="auto"/>
        <w:ind w:left="284" w:hanging="284"/>
        <w:rPr>
          <w:b/>
          <w:sz w:val="26"/>
          <w:szCs w:val="26"/>
        </w:rPr>
      </w:pPr>
      <w:r w:rsidRPr="00AD7244">
        <w:rPr>
          <w:b/>
          <w:sz w:val="26"/>
          <w:szCs w:val="26"/>
        </w:rPr>
        <w:t>Tă</w:t>
      </w:r>
      <w:r w:rsidR="00AD7244" w:rsidRPr="00AD7244">
        <w:rPr>
          <w:b/>
          <w:sz w:val="26"/>
          <w:szCs w:val="26"/>
        </w:rPr>
        <w:t xml:space="preserve">ng trưởng tiếp tục đà phục hồi song </w:t>
      </w:r>
      <w:r w:rsidRPr="00AD7244">
        <w:rPr>
          <w:b/>
          <w:sz w:val="26"/>
          <w:szCs w:val="26"/>
        </w:rPr>
        <w:t xml:space="preserve">gia tốc </w:t>
      </w:r>
      <w:r w:rsidR="00AD7244">
        <w:rPr>
          <w:b/>
          <w:sz w:val="26"/>
          <w:szCs w:val="26"/>
        </w:rPr>
        <w:t>chậm lại</w:t>
      </w:r>
      <w:r w:rsidRPr="00AD7244">
        <w:rPr>
          <w:b/>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86187" w:rsidTr="00DF62FE">
        <w:tc>
          <w:tcPr>
            <w:tcW w:w="4785" w:type="dxa"/>
          </w:tcPr>
          <w:p w:rsidR="00E86187" w:rsidRPr="001947FE" w:rsidRDefault="00E86187" w:rsidP="0084418B">
            <w:pPr>
              <w:pStyle w:val="ListParagraph"/>
              <w:numPr>
                <w:ilvl w:val="1"/>
                <w:numId w:val="37"/>
              </w:numPr>
              <w:tabs>
                <w:tab w:val="left" w:pos="851"/>
              </w:tabs>
              <w:spacing w:before="120" w:line="312" w:lineRule="auto"/>
              <w:ind w:left="0" w:firstLine="426"/>
              <w:contextualSpacing w:val="0"/>
              <w:rPr>
                <w:bCs/>
                <w:sz w:val="26"/>
                <w:szCs w:val="26"/>
                <w:lang w:val="de-DE"/>
              </w:rPr>
            </w:pPr>
            <w:r w:rsidRPr="00AD7244">
              <w:rPr>
                <w:b/>
                <w:bCs/>
                <w:i/>
                <w:sz w:val="26"/>
                <w:szCs w:val="26"/>
                <w:lang w:val="de-DE"/>
              </w:rPr>
              <w:t xml:space="preserve">Tăng trưởng GDP trong </w:t>
            </w:r>
            <w:r w:rsidR="006F0A2F">
              <w:rPr>
                <w:b/>
                <w:bCs/>
                <w:i/>
                <w:sz w:val="26"/>
                <w:szCs w:val="26"/>
                <w:lang w:val="de-DE"/>
              </w:rPr>
              <w:t>những</w:t>
            </w:r>
            <w:r w:rsidRPr="00AD7244">
              <w:rPr>
                <w:b/>
                <w:bCs/>
                <w:i/>
                <w:sz w:val="26"/>
                <w:szCs w:val="26"/>
                <w:lang w:val="de-DE"/>
              </w:rPr>
              <w:t xml:space="preserve"> tháng đầu năm 2016 tiếp đà phục hồi do sự cải thiện của tổng cầu</w:t>
            </w:r>
            <w:r w:rsidR="006F0A2F">
              <w:rPr>
                <w:bCs/>
                <w:sz w:val="26"/>
                <w:szCs w:val="26"/>
                <w:lang w:val="de-DE"/>
              </w:rPr>
              <w:t>,</w:t>
            </w:r>
            <w:r w:rsidRPr="001947FE">
              <w:rPr>
                <w:bCs/>
                <w:sz w:val="26"/>
                <w:szCs w:val="26"/>
                <w:lang w:val="de-DE"/>
              </w:rPr>
              <w:t xml:space="preserve"> </w:t>
            </w:r>
            <w:r w:rsidR="006F0A2F" w:rsidRPr="006F0A2F">
              <w:rPr>
                <w:bCs/>
                <w:i/>
                <w:sz w:val="26"/>
                <w:szCs w:val="26"/>
                <w:lang w:val="de-DE"/>
              </w:rPr>
              <w:t>s</w:t>
            </w:r>
            <w:r w:rsidRPr="00AD7244">
              <w:rPr>
                <w:bCs/>
                <w:i/>
                <w:sz w:val="26"/>
                <w:szCs w:val="26"/>
                <w:lang w:val="de-DE"/>
              </w:rPr>
              <w:t>ong mức độ cải thiện thấp hơn năm 2</w:t>
            </w:r>
            <w:r w:rsidR="006F0A2F">
              <w:rPr>
                <w:bCs/>
                <w:i/>
                <w:sz w:val="26"/>
                <w:szCs w:val="26"/>
                <w:lang w:val="de-DE"/>
              </w:rPr>
              <w:t xml:space="preserve">015 </w:t>
            </w:r>
            <w:r w:rsidR="00E721A0">
              <w:rPr>
                <w:bCs/>
                <w:i/>
                <w:sz w:val="26"/>
                <w:szCs w:val="26"/>
                <w:lang w:val="de-DE"/>
              </w:rPr>
              <w:t>(</w:t>
            </w:r>
            <w:r w:rsidR="006F0A2F">
              <w:rPr>
                <w:bCs/>
                <w:i/>
                <w:sz w:val="26"/>
                <w:szCs w:val="26"/>
                <w:lang w:val="de-DE"/>
              </w:rPr>
              <w:t xml:space="preserve">gia tốc tăng trưởng </w:t>
            </w:r>
            <w:r w:rsidRPr="00AD7244">
              <w:rPr>
                <w:bCs/>
                <w:i/>
                <w:sz w:val="26"/>
                <w:szCs w:val="26"/>
                <w:lang w:val="de-DE"/>
              </w:rPr>
              <w:t>chậm lại</w:t>
            </w:r>
            <w:r w:rsidR="00E721A0">
              <w:rPr>
                <w:bCs/>
                <w:i/>
                <w:sz w:val="26"/>
                <w:szCs w:val="26"/>
                <w:lang w:val="de-DE"/>
              </w:rPr>
              <w:t>)</w:t>
            </w:r>
            <w:r w:rsidRPr="00AD7244">
              <w:rPr>
                <w:bCs/>
                <w:i/>
                <w:sz w:val="26"/>
                <w:szCs w:val="26"/>
                <w:lang w:val="de-DE"/>
              </w:rPr>
              <w:t>.</w:t>
            </w:r>
            <w:r>
              <w:rPr>
                <w:bCs/>
                <w:sz w:val="26"/>
                <w:szCs w:val="26"/>
                <w:lang w:val="de-DE"/>
              </w:rPr>
              <w:t xml:space="preserve"> </w:t>
            </w:r>
            <w:r w:rsidRPr="001947FE">
              <w:rPr>
                <w:bCs/>
                <w:sz w:val="26"/>
                <w:szCs w:val="26"/>
                <w:lang w:val="de-DE"/>
              </w:rPr>
              <w:t xml:space="preserve"> </w:t>
            </w:r>
            <w:r w:rsidR="006F0A2F">
              <w:rPr>
                <w:bCs/>
                <w:sz w:val="26"/>
                <w:szCs w:val="26"/>
                <w:lang w:val="de-DE"/>
              </w:rPr>
              <w:t>Biểu hiện:</w:t>
            </w:r>
          </w:p>
          <w:p w:rsidR="00E86187" w:rsidRPr="0084418B" w:rsidRDefault="00E86187" w:rsidP="00E86187">
            <w:pPr>
              <w:spacing w:before="120" w:line="312" w:lineRule="auto"/>
              <w:ind w:firstLine="0"/>
              <w:rPr>
                <w:sz w:val="26"/>
                <w:szCs w:val="26"/>
                <w:lang w:val="de-DE"/>
              </w:rPr>
            </w:pPr>
          </w:p>
        </w:tc>
        <w:tc>
          <w:tcPr>
            <w:tcW w:w="4786" w:type="dxa"/>
          </w:tcPr>
          <w:p w:rsidR="00E86187" w:rsidRPr="001947FE" w:rsidRDefault="00E86187" w:rsidP="00E86187">
            <w:pPr>
              <w:pStyle w:val="Caption"/>
              <w:spacing w:before="120"/>
              <w:rPr>
                <w:rFonts w:ascii="Times New Roman Bold" w:hAnsi="Times New Roman Bold"/>
                <w:spacing w:val="-4"/>
                <w:sz w:val="22"/>
                <w:szCs w:val="24"/>
                <w:lang w:val="pl-PL"/>
              </w:rPr>
            </w:pPr>
            <w:r w:rsidRPr="001947FE">
              <w:rPr>
                <w:rFonts w:ascii="Times New Roman Bold" w:hAnsi="Times New Roman Bold"/>
                <w:spacing w:val="-4"/>
                <w:sz w:val="22"/>
                <w:szCs w:val="24"/>
                <w:lang w:val="pl-PL"/>
              </w:rPr>
              <w:t>Tăng trưởng quý 2011-2015, % tăng GDP giá cố định so cùng kỳ</w:t>
            </w:r>
            <w:r>
              <w:rPr>
                <w:rFonts w:ascii="Times New Roman Bold" w:hAnsi="Times New Roman Bold"/>
                <w:spacing w:val="-4"/>
                <w:sz w:val="22"/>
                <w:szCs w:val="24"/>
                <w:lang w:val="pl-PL"/>
              </w:rPr>
              <w:t xml:space="preserve"> (%)</w:t>
            </w:r>
          </w:p>
          <w:p w:rsidR="00E86187" w:rsidRPr="001947FE" w:rsidRDefault="00E86187" w:rsidP="00E86187">
            <w:pPr>
              <w:spacing w:before="120"/>
              <w:ind w:firstLine="0"/>
              <w:jc w:val="right"/>
              <w:rPr>
                <w:i/>
                <w:sz w:val="22"/>
                <w:szCs w:val="20"/>
              </w:rPr>
            </w:pPr>
            <w:r w:rsidRPr="001947FE">
              <w:rPr>
                <w:noProof/>
                <w:sz w:val="22"/>
              </w:rPr>
              <w:drawing>
                <wp:inline distT="0" distB="0" distL="0" distR="0" wp14:anchorId="28C03AA4" wp14:editId="719673E0">
                  <wp:extent cx="2703444" cy="1319917"/>
                  <wp:effectExtent l="0" t="0" r="19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6187" w:rsidRDefault="00E86187" w:rsidP="00E86187">
            <w:pPr>
              <w:spacing w:before="120" w:line="312" w:lineRule="auto"/>
              <w:ind w:firstLine="0"/>
              <w:jc w:val="right"/>
              <w:rPr>
                <w:sz w:val="26"/>
                <w:szCs w:val="26"/>
              </w:rPr>
            </w:pPr>
            <w:r w:rsidRPr="001947FE">
              <w:rPr>
                <w:i/>
                <w:sz w:val="22"/>
              </w:rPr>
              <w:t>Nguồn:</w:t>
            </w:r>
            <w:r w:rsidRPr="001947FE">
              <w:rPr>
                <w:sz w:val="22"/>
              </w:rPr>
              <w:t xml:space="preserve"> UBGSTCQG</w:t>
            </w:r>
          </w:p>
        </w:tc>
      </w:tr>
      <w:tr w:rsidR="0084418B" w:rsidRPr="0084418B" w:rsidTr="00DF62FE">
        <w:tc>
          <w:tcPr>
            <w:tcW w:w="4785" w:type="dxa"/>
          </w:tcPr>
          <w:p w:rsidR="0084418B" w:rsidRPr="00AD7244" w:rsidRDefault="00717DB5" w:rsidP="00DF62FE">
            <w:pPr>
              <w:pStyle w:val="ListParagraph"/>
              <w:tabs>
                <w:tab w:val="left" w:pos="363"/>
                <w:tab w:val="left" w:pos="426"/>
                <w:tab w:val="left" w:pos="851"/>
              </w:tabs>
              <w:spacing w:before="120" w:line="312" w:lineRule="auto"/>
              <w:ind w:left="0" w:firstLine="284"/>
              <w:contextualSpacing w:val="0"/>
              <w:rPr>
                <w:b/>
                <w:bCs/>
                <w:sz w:val="26"/>
                <w:szCs w:val="26"/>
                <w:lang w:val="de-DE"/>
              </w:rPr>
            </w:pPr>
            <w:r>
              <w:rPr>
                <w:b/>
                <w:bCs/>
                <w:i/>
                <w:sz w:val="26"/>
                <w:szCs w:val="26"/>
                <w:lang w:val="de-DE"/>
              </w:rPr>
              <w:t xml:space="preserve">-  </w:t>
            </w:r>
            <w:r w:rsidR="0084418B" w:rsidRPr="00AD7244">
              <w:rPr>
                <w:b/>
                <w:bCs/>
                <w:i/>
                <w:sz w:val="26"/>
                <w:szCs w:val="26"/>
                <w:lang w:val="de-DE"/>
              </w:rPr>
              <w:t>Cầu tiêu dùng cải thiện ở mức thấp hơn so với cùng kỳ năm 2015</w:t>
            </w:r>
          </w:p>
          <w:p w:rsidR="0084418B" w:rsidRPr="0084418B" w:rsidRDefault="0084418B" w:rsidP="0084418B">
            <w:pPr>
              <w:tabs>
                <w:tab w:val="left" w:pos="851"/>
              </w:tabs>
              <w:spacing w:before="120" w:line="312" w:lineRule="auto"/>
              <w:ind w:firstLine="567"/>
              <w:rPr>
                <w:bCs/>
                <w:sz w:val="26"/>
                <w:szCs w:val="26"/>
                <w:lang w:val="de-DE"/>
              </w:rPr>
            </w:pPr>
            <w:r w:rsidRPr="0084418B">
              <w:rPr>
                <w:bCs/>
                <w:sz w:val="26"/>
                <w:szCs w:val="26"/>
                <w:lang w:val="de-DE"/>
              </w:rPr>
              <w:t>Tổng mức bán lẻ hàng hóa và doanh thu dịch vụ tiêu dùng tháng 2 năm 2016 sau khi loại trừ yếu tố giá tăng 8,3% so với cùng kỳ năm trước, thấp hơn mức 10,7%  của cùng kỳ năm 2015.</w:t>
            </w:r>
          </w:p>
        </w:tc>
        <w:tc>
          <w:tcPr>
            <w:tcW w:w="4786" w:type="dxa"/>
          </w:tcPr>
          <w:p w:rsidR="0037519C" w:rsidRDefault="0084418B" w:rsidP="0037519C">
            <w:pPr>
              <w:spacing w:after="0"/>
              <w:ind w:firstLine="0"/>
              <w:jc w:val="center"/>
              <w:rPr>
                <w:b/>
                <w:color w:val="000000" w:themeColor="text1"/>
                <w:sz w:val="22"/>
                <w:szCs w:val="22"/>
                <w:lang w:val="pl-PL"/>
              </w:rPr>
            </w:pPr>
            <w:r w:rsidRPr="00797469">
              <w:rPr>
                <w:b/>
                <w:color w:val="000000" w:themeColor="text1"/>
                <w:sz w:val="22"/>
                <w:szCs w:val="22"/>
                <w:lang w:val="pl-PL"/>
              </w:rPr>
              <w:t xml:space="preserve">Tổng mức bán lẻ hàng hóa và doanh thu </w:t>
            </w:r>
          </w:p>
          <w:p w:rsidR="003A2AFC" w:rsidRDefault="0084418B" w:rsidP="0037519C">
            <w:pPr>
              <w:spacing w:after="0"/>
              <w:ind w:firstLine="0"/>
              <w:jc w:val="center"/>
              <w:rPr>
                <w:b/>
                <w:color w:val="000000" w:themeColor="text1"/>
                <w:sz w:val="22"/>
                <w:szCs w:val="22"/>
                <w:lang w:val="pl-PL"/>
              </w:rPr>
            </w:pPr>
            <w:r w:rsidRPr="00797469">
              <w:rPr>
                <w:b/>
                <w:color w:val="000000" w:themeColor="text1"/>
                <w:sz w:val="22"/>
                <w:szCs w:val="22"/>
                <w:lang w:val="pl-PL"/>
              </w:rPr>
              <w:t xml:space="preserve">dịch vụ tiêu dùng </w:t>
            </w:r>
            <w:r w:rsidR="003A2AFC">
              <w:rPr>
                <w:b/>
                <w:color w:val="000000" w:themeColor="text1"/>
                <w:sz w:val="22"/>
                <w:szCs w:val="22"/>
                <w:lang w:val="pl-PL"/>
              </w:rPr>
              <w:t>các tháng 2 từ 2011</w:t>
            </w:r>
            <w:r w:rsidRPr="00797469">
              <w:rPr>
                <w:b/>
                <w:color w:val="000000" w:themeColor="text1"/>
                <w:sz w:val="22"/>
                <w:szCs w:val="22"/>
                <w:lang w:val="pl-PL"/>
              </w:rPr>
              <w:t>-</w:t>
            </w:r>
            <w:r w:rsidR="003A2AFC">
              <w:rPr>
                <w:b/>
                <w:color w:val="000000" w:themeColor="text1"/>
                <w:sz w:val="22"/>
                <w:szCs w:val="22"/>
                <w:lang w:val="pl-PL"/>
              </w:rPr>
              <w:t>20</w:t>
            </w:r>
            <w:r w:rsidRPr="00797469">
              <w:rPr>
                <w:b/>
                <w:color w:val="000000" w:themeColor="text1"/>
                <w:sz w:val="22"/>
                <w:szCs w:val="22"/>
                <w:lang w:val="pl-PL"/>
              </w:rPr>
              <w:t>16</w:t>
            </w:r>
            <w:r w:rsidR="003A2AFC">
              <w:rPr>
                <w:b/>
                <w:color w:val="000000" w:themeColor="text1"/>
                <w:sz w:val="22"/>
                <w:szCs w:val="22"/>
                <w:lang w:val="pl-PL"/>
              </w:rPr>
              <w:t xml:space="preserve"> </w:t>
            </w:r>
          </w:p>
          <w:p w:rsidR="0084418B" w:rsidRPr="00797469" w:rsidRDefault="003A2AFC" w:rsidP="0037519C">
            <w:pPr>
              <w:spacing w:after="0"/>
              <w:ind w:firstLine="0"/>
              <w:jc w:val="center"/>
              <w:rPr>
                <w:b/>
                <w:color w:val="000000" w:themeColor="text1"/>
                <w:sz w:val="22"/>
                <w:szCs w:val="22"/>
                <w:lang w:val="pl-PL"/>
              </w:rPr>
            </w:pPr>
            <w:r>
              <w:rPr>
                <w:b/>
                <w:color w:val="000000" w:themeColor="text1"/>
                <w:sz w:val="22"/>
                <w:szCs w:val="22"/>
                <w:lang w:val="pl-PL"/>
              </w:rPr>
              <w:t>(% tăng so cùng kỳ, loại trừ yếu tố giá)</w:t>
            </w:r>
          </w:p>
          <w:p w:rsidR="0084418B" w:rsidRPr="00797469" w:rsidRDefault="0084418B" w:rsidP="0084418B">
            <w:pPr>
              <w:spacing w:before="120"/>
              <w:ind w:firstLine="0"/>
              <w:jc w:val="right"/>
              <w:rPr>
                <w:sz w:val="16"/>
                <w:szCs w:val="16"/>
                <w:lang w:val="pl-PL"/>
              </w:rPr>
            </w:pPr>
            <w:r w:rsidRPr="00797469">
              <w:rPr>
                <w:noProof/>
                <w:sz w:val="16"/>
                <w:szCs w:val="16"/>
              </w:rPr>
              <w:drawing>
                <wp:inline distT="0" distB="0" distL="0" distR="0" wp14:anchorId="293F5465" wp14:editId="7D95622E">
                  <wp:extent cx="2862470" cy="1200647"/>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418B" w:rsidRPr="0084418B" w:rsidRDefault="0084418B" w:rsidP="0084418B">
            <w:pPr>
              <w:pStyle w:val="Caption"/>
              <w:spacing w:before="120"/>
              <w:jc w:val="right"/>
              <w:rPr>
                <w:rFonts w:ascii="Times New Roman Bold" w:hAnsi="Times New Roman Bold"/>
                <w:b w:val="0"/>
                <w:spacing w:val="-4"/>
                <w:sz w:val="22"/>
                <w:szCs w:val="24"/>
                <w:lang w:val="pl-PL"/>
              </w:rPr>
            </w:pPr>
            <w:r w:rsidRPr="0084418B">
              <w:rPr>
                <w:b w:val="0"/>
                <w:i/>
                <w:sz w:val="22"/>
                <w:szCs w:val="26"/>
                <w:lang w:val="pl-PL"/>
              </w:rPr>
              <w:t>Nguồn:</w:t>
            </w:r>
            <w:r w:rsidRPr="0084418B">
              <w:rPr>
                <w:b w:val="0"/>
                <w:sz w:val="22"/>
                <w:szCs w:val="26"/>
                <w:lang w:val="pl-PL"/>
              </w:rPr>
              <w:t xml:space="preserve"> TCTK</w:t>
            </w:r>
          </w:p>
        </w:tc>
      </w:tr>
      <w:tr w:rsidR="00DF62FE" w:rsidRPr="0084418B" w:rsidTr="00DF62FE">
        <w:tc>
          <w:tcPr>
            <w:tcW w:w="4785" w:type="dxa"/>
          </w:tcPr>
          <w:p w:rsidR="00DF62FE" w:rsidRPr="00717DB5" w:rsidRDefault="00DF62FE" w:rsidP="00DF62FE">
            <w:pPr>
              <w:pStyle w:val="ListParagraph"/>
              <w:numPr>
                <w:ilvl w:val="0"/>
                <w:numId w:val="44"/>
              </w:numPr>
              <w:tabs>
                <w:tab w:val="left" w:pos="284"/>
                <w:tab w:val="left" w:pos="689"/>
                <w:tab w:val="left" w:pos="851"/>
              </w:tabs>
              <w:spacing w:before="120" w:line="312" w:lineRule="auto"/>
              <w:ind w:left="0" w:firstLine="426"/>
              <w:contextualSpacing w:val="0"/>
              <w:rPr>
                <w:b/>
                <w:bCs/>
                <w:i/>
                <w:sz w:val="26"/>
                <w:szCs w:val="26"/>
                <w:lang w:val="de-DE"/>
              </w:rPr>
            </w:pPr>
            <w:r w:rsidRPr="006F0A2F">
              <w:rPr>
                <w:b/>
                <w:bCs/>
                <w:i/>
                <w:sz w:val="26"/>
                <w:szCs w:val="26"/>
                <w:lang w:val="de-DE"/>
              </w:rPr>
              <w:t xml:space="preserve">Nhập khẩu hàng hóa giảm so với cùng kỳ năm trước  </w:t>
            </w:r>
          </w:p>
          <w:p w:rsidR="00DF62FE" w:rsidRDefault="00DF62FE" w:rsidP="00DF62FE">
            <w:pPr>
              <w:spacing w:before="120" w:line="312" w:lineRule="auto"/>
              <w:rPr>
                <w:sz w:val="26"/>
                <w:lang w:val="de-DE"/>
              </w:rPr>
            </w:pPr>
            <w:r w:rsidRPr="00C47F7C">
              <w:rPr>
                <w:sz w:val="26"/>
                <w:lang w:val="de-DE"/>
              </w:rPr>
              <w:t xml:space="preserve">Kim ngạch xuất khẩu trong </w:t>
            </w:r>
            <w:r>
              <w:rPr>
                <w:sz w:val="26"/>
                <w:lang w:val="de-DE"/>
              </w:rPr>
              <w:t xml:space="preserve">những tháng đầu năm tăng 2,9% so với cùng kỳ </w:t>
            </w:r>
            <w:r w:rsidRPr="00DF62FE">
              <w:rPr>
                <w:spacing w:val="-2"/>
                <w:sz w:val="26"/>
                <w:lang w:val="de-DE"/>
              </w:rPr>
              <w:t>năm trước (2 tháng đầu năm đạt 23,7 tỷ USD). Kim ngạch nhập khẩu hàng hóa giảm 6,6% so với cùng kỳ năm 2015 (2 tháng đầu năm đạt 22,8 tỷ USD). Tính chung 2 tháng đầu năm, cán cân thương mại của Việt Nam thặng dư 865 triệu USD (cùng kỳ năm 2015 thâm hụt 61 triệu USD).</w:t>
            </w:r>
            <w:r>
              <w:rPr>
                <w:sz w:val="26"/>
                <w:lang w:val="de-DE"/>
              </w:rPr>
              <w:t xml:space="preserve"> </w:t>
            </w:r>
          </w:p>
          <w:p w:rsidR="00DF62FE" w:rsidRPr="00DF62FE" w:rsidRDefault="00DF62FE" w:rsidP="00DF62FE">
            <w:pPr>
              <w:spacing w:line="312" w:lineRule="auto"/>
              <w:rPr>
                <w:sz w:val="26"/>
                <w:lang w:val="de-DE"/>
              </w:rPr>
            </w:pPr>
            <w:r>
              <w:rPr>
                <w:sz w:val="26"/>
                <w:lang w:val="de-DE"/>
              </w:rPr>
              <w:t>K</w:t>
            </w:r>
            <w:r w:rsidRPr="008B5B72">
              <w:rPr>
                <w:sz w:val="26"/>
                <w:lang w:val="de-DE"/>
              </w:rPr>
              <w:t>hu vực kinh tế FDI tiếp tục là đầu tàu trong hoạt động xuất nhập khẩu khi chiếm tới 66% tổng kim ngạch xuất nhập khẩu cả nước và xuất siêu 2,9 tỷ USD</w:t>
            </w:r>
            <w:r>
              <w:rPr>
                <w:sz w:val="26"/>
                <w:lang w:val="de-DE"/>
              </w:rPr>
              <w:t xml:space="preserve">, góp phần </w:t>
            </w:r>
            <w:r w:rsidRPr="008B5B72">
              <w:rPr>
                <w:sz w:val="26"/>
                <w:lang w:val="de-DE"/>
              </w:rPr>
              <w:t xml:space="preserve">bù đắp </w:t>
            </w:r>
            <w:r>
              <w:rPr>
                <w:sz w:val="26"/>
                <w:lang w:val="de-DE"/>
              </w:rPr>
              <w:t>cho khu vực kinh tế trong nước (nhập siêu gần 2,1 tỷ USD). C</w:t>
            </w:r>
            <w:r w:rsidRPr="008B5B72">
              <w:rPr>
                <w:sz w:val="26"/>
                <w:lang w:val="de-DE"/>
              </w:rPr>
              <w:t xml:space="preserve">ác </w:t>
            </w:r>
            <w:r w:rsidRPr="008B5B72">
              <w:rPr>
                <w:sz w:val="26"/>
                <w:lang w:val="de-DE"/>
              </w:rPr>
              <w:lastRenderedPageBreak/>
              <w:t xml:space="preserve">nhóm hàng nhập khẩu phục vụ sản xuất </w:t>
            </w:r>
            <w:r>
              <w:rPr>
                <w:sz w:val="26"/>
                <w:lang w:val="de-DE"/>
              </w:rPr>
              <w:t xml:space="preserve">trong nước </w:t>
            </w:r>
            <w:r w:rsidRPr="008B5B72">
              <w:rPr>
                <w:sz w:val="26"/>
                <w:lang w:val="de-DE"/>
              </w:rPr>
              <w:t xml:space="preserve">giảm </w:t>
            </w:r>
            <w:r>
              <w:rPr>
                <w:sz w:val="26"/>
                <w:lang w:val="de-DE"/>
              </w:rPr>
              <w:t xml:space="preserve">mạnh </w:t>
            </w:r>
            <w:r w:rsidRPr="008B5B72">
              <w:rPr>
                <w:sz w:val="26"/>
                <w:lang w:val="de-DE"/>
              </w:rPr>
              <w:t xml:space="preserve">so với cùng kỳ năm trước: </w:t>
            </w:r>
            <w:r>
              <w:rPr>
                <w:sz w:val="26"/>
                <w:lang w:val="de-DE"/>
              </w:rPr>
              <w:t>máy móc thiết bị giảm 13,6%; nguyên phụ liệu</w:t>
            </w:r>
            <w:r w:rsidRPr="008B5B72">
              <w:rPr>
                <w:sz w:val="26"/>
                <w:lang w:val="de-DE"/>
              </w:rPr>
              <w:t xml:space="preserve"> dệt, may, giày dép giảm 9,6%; xăng dầu giảm 33,8%. </w:t>
            </w:r>
          </w:p>
        </w:tc>
        <w:tc>
          <w:tcPr>
            <w:tcW w:w="4786" w:type="dxa"/>
          </w:tcPr>
          <w:p w:rsidR="00DF62FE" w:rsidRDefault="00DF62FE" w:rsidP="00DF62FE">
            <w:pPr>
              <w:spacing w:before="120"/>
              <w:ind w:firstLine="0"/>
              <w:jc w:val="center"/>
              <w:rPr>
                <w:b/>
                <w:sz w:val="22"/>
                <w:lang w:val="de-DE"/>
              </w:rPr>
            </w:pPr>
          </w:p>
          <w:p w:rsidR="00DF62FE" w:rsidRPr="00C47F7C" w:rsidRDefault="00DF62FE" w:rsidP="00DF62FE">
            <w:pPr>
              <w:spacing w:before="120"/>
              <w:ind w:firstLine="0"/>
              <w:jc w:val="center"/>
              <w:rPr>
                <w:b/>
                <w:sz w:val="22"/>
                <w:lang w:val="de-DE"/>
              </w:rPr>
            </w:pPr>
            <w:r w:rsidRPr="00C47F7C">
              <w:rPr>
                <w:b/>
                <w:sz w:val="22"/>
                <w:lang w:val="de-DE"/>
              </w:rPr>
              <w:t>Một số mặt hàng sụt giảm mạnh so với cùng kỳ trong 2 tháng đầu năm 2016 (%)</w:t>
            </w:r>
          </w:p>
          <w:p w:rsidR="00DF62FE" w:rsidRPr="003C70FB" w:rsidRDefault="00DF62FE" w:rsidP="00DF62FE">
            <w:pPr>
              <w:spacing w:before="120"/>
              <w:ind w:firstLine="0"/>
              <w:jc w:val="center"/>
              <w:rPr>
                <w:sz w:val="22"/>
              </w:rPr>
            </w:pPr>
            <w:r w:rsidRPr="003C70FB">
              <w:rPr>
                <w:noProof/>
                <w:sz w:val="22"/>
              </w:rPr>
              <w:drawing>
                <wp:inline distT="0" distB="0" distL="0" distR="0" wp14:anchorId="7C3492E8" wp14:editId="07F4BA1B">
                  <wp:extent cx="2806811" cy="1502796"/>
                  <wp:effectExtent l="0" t="0" r="0" b="254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62FE" w:rsidRDefault="00DF62FE" w:rsidP="00DF62FE">
            <w:pPr>
              <w:spacing w:after="0"/>
              <w:ind w:firstLine="0"/>
              <w:jc w:val="right"/>
              <w:rPr>
                <w:i/>
                <w:sz w:val="22"/>
              </w:rPr>
            </w:pPr>
            <w:r w:rsidRPr="003C70FB">
              <w:rPr>
                <w:i/>
                <w:sz w:val="22"/>
              </w:rPr>
              <w:t>Nguồn. TCTK</w:t>
            </w:r>
          </w:p>
          <w:p w:rsidR="00DF62FE" w:rsidRPr="003C70FB" w:rsidRDefault="00DF62FE" w:rsidP="00DF62FE">
            <w:pPr>
              <w:spacing w:before="120"/>
              <w:ind w:firstLine="0"/>
              <w:jc w:val="center"/>
              <w:rPr>
                <w:b/>
                <w:sz w:val="22"/>
              </w:rPr>
            </w:pPr>
            <w:r w:rsidRPr="003C70FB">
              <w:rPr>
                <w:b/>
                <w:sz w:val="22"/>
              </w:rPr>
              <w:t>Cơ cấu đóng góp của các khu vực kinh tế 2 tháng đầu năm 2016 (tỷ USD)</w:t>
            </w:r>
          </w:p>
          <w:p w:rsidR="00DF62FE" w:rsidRPr="003C70FB" w:rsidRDefault="00DF62FE" w:rsidP="00DF62FE">
            <w:pPr>
              <w:spacing w:before="120"/>
              <w:ind w:firstLine="104"/>
              <w:rPr>
                <w:sz w:val="22"/>
              </w:rPr>
            </w:pPr>
            <w:r w:rsidRPr="003C70FB">
              <w:rPr>
                <w:noProof/>
                <w:sz w:val="22"/>
              </w:rPr>
              <w:drawing>
                <wp:inline distT="0" distB="0" distL="0" distR="0" wp14:anchorId="52945FF8" wp14:editId="213295D9">
                  <wp:extent cx="2608027" cy="1502796"/>
                  <wp:effectExtent l="0" t="0" r="0"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62FE" w:rsidRPr="00797469" w:rsidRDefault="00DF62FE" w:rsidP="00DF62FE">
            <w:pPr>
              <w:spacing w:after="0"/>
              <w:ind w:firstLine="0"/>
              <w:jc w:val="right"/>
              <w:rPr>
                <w:b/>
                <w:color w:val="000000" w:themeColor="text1"/>
                <w:sz w:val="22"/>
                <w:szCs w:val="22"/>
                <w:lang w:val="pl-PL"/>
              </w:rPr>
            </w:pPr>
            <w:r w:rsidRPr="003C70FB">
              <w:rPr>
                <w:i/>
                <w:sz w:val="22"/>
              </w:rPr>
              <w:lastRenderedPageBreak/>
              <w:t>Nguồn. TCTK</w:t>
            </w:r>
          </w:p>
        </w:tc>
      </w:tr>
    </w:tbl>
    <w:p w:rsidR="003C70FB" w:rsidRPr="00DF62FE" w:rsidRDefault="0084418B" w:rsidP="0084418B">
      <w:pPr>
        <w:spacing w:before="120" w:after="0" w:line="312" w:lineRule="auto"/>
        <w:ind w:firstLine="0"/>
        <w:rPr>
          <w:b/>
          <w:sz w:val="26"/>
          <w:szCs w:val="26"/>
          <w:lang w:val="de-DE"/>
        </w:rPr>
      </w:pPr>
      <w:r w:rsidRPr="00AD7244">
        <w:rPr>
          <w:b/>
          <w:sz w:val="26"/>
          <w:szCs w:val="26"/>
          <w:lang w:val="nl-NL"/>
        </w:rPr>
        <w:lastRenderedPageBreak/>
        <w:t>2. Lạm phát và lạm phát cơ bản có xu hướng hội tụ</w:t>
      </w:r>
    </w:p>
    <w:tbl>
      <w:tblPr>
        <w:tblStyle w:val="TableGrid"/>
        <w:tblW w:w="9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58"/>
      </w:tblGrid>
      <w:tr w:rsidR="003C70FB" w:rsidTr="00023656">
        <w:trPr>
          <w:trHeight w:val="4220"/>
        </w:trPr>
        <w:tc>
          <w:tcPr>
            <w:tcW w:w="4799" w:type="dxa"/>
          </w:tcPr>
          <w:p w:rsidR="003C70FB" w:rsidRPr="00C16AB3" w:rsidRDefault="00797469" w:rsidP="00140B4B">
            <w:pPr>
              <w:spacing w:before="120" w:line="288" w:lineRule="auto"/>
              <w:ind w:firstLine="706"/>
              <w:rPr>
                <w:spacing w:val="-2"/>
                <w:sz w:val="26"/>
                <w:szCs w:val="26"/>
              </w:rPr>
            </w:pPr>
            <w:r w:rsidRPr="00C16AB3">
              <w:rPr>
                <w:spacing w:val="-2"/>
                <w:sz w:val="26"/>
                <w:szCs w:val="26"/>
              </w:rPr>
              <w:t>Chỉ số giá tiêu dùng (CPI) tháng 3 tăng 1,69% so với cùng</w:t>
            </w:r>
            <w:r w:rsidR="005B106F" w:rsidRPr="00C16AB3">
              <w:rPr>
                <w:spacing w:val="-2"/>
                <w:sz w:val="26"/>
                <w:szCs w:val="26"/>
              </w:rPr>
              <w:t xml:space="preserve"> kỳ</w:t>
            </w:r>
            <w:r w:rsidR="00D67FE8" w:rsidRPr="00C16AB3">
              <w:rPr>
                <w:spacing w:val="-2"/>
                <w:sz w:val="26"/>
                <w:szCs w:val="26"/>
              </w:rPr>
              <w:t xml:space="preserve"> năm trước</w:t>
            </w:r>
            <w:r w:rsidR="005B106F" w:rsidRPr="00C16AB3">
              <w:rPr>
                <w:spacing w:val="-2"/>
                <w:sz w:val="26"/>
                <w:szCs w:val="26"/>
              </w:rPr>
              <w:t xml:space="preserve"> và </w:t>
            </w:r>
            <w:r w:rsidR="00717DB5" w:rsidRPr="00C16AB3">
              <w:rPr>
                <w:spacing w:val="-2"/>
                <w:sz w:val="26"/>
                <w:szCs w:val="26"/>
              </w:rPr>
              <w:t xml:space="preserve">tăng </w:t>
            </w:r>
            <w:r w:rsidR="005B106F" w:rsidRPr="00C16AB3">
              <w:rPr>
                <w:spacing w:val="-2"/>
                <w:sz w:val="26"/>
                <w:szCs w:val="26"/>
              </w:rPr>
              <w:t>0,57% so với tháng</w:t>
            </w:r>
            <w:r w:rsidR="00D67FE8" w:rsidRPr="00C16AB3">
              <w:rPr>
                <w:spacing w:val="-2"/>
                <w:sz w:val="26"/>
                <w:szCs w:val="26"/>
              </w:rPr>
              <w:t xml:space="preserve"> 2</w:t>
            </w:r>
            <w:r w:rsidRPr="00C16AB3">
              <w:rPr>
                <w:spacing w:val="-2"/>
                <w:sz w:val="26"/>
                <w:szCs w:val="26"/>
              </w:rPr>
              <w:t xml:space="preserve">. CPI tháng 3 </w:t>
            </w:r>
            <w:r w:rsidR="005B106F" w:rsidRPr="00C16AB3">
              <w:rPr>
                <w:spacing w:val="-2"/>
                <w:sz w:val="26"/>
                <w:szCs w:val="26"/>
              </w:rPr>
              <w:t xml:space="preserve">so với tháng </w:t>
            </w:r>
            <w:r w:rsidR="00D67FE8" w:rsidRPr="00C16AB3">
              <w:rPr>
                <w:spacing w:val="-2"/>
                <w:sz w:val="26"/>
                <w:szCs w:val="26"/>
              </w:rPr>
              <w:t>trước</w:t>
            </w:r>
            <w:r w:rsidR="005B106F" w:rsidRPr="00C16AB3">
              <w:rPr>
                <w:spacing w:val="-2"/>
                <w:sz w:val="26"/>
                <w:szCs w:val="26"/>
              </w:rPr>
              <w:t xml:space="preserve"> tăng </w:t>
            </w:r>
            <w:r w:rsidR="00EA5299">
              <w:rPr>
                <w:spacing w:val="-2"/>
                <w:sz w:val="26"/>
                <w:szCs w:val="26"/>
              </w:rPr>
              <w:t xml:space="preserve">ở mức </w:t>
            </w:r>
            <w:r w:rsidR="005B106F" w:rsidRPr="00C16AB3">
              <w:rPr>
                <w:spacing w:val="-2"/>
                <w:sz w:val="26"/>
                <w:szCs w:val="26"/>
              </w:rPr>
              <w:t xml:space="preserve">cao nhất trong 5 năm trở lại đây </w:t>
            </w:r>
            <w:r w:rsidR="00EA5299">
              <w:rPr>
                <w:spacing w:val="-2"/>
                <w:sz w:val="26"/>
                <w:szCs w:val="26"/>
              </w:rPr>
              <w:t xml:space="preserve">không phải do chi phí đẩy mà </w:t>
            </w:r>
            <w:r w:rsidRPr="00C16AB3">
              <w:rPr>
                <w:spacing w:val="-2"/>
                <w:sz w:val="26"/>
                <w:szCs w:val="26"/>
              </w:rPr>
              <w:t>chủ yếu do tăng giá của nhóm dịch vụ y tế và giáo dục</w:t>
            </w:r>
            <w:r w:rsidR="005B106F" w:rsidRPr="00C16AB3">
              <w:rPr>
                <w:spacing w:val="-2"/>
                <w:sz w:val="26"/>
                <w:szCs w:val="26"/>
              </w:rPr>
              <w:t xml:space="preserve"> </w:t>
            </w:r>
            <w:r w:rsidRPr="00C16AB3">
              <w:rPr>
                <w:spacing w:val="-2"/>
                <w:sz w:val="26"/>
                <w:szCs w:val="26"/>
              </w:rPr>
              <w:t xml:space="preserve">(y tế tăng: 24,34%; giáo dục tăng: 0,66% so với tháng trước). Tuy nhiên, lạm phát cơ bản 3 tháng đầu năm </w:t>
            </w:r>
            <w:r w:rsidR="00E627FA">
              <w:rPr>
                <w:spacing w:val="-2"/>
                <w:sz w:val="26"/>
                <w:szCs w:val="26"/>
              </w:rPr>
              <w:t xml:space="preserve">vẫn </w:t>
            </w:r>
            <w:r w:rsidRPr="00C16AB3">
              <w:rPr>
                <w:spacing w:val="-2"/>
                <w:sz w:val="26"/>
                <w:szCs w:val="26"/>
              </w:rPr>
              <w:t>duy trì ở mức thấp, tăng 1,76% thấp hơn mức 2,31% của cùng kỳ năm 201</w:t>
            </w:r>
            <w:r w:rsidR="00140B4B">
              <w:rPr>
                <w:spacing w:val="-2"/>
                <w:sz w:val="26"/>
                <w:szCs w:val="26"/>
              </w:rPr>
              <w:t>5</w:t>
            </w:r>
            <w:r w:rsidRPr="00C16AB3">
              <w:rPr>
                <w:spacing w:val="-2"/>
                <w:sz w:val="26"/>
                <w:szCs w:val="26"/>
              </w:rPr>
              <w:t xml:space="preserve">. </w:t>
            </w:r>
          </w:p>
        </w:tc>
        <w:tc>
          <w:tcPr>
            <w:tcW w:w="4758" w:type="dxa"/>
          </w:tcPr>
          <w:p w:rsidR="00C16AB3" w:rsidRDefault="003C70FB" w:rsidP="00C16AB3">
            <w:pPr>
              <w:spacing w:after="0"/>
              <w:ind w:firstLine="0"/>
              <w:jc w:val="center"/>
              <w:rPr>
                <w:b/>
                <w:sz w:val="24"/>
                <w:szCs w:val="26"/>
                <w:lang w:val="pl-PL"/>
              </w:rPr>
            </w:pPr>
            <w:r w:rsidRPr="003C70FB">
              <w:rPr>
                <w:b/>
                <w:sz w:val="24"/>
                <w:szCs w:val="26"/>
                <w:lang w:val="pl-PL"/>
              </w:rPr>
              <w:t>Lạm phát và lạm phát cơ bản</w:t>
            </w:r>
          </w:p>
          <w:p w:rsidR="003C70FB" w:rsidRDefault="003C70FB" w:rsidP="00C16AB3">
            <w:pPr>
              <w:spacing w:after="0"/>
              <w:ind w:firstLine="0"/>
              <w:jc w:val="center"/>
              <w:rPr>
                <w:b/>
                <w:sz w:val="24"/>
                <w:szCs w:val="26"/>
                <w:lang w:val="pl-PL"/>
              </w:rPr>
            </w:pPr>
            <w:r w:rsidRPr="003C70FB">
              <w:rPr>
                <w:b/>
                <w:sz w:val="24"/>
                <w:szCs w:val="26"/>
                <w:lang w:val="pl-PL"/>
              </w:rPr>
              <w:t xml:space="preserve"> T2/2014-T2/2016 so với cùng kỳ</w:t>
            </w:r>
            <w:r w:rsidR="002E03FD">
              <w:rPr>
                <w:b/>
                <w:sz w:val="24"/>
                <w:szCs w:val="26"/>
                <w:lang w:val="pl-PL"/>
              </w:rPr>
              <w:t xml:space="preserve"> (%)</w:t>
            </w:r>
          </w:p>
          <w:p w:rsidR="003C70FB" w:rsidRPr="008C082E" w:rsidRDefault="00D0366C" w:rsidP="001947FE">
            <w:pPr>
              <w:spacing w:before="120" w:line="312" w:lineRule="auto"/>
              <w:ind w:firstLine="0"/>
              <w:jc w:val="center"/>
              <w:rPr>
                <w:b/>
                <w:sz w:val="24"/>
                <w:szCs w:val="26"/>
                <w:lang w:val="pl-PL"/>
              </w:rPr>
            </w:pPr>
            <w:r>
              <w:rPr>
                <w:noProof/>
              </w:rPr>
              <w:drawing>
                <wp:inline distT="0" distB="0" distL="0" distR="0">
                  <wp:extent cx="2562045" cy="1690778"/>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70FB" w:rsidRPr="003C70FB" w:rsidRDefault="003C70FB" w:rsidP="001947FE">
            <w:pPr>
              <w:spacing w:before="120" w:line="312" w:lineRule="auto"/>
              <w:ind w:firstLine="0"/>
              <w:jc w:val="right"/>
              <w:rPr>
                <w:sz w:val="24"/>
                <w:szCs w:val="26"/>
                <w:lang w:val="pl-PL"/>
              </w:rPr>
            </w:pPr>
            <w:r w:rsidRPr="008C082E">
              <w:rPr>
                <w:i/>
                <w:sz w:val="24"/>
                <w:szCs w:val="26"/>
                <w:lang w:val="pl-PL"/>
              </w:rPr>
              <w:t>Nguồn</w:t>
            </w:r>
            <w:r w:rsidRPr="008C082E">
              <w:rPr>
                <w:sz w:val="24"/>
                <w:szCs w:val="26"/>
                <w:lang w:val="pl-PL"/>
              </w:rPr>
              <w:t>: TCTK</w:t>
            </w:r>
          </w:p>
        </w:tc>
      </w:tr>
    </w:tbl>
    <w:p w:rsidR="00797469" w:rsidRPr="00422C13" w:rsidRDefault="00797469" w:rsidP="00797469">
      <w:pPr>
        <w:spacing w:line="312" w:lineRule="auto"/>
        <w:ind w:firstLine="0"/>
        <w:jc w:val="center"/>
        <w:rPr>
          <w:b/>
          <w:sz w:val="24"/>
        </w:rPr>
      </w:pPr>
      <w:r w:rsidRPr="00797469">
        <w:rPr>
          <w:b/>
          <w:sz w:val="24"/>
        </w:rPr>
        <w:t>Chỉ số giá tiêu dùng tháng 3 giai đoạn 2007-2016</w:t>
      </w:r>
    </w:p>
    <w:tbl>
      <w:tblPr>
        <w:tblStyle w:val="TableGrid1"/>
        <w:tblW w:w="8761" w:type="dxa"/>
        <w:jc w:val="center"/>
        <w:tblLook w:val="01E0" w:firstRow="1" w:lastRow="1" w:firstColumn="1" w:lastColumn="1" w:noHBand="0" w:noVBand="0"/>
      </w:tblPr>
      <w:tblGrid>
        <w:gridCol w:w="1801"/>
        <w:gridCol w:w="708"/>
        <w:gridCol w:w="709"/>
        <w:gridCol w:w="670"/>
        <w:gridCol w:w="708"/>
        <w:gridCol w:w="670"/>
        <w:gridCol w:w="689"/>
        <w:gridCol w:w="806"/>
        <w:gridCol w:w="672"/>
        <w:gridCol w:w="708"/>
        <w:gridCol w:w="620"/>
      </w:tblGrid>
      <w:tr w:rsidR="00023656" w:rsidRPr="00422C13" w:rsidTr="00023656">
        <w:trPr>
          <w:trHeight w:val="342"/>
          <w:jc w:val="center"/>
        </w:trPr>
        <w:tc>
          <w:tcPr>
            <w:tcW w:w="1801" w:type="dxa"/>
          </w:tcPr>
          <w:p w:rsidR="00797469" w:rsidRPr="00422C13" w:rsidRDefault="00797469" w:rsidP="00797469">
            <w:pPr>
              <w:spacing w:before="60" w:after="0" w:line="312" w:lineRule="auto"/>
              <w:ind w:firstLine="0"/>
              <w:rPr>
                <w:rStyle w:val="fftimenewsromanfs12pt1"/>
                <w:sz w:val="20"/>
                <w:szCs w:val="20"/>
              </w:rPr>
            </w:pPr>
          </w:p>
        </w:tc>
        <w:tc>
          <w:tcPr>
            <w:tcW w:w="708" w:type="dxa"/>
          </w:tcPr>
          <w:p w:rsidR="00797469" w:rsidRPr="00422C13" w:rsidRDefault="00797469" w:rsidP="00797469">
            <w:pPr>
              <w:spacing w:before="60" w:after="0" w:line="312" w:lineRule="auto"/>
              <w:ind w:firstLine="0"/>
              <w:jc w:val="center"/>
              <w:rPr>
                <w:rStyle w:val="fftimenewsromanfs12pt1"/>
                <w:b/>
                <w:sz w:val="20"/>
                <w:szCs w:val="20"/>
              </w:rPr>
            </w:pPr>
            <w:r w:rsidRPr="00422C13">
              <w:rPr>
                <w:rStyle w:val="fftimenewsromanfs12pt1"/>
                <w:b/>
                <w:sz w:val="20"/>
                <w:szCs w:val="20"/>
              </w:rPr>
              <w:t>2007</w:t>
            </w:r>
          </w:p>
        </w:tc>
        <w:tc>
          <w:tcPr>
            <w:tcW w:w="709" w:type="dxa"/>
          </w:tcPr>
          <w:p w:rsidR="00797469" w:rsidRPr="00422C13" w:rsidRDefault="00797469" w:rsidP="00797469">
            <w:pPr>
              <w:spacing w:before="60" w:after="0" w:line="312" w:lineRule="auto"/>
              <w:ind w:firstLine="0"/>
              <w:jc w:val="center"/>
              <w:rPr>
                <w:rStyle w:val="fftimenewsromanfs12pt1"/>
                <w:b/>
                <w:sz w:val="20"/>
                <w:szCs w:val="20"/>
              </w:rPr>
            </w:pPr>
            <w:r w:rsidRPr="00422C13">
              <w:rPr>
                <w:rStyle w:val="fftimenewsromanfs12pt1"/>
                <w:b/>
                <w:sz w:val="20"/>
                <w:szCs w:val="20"/>
              </w:rPr>
              <w:t>2008</w:t>
            </w:r>
          </w:p>
        </w:tc>
        <w:tc>
          <w:tcPr>
            <w:tcW w:w="670" w:type="dxa"/>
          </w:tcPr>
          <w:p w:rsidR="00797469" w:rsidRPr="00422C13" w:rsidRDefault="00797469" w:rsidP="00797469">
            <w:pPr>
              <w:spacing w:before="60" w:after="0" w:line="312" w:lineRule="auto"/>
              <w:ind w:firstLine="0"/>
              <w:jc w:val="center"/>
              <w:rPr>
                <w:rStyle w:val="fftimenewsromanfs12pt1"/>
                <w:b/>
                <w:sz w:val="20"/>
                <w:szCs w:val="20"/>
              </w:rPr>
            </w:pPr>
            <w:r w:rsidRPr="00422C13">
              <w:rPr>
                <w:rStyle w:val="fftimenewsromanfs12pt1"/>
                <w:b/>
                <w:sz w:val="20"/>
                <w:szCs w:val="20"/>
              </w:rPr>
              <w:t>2009</w:t>
            </w:r>
          </w:p>
        </w:tc>
        <w:tc>
          <w:tcPr>
            <w:tcW w:w="708" w:type="dxa"/>
          </w:tcPr>
          <w:p w:rsidR="00797469" w:rsidRPr="00422C13" w:rsidRDefault="00797469" w:rsidP="00797469">
            <w:pPr>
              <w:spacing w:before="60" w:after="0" w:line="312" w:lineRule="auto"/>
              <w:ind w:firstLine="0"/>
              <w:jc w:val="center"/>
              <w:rPr>
                <w:rStyle w:val="fftimenewsromanfs12pt1"/>
                <w:b/>
                <w:sz w:val="20"/>
                <w:szCs w:val="20"/>
              </w:rPr>
            </w:pPr>
            <w:r w:rsidRPr="00422C13">
              <w:rPr>
                <w:rStyle w:val="fftimenewsromanfs12pt1"/>
                <w:b/>
                <w:sz w:val="20"/>
                <w:szCs w:val="20"/>
              </w:rPr>
              <w:t>2010</w:t>
            </w:r>
          </w:p>
        </w:tc>
        <w:tc>
          <w:tcPr>
            <w:tcW w:w="670" w:type="dxa"/>
          </w:tcPr>
          <w:p w:rsidR="00797469" w:rsidRPr="00422C13" w:rsidRDefault="00797469" w:rsidP="00797469">
            <w:pPr>
              <w:spacing w:before="60" w:after="0" w:line="312" w:lineRule="auto"/>
              <w:ind w:firstLine="0"/>
              <w:jc w:val="center"/>
              <w:rPr>
                <w:rStyle w:val="fftimenewsromanfs12pt1"/>
                <w:b/>
                <w:sz w:val="20"/>
                <w:szCs w:val="20"/>
              </w:rPr>
            </w:pPr>
            <w:r w:rsidRPr="00422C13">
              <w:rPr>
                <w:rStyle w:val="fftimenewsromanfs12pt1"/>
                <w:b/>
                <w:sz w:val="20"/>
                <w:szCs w:val="20"/>
              </w:rPr>
              <w:t>2011</w:t>
            </w:r>
          </w:p>
        </w:tc>
        <w:tc>
          <w:tcPr>
            <w:tcW w:w="689" w:type="dxa"/>
          </w:tcPr>
          <w:p w:rsidR="00797469" w:rsidRPr="00422C13" w:rsidRDefault="00797469" w:rsidP="00797469">
            <w:pPr>
              <w:spacing w:before="60" w:after="0" w:line="312" w:lineRule="auto"/>
              <w:ind w:firstLine="0"/>
              <w:jc w:val="center"/>
              <w:rPr>
                <w:rStyle w:val="fftimenewsromanfs12pt1"/>
                <w:b/>
                <w:sz w:val="20"/>
                <w:szCs w:val="20"/>
              </w:rPr>
            </w:pPr>
            <w:r w:rsidRPr="00422C13">
              <w:rPr>
                <w:rStyle w:val="fftimenewsromanfs12pt1"/>
                <w:b/>
                <w:sz w:val="20"/>
                <w:szCs w:val="20"/>
              </w:rPr>
              <w:t>2012</w:t>
            </w:r>
          </w:p>
        </w:tc>
        <w:tc>
          <w:tcPr>
            <w:tcW w:w="806" w:type="dxa"/>
          </w:tcPr>
          <w:p w:rsidR="00797469" w:rsidRPr="00422C13" w:rsidRDefault="00797469" w:rsidP="00797469">
            <w:pPr>
              <w:spacing w:before="60" w:after="0" w:line="312" w:lineRule="auto"/>
              <w:ind w:firstLine="0"/>
              <w:jc w:val="center"/>
              <w:rPr>
                <w:rStyle w:val="fftimenewsromanfs12pt1"/>
                <w:b/>
                <w:sz w:val="20"/>
                <w:szCs w:val="20"/>
              </w:rPr>
            </w:pPr>
            <w:r w:rsidRPr="00422C13">
              <w:rPr>
                <w:rStyle w:val="fftimenewsromanfs12pt1"/>
                <w:b/>
                <w:sz w:val="20"/>
                <w:szCs w:val="20"/>
              </w:rPr>
              <w:t>2013</w:t>
            </w:r>
          </w:p>
        </w:tc>
        <w:tc>
          <w:tcPr>
            <w:tcW w:w="672" w:type="dxa"/>
          </w:tcPr>
          <w:p w:rsidR="00797469" w:rsidRPr="00422C13" w:rsidRDefault="00797469" w:rsidP="00797469">
            <w:pPr>
              <w:spacing w:before="60" w:after="0" w:line="312" w:lineRule="auto"/>
              <w:ind w:firstLine="0"/>
              <w:jc w:val="center"/>
              <w:rPr>
                <w:rStyle w:val="fftimenewsromanfs12pt1"/>
                <w:b/>
                <w:sz w:val="20"/>
                <w:szCs w:val="20"/>
              </w:rPr>
            </w:pPr>
            <w:r w:rsidRPr="00422C13">
              <w:rPr>
                <w:rStyle w:val="fftimenewsromanfs12pt1"/>
                <w:b/>
                <w:sz w:val="20"/>
                <w:szCs w:val="20"/>
              </w:rPr>
              <w:t>2014</w:t>
            </w:r>
          </w:p>
        </w:tc>
        <w:tc>
          <w:tcPr>
            <w:tcW w:w="708" w:type="dxa"/>
          </w:tcPr>
          <w:p w:rsidR="00797469" w:rsidRPr="00422C13" w:rsidRDefault="00797469" w:rsidP="00797469">
            <w:pPr>
              <w:spacing w:before="60" w:after="0" w:line="312" w:lineRule="auto"/>
              <w:ind w:firstLine="0"/>
              <w:jc w:val="center"/>
              <w:rPr>
                <w:rStyle w:val="fftimenewsromanfs12pt1"/>
                <w:b/>
                <w:sz w:val="20"/>
                <w:szCs w:val="20"/>
              </w:rPr>
            </w:pPr>
            <w:r w:rsidRPr="00422C13">
              <w:rPr>
                <w:rStyle w:val="fftimenewsromanfs12pt1"/>
                <w:b/>
                <w:sz w:val="20"/>
                <w:szCs w:val="20"/>
              </w:rPr>
              <w:t>2015</w:t>
            </w:r>
          </w:p>
        </w:tc>
        <w:tc>
          <w:tcPr>
            <w:tcW w:w="620" w:type="dxa"/>
          </w:tcPr>
          <w:p w:rsidR="00797469" w:rsidRPr="00422C13" w:rsidRDefault="00797469" w:rsidP="00797469">
            <w:pPr>
              <w:spacing w:before="60" w:after="0" w:line="312" w:lineRule="auto"/>
              <w:ind w:firstLine="0"/>
              <w:jc w:val="center"/>
              <w:rPr>
                <w:rStyle w:val="fftimenewsromanfs12pt1"/>
                <w:b/>
                <w:sz w:val="20"/>
                <w:szCs w:val="20"/>
              </w:rPr>
            </w:pPr>
            <w:r w:rsidRPr="00422C13">
              <w:rPr>
                <w:rStyle w:val="fftimenewsromanfs12pt1"/>
                <w:b/>
                <w:sz w:val="20"/>
                <w:szCs w:val="20"/>
              </w:rPr>
              <w:t>2016</w:t>
            </w:r>
          </w:p>
        </w:tc>
      </w:tr>
      <w:tr w:rsidR="00023656" w:rsidRPr="00422C13" w:rsidTr="00023656">
        <w:trPr>
          <w:trHeight w:val="510"/>
          <w:jc w:val="center"/>
        </w:trPr>
        <w:tc>
          <w:tcPr>
            <w:tcW w:w="1801" w:type="dxa"/>
          </w:tcPr>
          <w:p w:rsidR="00797469" w:rsidRPr="00422C13" w:rsidRDefault="00797469" w:rsidP="00797469">
            <w:pPr>
              <w:spacing w:before="60" w:after="0" w:line="312" w:lineRule="auto"/>
              <w:ind w:firstLine="0"/>
              <w:rPr>
                <w:rStyle w:val="fftimenewsromanfs12pt1"/>
                <w:sz w:val="20"/>
                <w:szCs w:val="20"/>
              </w:rPr>
            </w:pPr>
            <w:r w:rsidRPr="00422C13">
              <w:rPr>
                <w:rStyle w:val="fftimenewsromanfs12pt1"/>
                <w:sz w:val="20"/>
                <w:szCs w:val="20"/>
              </w:rPr>
              <w:t xml:space="preserve">CPI tháng 3 </w:t>
            </w:r>
            <w:r>
              <w:rPr>
                <w:rStyle w:val="fftimenewsromanfs12pt1"/>
                <w:sz w:val="20"/>
                <w:szCs w:val="20"/>
              </w:rPr>
              <w:t xml:space="preserve">so với </w:t>
            </w:r>
            <w:r w:rsidRPr="00422C13">
              <w:rPr>
                <w:rStyle w:val="fftimenewsromanfs12pt1"/>
                <w:sz w:val="20"/>
                <w:szCs w:val="20"/>
              </w:rPr>
              <w:t xml:space="preserve">tháng trước </w:t>
            </w:r>
          </w:p>
        </w:tc>
        <w:tc>
          <w:tcPr>
            <w:tcW w:w="708" w:type="dxa"/>
            <w:vAlign w:val="center"/>
          </w:tcPr>
          <w:p w:rsidR="00797469" w:rsidRPr="00422C13" w:rsidRDefault="00797469" w:rsidP="00797469">
            <w:pPr>
              <w:spacing w:before="60" w:after="0" w:line="312" w:lineRule="auto"/>
              <w:ind w:firstLine="0"/>
              <w:jc w:val="right"/>
              <w:rPr>
                <w:sz w:val="20"/>
                <w:szCs w:val="20"/>
              </w:rPr>
            </w:pPr>
            <w:r w:rsidRPr="00422C13">
              <w:rPr>
                <w:sz w:val="20"/>
                <w:szCs w:val="20"/>
              </w:rPr>
              <w:t>-0,22</w:t>
            </w:r>
          </w:p>
        </w:tc>
        <w:tc>
          <w:tcPr>
            <w:tcW w:w="709" w:type="dxa"/>
            <w:vAlign w:val="center"/>
          </w:tcPr>
          <w:p w:rsidR="00797469" w:rsidRPr="00422C13" w:rsidRDefault="00797469" w:rsidP="00797469">
            <w:pPr>
              <w:spacing w:before="60" w:after="0" w:line="312" w:lineRule="auto"/>
              <w:ind w:firstLine="0"/>
              <w:jc w:val="right"/>
              <w:rPr>
                <w:sz w:val="20"/>
                <w:szCs w:val="20"/>
              </w:rPr>
            </w:pPr>
            <w:r w:rsidRPr="00422C13">
              <w:rPr>
                <w:sz w:val="20"/>
                <w:szCs w:val="20"/>
              </w:rPr>
              <w:t>2,99</w:t>
            </w:r>
          </w:p>
        </w:tc>
        <w:tc>
          <w:tcPr>
            <w:tcW w:w="670" w:type="dxa"/>
            <w:vAlign w:val="center"/>
          </w:tcPr>
          <w:p w:rsidR="00797469" w:rsidRPr="00422C13" w:rsidRDefault="00797469" w:rsidP="00797469">
            <w:pPr>
              <w:spacing w:before="60" w:after="0" w:line="312" w:lineRule="auto"/>
              <w:ind w:firstLine="0"/>
              <w:jc w:val="right"/>
              <w:rPr>
                <w:sz w:val="20"/>
                <w:szCs w:val="20"/>
              </w:rPr>
            </w:pPr>
            <w:r w:rsidRPr="00422C13">
              <w:rPr>
                <w:sz w:val="20"/>
                <w:szCs w:val="20"/>
              </w:rPr>
              <w:t>-0,17</w:t>
            </w:r>
          </w:p>
        </w:tc>
        <w:tc>
          <w:tcPr>
            <w:tcW w:w="708" w:type="dxa"/>
            <w:vAlign w:val="center"/>
          </w:tcPr>
          <w:p w:rsidR="00797469" w:rsidRPr="00422C13" w:rsidRDefault="00797469" w:rsidP="00797469">
            <w:pPr>
              <w:spacing w:before="60" w:after="0" w:line="312" w:lineRule="auto"/>
              <w:ind w:firstLine="0"/>
              <w:jc w:val="right"/>
              <w:rPr>
                <w:rStyle w:val="fftimenewsromanfs12pt1"/>
                <w:sz w:val="20"/>
                <w:szCs w:val="20"/>
              </w:rPr>
            </w:pPr>
            <w:r w:rsidRPr="00422C13">
              <w:rPr>
                <w:rStyle w:val="fftimenewsromanfs12pt1"/>
                <w:sz w:val="20"/>
                <w:szCs w:val="20"/>
              </w:rPr>
              <w:t>0,75</w:t>
            </w:r>
          </w:p>
        </w:tc>
        <w:tc>
          <w:tcPr>
            <w:tcW w:w="670" w:type="dxa"/>
            <w:vAlign w:val="center"/>
          </w:tcPr>
          <w:p w:rsidR="00797469" w:rsidRPr="00422C13" w:rsidRDefault="00797469" w:rsidP="00797469">
            <w:pPr>
              <w:spacing w:before="60" w:after="0" w:line="312" w:lineRule="auto"/>
              <w:ind w:firstLine="0"/>
              <w:jc w:val="right"/>
              <w:rPr>
                <w:rStyle w:val="fftimenewsromanfs12pt1"/>
                <w:sz w:val="20"/>
                <w:szCs w:val="20"/>
              </w:rPr>
            </w:pPr>
            <w:r w:rsidRPr="00422C13">
              <w:rPr>
                <w:rStyle w:val="fftimenewsromanfs12pt1"/>
                <w:sz w:val="20"/>
                <w:szCs w:val="20"/>
              </w:rPr>
              <w:t>2,17</w:t>
            </w:r>
          </w:p>
        </w:tc>
        <w:tc>
          <w:tcPr>
            <w:tcW w:w="689" w:type="dxa"/>
            <w:vAlign w:val="center"/>
          </w:tcPr>
          <w:p w:rsidR="00797469" w:rsidRPr="00422C13" w:rsidRDefault="00797469" w:rsidP="00797469">
            <w:pPr>
              <w:spacing w:before="60" w:after="0" w:line="312" w:lineRule="auto"/>
              <w:ind w:firstLine="0"/>
              <w:jc w:val="right"/>
              <w:rPr>
                <w:rStyle w:val="fftimenewsromanfs12pt1"/>
                <w:sz w:val="20"/>
                <w:szCs w:val="20"/>
              </w:rPr>
            </w:pPr>
            <w:r w:rsidRPr="00422C13">
              <w:rPr>
                <w:rStyle w:val="fftimenewsromanfs12pt1"/>
                <w:sz w:val="20"/>
                <w:szCs w:val="20"/>
              </w:rPr>
              <w:t>0,16</w:t>
            </w:r>
          </w:p>
        </w:tc>
        <w:tc>
          <w:tcPr>
            <w:tcW w:w="806" w:type="dxa"/>
            <w:vAlign w:val="center"/>
          </w:tcPr>
          <w:p w:rsidR="00797469" w:rsidRPr="00422C13" w:rsidRDefault="00797469" w:rsidP="00797469">
            <w:pPr>
              <w:spacing w:before="60" w:after="0" w:line="312" w:lineRule="auto"/>
              <w:ind w:firstLine="0"/>
              <w:jc w:val="right"/>
              <w:rPr>
                <w:rStyle w:val="fftimenewsromanfs12pt1"/>
                <w:sz w:val="20"/>
                <w:szCs w:val="20"/>
              </w:rPr>
            </w:pPr>
            <w:r w:rsidRPr="00422C13">
              <w:rPr>
                <w:rStyle w:val="fftimenewsromanfs12pt1"/>
                <w:sz w:val="20"/>
                <w:szCs w:val="20"/>
              </w:rPr>
              <w:t>-0,19</w:t>
            </w:r>
          </w:p>
        </w:tc>
        <w:tc>
          <w:tcPr>
            <w:tcW w:w="672" w:type="dxa"/>
            <w:vAlign w:val="center"/>
          </w:tcPr>
          <w:p w:rsidR="00797469" w:rsidRPr="00422C13" w:rsidRDefault="00797469" w:rsidP="00797469">
            <w:pPr>
              <w:spacing w:before="60" w:after="0" w:line="312" w:lineRule="auto"/>
              <w:ind w:firstLine="0"/>
              <w:jc w:val="right"/>
              <w:rPr>
                <w:rStyle w:val="fftimenewsromanfs12pt1"/>
                <w:sz w:val="20"/>
                <w:szCs w:val="20"/>
              </w:rPr>
            </w:pPr>
            <w:r w:rsidRPr="00422C13">
              <w:rPr>
                <w:rStyle w:val="fftimenewsromanfs12pt1"/>
                <w:sz w:val="20"/>
                <w:szCs w:val="20"/>
              </w:rPr>
              <w:t>-0,44</w:t>
            </w:r>
          </w:p>
        </w:tc>
        <w:tc>
          <w:tcPr>
            <w:tcW w:w="708" w:type="dxa"/>
            <w:vAlign w:val="center"/>
          </w:tcPr>
          <w:p w:rsidR="00797469" w:rsidRPr="00422C13" w:rsidRDefault="00797469" w:rsidP="00797469">
            <w:pPr>
              <w:spacing w:before="60" w:after="0" w:line="312" w:lineRule="auto"/>
              <w:ind w:firstLine="0"/>
              <w:jc w:val="right"/>
              <w:rPr>
                <w:rStyle w:val="fftimenewsromanfs12pt1"/>
                <w:sz w:val="20"/>
                <w:szCs w:val="20"/>
              </w:rPr>
            </w:pPr>
            <w:r w:rsidRPr="00422C13">
              <w:rPr>
                <w:rStyle w:val="fftimenewsromanfs12pt1"/>
                <w:sz w:val="20"/>
                <w:szCs w:val="20"/>
              </w:rPr>
              <w:t>0,15</w:t>
            </w:r>
          </w:p>
        </w:tc>
        <w:tc>
          <w:tcPr>
            <w:tcW w:w="620" w:type="dxa"/>
            <w:vAlign w:val="center"/>
          </w:tcPr>
          <w:p w:rsidR="00797469" w:rsidRPr="00422C13" w:rsidRDefault="00797469" w:rsidP="00797469">
            <w:pPr>
              <w:spacing w:before="60" w:after="0" w:line="312" w:lineRule="auto"/>
              <w:ind w:firstLine="0"/>
              <w:jc w:val="right"/>
              <w:rPr>
                <w:rStyle w:val="fftimenewsromanfs12pt1"/>
                <w:sz w:val="20"/>
                <w:szCs w:val="20"/>
              </w:rPr>
            </w:pPr>
            <w:r w:rsidRPr="00422C13">
              <w:rPr>
                <w:rStyle w:val="fftimenewsromanfs12pt1"/>
                <w:sz w:val="20"/>
                <w:szCs w:val="20"/>
              </w:rPr>
              <w:t>0,57</w:t>
            </w:r>
          </w:p>
        </w:tc>
      </w:tr>
      <w:tr w:rsidR="00023656" w:rsidRPr="00422C13" w:rsidTr="00023656">
        <w:trPr>
          <w:trHeight w:val="540"/>
          <w:jc w:val="center"/>
        </w:trPr>
        <w:tc>
          <w:tcPr>
            <w:tcW w:w="1801" w:type="dxa"/>
          </w:tcPr>
          <w:p w:rsidR="00797469" w:rsidRPr="00422C13" w:rsidRDefault="00797469" w:rsidP="00797469">
            <w:pPr>
              <w:spacing w:before="60" w:after="0" w:line="312" w:lineRule="auto"/>
              <w:ind w:firstLine="0"/>
              <w:jc w:val="left"/>
              <w:rPr>
                <w:rStyle w:val="fftimenewsromanfs12pt1"/>
                <w:sz w:val="20"/>
                <w:szCs w:val="20"/>
              </w:rPr>
            </w:pPr>
            <w:r w:rsidRPr="00422C13">
              <w:rPr>
                <w:rStyle w:val="fftimenewsromanfs12pt1"/>
                <w:sz w:val="20"/>
                <w:szCs w:val="20"/>
              </w:rPr>
              <w:t xml:space="preserve">CPI tháng 3 so với cùng kỳ năm trước </w:t>
            </w:r>
          </w:p>
        </w:tc>
        <w:tc>
          <w:tcPr>
            <w:tcW w:w="708" w:type="dxa"/>
            <w:vAlign w:val="center"/>
          </w:tcPr>
          <w:p w:rsidR="00797469" w:rsidRPr="00422C13" w:rsidRDefault="00797469" w:rsidP="00797469">
            <w:pPr>
              <w:spacing w:before="60" w:after="0" w:line="312" w:lineRule="auto"/>
              <w:ind w:firstLine="0"/>
              <w:jc w:val="right"/>
              <w:rPr>
                <w:sz w:val="20"/>
                <w:szCs w:val="20"/>
              </w:rPr>
            </w:pPr>
            <w:r w:rsidRPr="00422C13">
              <w:rPr>
                <w:sz w:val="20"/>
                <w:szCs w:val="20"/>
              </w:rPr>
              <w:t>6,8</w:t>
            </w:r>
          </w:p>
        </w:tc>
        <w:tc>
          <w:tcPr>
            <w:tcW w:w="709" w:type="dxa"/>
            <w:vAlign w:val="center"/>
          </w:tcPr>
          <w:p w:rsidR="00797469" w:rsidRPr="00422C13" w:rsidRDefault="00797469" w:rsidP="00797469">
            <w:pPr>
              <w:spacing w:before="60" w:after="0" w:line="312" w:lineRule="auto"/>
              <w:ind w:firstLine="0"/>
              <w:jc w:val="right"/>
              <w:rPr>
                <w:sz w:val="20"/>
                <w:szCs w:val="20"/>
              </w:rPr>
            </w:pPr>
            <w:r w:rsidRPr="00422C13">
              <w:rPr>
                <w:sz w:val="20"/>
                <w:szCs w:val="20"/>
              </w:rPr>
              <w:t>19,39</w:t>
            </w:r>
          </w:p>
        </w:tc>
        <w:tc>
          <w:tcPr>
            <w:tcW w:w="670" w:type="dxa"/>
            <w:vAlign w:val="center"/>
          </w:tcPr>
          <w:p w:rsidR="00797469" w:rsidRPr="00422C13" w:rsidRDefault="00797469" w:rsidP="00797469">
            <w:pPr>
              <w:spacing w:before="60" w:after="0" w:line="312" w:lineRule="auto"/>
              <w:ind w:firstLine="0"/>
              <w:jc w:val="right"/>
              <w:rPr>
                <w:sz w:val="20"/>
                <w:szCs w:val="20"/>
              </w:rPr>
            </w:pPr>
            <w:r w:rsidRPr="00422C13">
              <w:rPr>
                <w:sz w:val="20"/>
                <w:szCs w:val="20"/>
              </w:rPr>
              <w:t>11,25</w:t>
            </w:r>
          </w:p>
        </w:tc>
        <w:tc>
          <w:tcPr>
            <w:tcW w:w="708" w:type="dxa"/>
            <w:vAlign w:val="center"/>
          </w:tcPr>
          <w:p w:rsidR="00797469" w:rsidRPr="00422C13" w:rsidRDefault="00797469" w:rsidP="00797469">
            <w:pPr>
              <w:spacing w:before="60" w:after="0" w:line="312" w:lineRule="auto"/>
              <w:ind w:firstLine="0"/>
              <w:jc w:val="right"/>
              <w:rPr>
                <w:sz w:val="20"/>
                <w:szCs w:val="20"/>
              </w:rPr>
            </w:pPr>
            <w:r w:rsidRPr="00422C13">
              <w:rPr>
                <w:sz w:val="20"/>
                <w:szCs w:val="20"/>
              </w:rPr>
              <w:t>9,46</w:t>
            </w:r>
          </w:p>
        </w:tc>
        <w:tc>
          <w:tcPr>
            <w:tcW w:w="670" w:type="dxa"/>
            <w:vAlign w:val="center"/>
          </w:tcPr>
          <w:p w:rsidR="00797469" w:rsidRPr="00422C13" w:rsidRDefault="00797469" w:rsidP="00797469">
            <w:pPr>
              <w:spacing w:before="60" w:after="0" w:line="312" w:lineRule="auto"/>
              <w:ind w:firstLine="0"/>
              <w:jc w:val="right"/>
              <w:rPr>
                <w:sz w:val="20"/>
                <w:szCs w:val="20"/>
              </w:rPr>
            </w:pPr>
            <w:r w:rsidRPr="00422C13">
              <w:rPr>
                <w:sz w:val="20"/>
                <w:szCs w:val="20"/>
              </w:rPr>
              <w:t>13,89</w:t>
            </w:r>
          </w:p>
        </w:tc>
        <w:tc>
          <w:tcPr>
            <w:tcW w:w="689" w:type="dxa"/>
            <w:vAlign w:val="center"/>
          </w:tcPr>
          <w:p w:rsidR="00797469" w:rsidRPr="00422C13" w:rsidRDefault="00797469" w:rsidP="00797469">
            <w:pPr>
              <w:spacing w:before="60" w:after="0" w:line="312" w:lineRule="auto"/>
              <w:ind w:firstLine="0"/>
              <w:jc w:val="right"/>
              <w:rPr>
                <w:sz w:val="20"/>
                <w:szCs w:val="20"/>
              </w:rPr>
            </w:pPr>
            <w:r w:rsidRPr="00422C13">
              <w:rPr>
                <w:sz w:val="20"/>
                <w:szCs w:val="20"/>
              </w:rPr>
              <w:t>14,15</w:t>
            </w:r>
          </w:p>
        </w:tc>
        <w:tc>
          <w:tcPr>
            <w:tcW w:w="806" w:type="dxa"/>
            <w:vAlign w:val="center"/>
          </w:tcPr>
          <w:p w:rsidR="00797469" w:rsidRPr="00422C13" w:rsidRDefault="00797469" w:rsidP="00797469">
            <w:pPr>
              <w:spacing w:before="60" w:after="0" w:line="312" w:lineRule="auto"/>
              <w:ind w:firstLine="0"/>
              <w:jc w:val="right"/>
              <w:rPr>
                <w:sz w:val="20"/>
                <w:szCs w:val="20"/>
              </w:rPr>
            </w:pPr>
            <w:r w:rsidRPr="00422C13">
              <w:rPr>
                <w:sz w:val="20"/>
                <w:szCs w:val="20"/>
              </w:rPr>
              <w:t>6,64</w:t>
            </w:r>
          </w:p>
        </w:tc>
        <w:tc>
          <w:tcPr>
            <w:tcW w:w="672" w:type="dxa"/>
            <w:vAlign w:val="center"/>
          </w:tcPr>
          <w:p w:rsidR="00797469" w:rsidRPr="00422C13" w:rsidRDefault="00797469" w:rsidP="00797469">
            <w:pPr>
              <w:spacing w:before="60" w:after="0" w:line="312" w:lineRule="auto"/>
              <w:ind w:firstLine="0"/>
              <w:jc w:val="right"/>
              <w:rPr>
                <w:sz w:val="20"/>
                <w:szCs w:val="20"/>
              </w:rPr>
            </w:pPr>
            <w:r w:rsidRPr="00422C13">
              <w:rPr>
                <w:sz w:val="20"/>
                <w:szCs w:val="20"/>
              </w:rPr>
              <w:t>4,39</w:t>
            </w:r>
          </w:p>
        </w:tc>
        <w:tc>
          <w:tcPr>
            <w:tcW w:w="708" w:type="dxa"/>
            <w:vAlign w:val="center"/>
          </w:tcPr>
          <w:p w:rsidR="00797469" w:rsidRPr="00422C13" w:rsidRDefault="00797469" w:rsidP="00797469">
            <w:pPr>
              <w:spacing w:before="60" w:after="0" w:line="312" w:lineRule="auto"/>
              <w:ind w:firstLine="0"/>
              <w:jc w:val="right"/>
              <w:rPr>
                <w:sz w:val="20"/>
                <w:szCs w:val="20"/>
              </w:rPr>
            </w:pPr>
            <w:r w:rsidRPr="00422C13">
              <w:rPr>
                <w:sz w:val="20"/>
                <w:szCs w:val="20"/>
              </w:rPr>
              <w:t>0,93</w:t>
            </w:r>
          </w:p>
        </w:tc>
        <w:tc>
          <w:tcPr>
            <w:tcW w:w="620" w:type="dxa"/>
            <w:vAlign w:val="center"/>
          </w:tcPr>
          <w:p w:rsidR="00797469" w:rsidRPr="00422C13" w:rsidRDefault="00797469" w:rsidP="00797469">
            <w:pPr>
              <w:spacing w:before="60" w:after="0" w:line="312" w:lineRule="auto"/>
              <w:ind w:firstLine="0"/>
              <w:jc w:val="right"/>
              <w:rPr>
                <w:sz w:val="20"/>
                <w:szCs w:val="20"/>
              </w:rPr>
            </w:pPr>
            <w:r w:rsidRPr="00422C13">
              <w:rPr>
                <w:sz w:val="20"/>
                <w:szCs w:val="20"/>
              </w:rPr>
              <w:t>1,69</w:t>
            </w:r>
          </w:p>
        </w:tc>
      </w:tr>
    </w:tbl>
    <w:p w:rsidR="00797469" w:rsidRDefault="00797469" w:rsidP="00797469">
      <w:pPr>
        <w:spacing w:before="120" w:line="312" w:lineRule="auto"/>
        <w:ind w:firstLine="0"/>
        <w:jc w:val="right"/>
        <w:rPr>
          <w:sz w:val="24"/>
        </w:rPr>
      </w:pPr>
      <w:r w:rsidRPr="00422C13">
        <w:rPr>
          <w:i/>
          <w:sz w:val="24"/>
        </w:rPr>
        <w:t>Nguồn</w:t>
      </w:r>
      <w:r w:rsidRPr="00422C13">
        <w:rPr>
          <w:b/>
          <w:i/>
          <w:sz w:val="24"/>
        </w:rPr>
        <w:t xml:space="preserve">: </w:t>
      </w:r>
      <w:r w:rsidRPr="00422C13">
        <w:rPr>
          <w:sz w:val="24"/>
        </w:rPr>
        <w:t>TCTK</w:t>
      </w:r>
    </w:p>
    <w:p w:rsidR="0084418B" w:rsidRPr="00AD7244" w:rsidRDefault="00AD7244" w:rsidP="00AD7244">
      <w:pPr>
        <w:tabs>
          <w:tab w:val="left" w:pos="360"/>
        </w:tabs>
        <w:spacing w:before="120" w:after="0" w:line="312" w:lineRule="auto"/>
        <w:ind w:firstLine="0"/>
        <w:rPr>
          <w:b/>
          <w:sz w:val="26"/>
          <w:szCs w:val="26"/>
          <w:lang w:val="nl-NL"/>
        </w:rPr>
      </w:pPr>
      <w:r>
        <w:rPr>
          <w:b/>
          <w:sz w:val="26"/>
          <w:szCs w:val="26"/>
          <w:lang w:val="nl-NL"/>
        </w:rPr>
        <w:t>3.</w:t>
      </w:r>
      <w:r>
        <w:rPr>
          <w:b/>
          <w:sz w:val="26"/>
          <w:szCs w:val="26"/>
          <w:lang w:val="nl-NL"/>
        </w:rPr>
        <w:tab/>
      </w:r>
      <w:r w:rsidR="0084418B" w:rsidRPr="00AD7244">
        <w:rPr>
          <w:b/>
          <w:sz w:val="26"/>
          <w:szCs w:val="26"/>
          <w:lang w:val="nl-NL"/>
        </w:rPr>
        <w:t xml:space="preserve">Thu ngân sách Nhà nước gặp khó khăn do giá dầu giảm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C1224" w:rsidRPr="003C70FB" w:rsidTr="000F78C0">
        <w:tc>
          <w:tcPr>
            <w:tcW w:w="4785" w:type="dxa"/>
          </w:tcPr>
          <w:p w:rsidR="002C1224" w:rsidRPr="005E3E38" w:rsidRDefault="002C1224" w:rsidP="0037519C">
            <w:pPr>
              <w:pStyle w:val="ListParagraph"/>
              <w:numPr>
                <w:ilvl w:val="0"/>
                <w:numId w:val="35"/>
              </w:numPr>
              <w:spacing w:before="120" w:line="312" w:lineRule="auto"/>
              <w:ind w:left="0" w:firstLine="426"/>
              <w:rPr>
                <w:sz w:val="26"/>
                <w:szCs w:val="26"/>
                <w:lang w:val="vi-VN"/>
              </w:rPr>
            </w:pPr>
            <w:r w:rsidRPr="005E3E38">
              <w:rPr>
                <w:b/>
                <w:i/>
                <w:sz w:val="26"/>
                <w:szCs w:val="26"/>
                <w:lang w:val="vi-VN"/>
              </w:rPr>
              <w:t xml:space="preserve"> </w:t>
            </w:r>
            <w:r w:rsidRPr="00AD7244">
              <w:rPr>
                <w:b/>
                <w:i/>
                <w:sz w:val="26"/>
                <w:szCs w:val="26"/>
                <w:lang w:val="vi-VN"/>
              </w:rPr>
              <w:t>Tiến độ thu từ dầu thô và thu cân đối từ hoạt động XNK đạt thấp</w:t>
            </w:r>
            <w:r w:rsidRPr="005E3E38">
              <w:rPr>
                <w:sz w:val="26"/>
                <w:szCs w:val="26"/>
                <w:lang w:val="vi-VN"/>
              </w:rPr>
              <w:t xml:space="preserve">. Cụ thể, tính đến 15/3, thu từ dầu thô và thu cân đối từ hoạt động XNK chỉ đạt 13,3% và 13,2% so với dự toán (cùng kỳ năm 2015 tương ứng là 15,1% và 16,8%) chủ yếu do giá dầu giá dầu thô và các sản phẩm hóa dầu xuất nhập khẩu giảm mạnh. Tuy nhiên, do tiến độ thu nội địa vẫn duy trì ổn định (đạt 19,4% dự toán) nên tổng thu cân đối NSNN đạt 182,4 nghìn tỷ đồng, bằng 18% dự toán </w:t>
            </w:r>
            <w:r w:rsidRPr="005E3E38">
              <w:rPr>
                <w:sz w:val="26"/>
                <w:szCs w:val="26"/>
                <w:lang w:val="vi-VN"/>
              </w:rPr>
              <w:lastRenderedPageBreak/>
              <w:t>năm, tăng nhẹ (1%) so với cùng kỳ 2015.</w:t>
            </w:r>
          </w:p>
        </w:tc>
        <w:tc>
          <w:tcPr>
            <w:tcW w:w="4786" w:type="dxa"/>
          </w:tcPr>
          <w:p w:rsidR="002C1224" w:rsidRPr="007C1D71" w:rsidRDefault="002C1224" w:rsidP="002C1224">
            <w:pPr>
              <w:tabs>
                <w:tab w:val="left" w:pos="1496"/>
              </w:tabs>
              <w:spacing w:before="120"/>
              <w:ind w:firstLine="0"/>
              <w:jc w:val="center"/>
              <w:rPr>
                <w:rFonts w:ascii="Times New Roman Bold" w:hAnsi="Times New Roman Bold"/>
                <w:b/>
                <w:spacing w:val="-4"/>
                <w:sz w:val="24"/>
                <w:szCs w:val="26"/>
                <w:lang w:val="pl-PL"/>
              </w:rPr>
            </w:pPr>
            <w:r w:rsidRPr="007C1D71">
              <w:rPr>
                <w:rFonts w:ascii="Times New Roman Bold" w:hAnsi="Times New Roman Bold"/>
                <w:b/>
                <w:spacing w:val="-4"/>
                <w:sz w:val="24"/>
                <w:szCs w:val="26"/>
                <w:lang w:val="pl-PL"/>
              </w:rPr>
              <w:lastRenderedPageBreak/>
              <w:t>Thu NSNN lũy kế đến tháng 15/03/2016, %</w:t>
            </w:r>
          </w:p>
          <w:p w:rsidR="002C1224" w:rsidRPr="002C1224" w:rsidRDefault="002C1224" w:rsidP="002C1224">
            <w:pPr>
              <w:tabs>
                <w:tab w:val="left" w:pos="1496"/>
              </w:tabs>
              <w:spacing w:before="120"/>
              <w:ind w:firstLine="0"/>
              <w:rPr>
                <w:b/>
                <w:sz w:val="24"/>
                <w:szCs w:val="26"/>
                <w:lang w:val="pl-PL"/>
              </w:rPr>
            </w:pPr>
            <w:r w:rsidRPr="002C1224">
              <w:rPr>
                <w:b/>
                <w:sz w:val="24"/>
                <w:szCs w:val="26"/>
                <w:lang w:val="pl-PL"/>
              </w:rPr>
              <w:t xml:space="preserve"> </w:t>
            </w:r>
            <w:r w:rsidRPr="002C1224">
              <w:rPr>
                <w:noProof/>
              </w:rPr>
              <w:drawing>
                <wp:inline distT="0" distB="0" distL="0" distR="0">
                  <wp:extent cx="2814762" cy="2043485"/>
                  <wp:effectExtent l="0" t="0" r="508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1224" w:rsidRPr="000F78C0" w:rsidRDefault="002C1224" w:rsidP="000F78C0">
            <w:pPr>
              <w:jc w:val="right"/>
              <w:rPr>
                <w:i/>
                <w:sz w:val="26"/>
                <w:szCs w:val="26"/>
              </w:rPr>
            </w:pPr>
            <w:r w:rsidRPr="00A04B30">
              <w:rPr>
                <w:i/>
                <w:sz w:val="26"/>
                <w:szCs w:val="26"/>
                <w:lang w:val="vi-VN"/>
              </w:rPr>
              <w:t>Nguồ</w:t>
            </w:r>
            <w:r>
              <w:rPr>
                <w:i/>
                <w:sz w:val="26"/>
                <w:szCs w:val="26"/>
                <w:lang w:val="vi-VN"/>
              </w:rPr>
              <w:t xml:space="preserve">n: </w:t>
            </w:r>
            <w:r>
              <w:rPr>
                <w:i/>
                <w:sz w:val="26"/>
                <w:szCs w:val="26"/>
              </w:rPr>
              <w:t>BTC</w:t>
            </w:r>
          </w:p>
        </w:tc>
      </w:tr>
    </w:tbl>
    <w:p w:rsidR="002C1224" w:rsidRPr="00AD7244" w:rsidRDefault="000F78C0" w:rsidP="00D67FE8">
      <w:pPr>
        <w:pStyle w:val="ListParagraph"/>
        <w:numPr>
          <w:ilvl w:val="0"/>
          <w:numId w:val="35"/>
        </w:numPr>
        <w:spacing w:before="120" w:line="312" w:lineRule="auto"/>
        <w:ind w:left="0" w:firstLine="446"/>
        <w:contextualSpacing w:val="0"/>
        <w:rPr>
          <w:b/>
          <w:sz w:val="26"/>
          <w:szCs w:val="26"/>
          <w:lang w:val="vi-VN"/>
        </w:rPr>
      </w:pPr>
      <w:r w:rsidRPr="00AD7244">
        <w:rPr>
          <w:b/>
          <w:i/>
          <w:sz w:val="26"/>
          <w:szCs w:val="26"/>
          <w:lang w:val="vi-VN"/>
        </w:rPr>
        <w:lastRenderedPageBreak/>
        <w:t>Thu từ khu vực DNNN</w:t>
      </w:r>
      <w:r w:rsidRPr="00AD7244">
        <w:rPr>
          <w:b/>
          <w:i/>
          <w:sz w:val="26"/>
          <w:szCs w:val="26"/>
        </w:rPr>
        <w:t xml:space="preserve"> đạt thấp so với dự toán (12,4%) và</w:t>
      </w:r>
      <w:r w:rsidRPr="00AD7244">
        <w:rPr>
          <w:b/>
          <w:i/>
          <w:sz w:val="26"/>
          <w:szCs w:val="26"/>
          <w:lang w:val="vi-VN"/>
        </w:rPr>
        <w:t xml:space="preserve"> giảm mạnh (30%) so cùng kỳ 2015</w:t>
      </w:r>
      <w:r w:rsidRPr="00AD7244">
        <w:rPr>
          <w:b/>
          <w:i/>
          <w:sz w:val="26"/>
          <w:szCs w:val="26"/>
        </w:rPr>
        <w:t xml:space="preserve"> </w:t>
      </w:r>
      <w:r w:rsidRPr="00AD7244">
        <w:rPr>
          <w:sz w:val="26"/>
          <w:szCs w:val="26"/>
        </w:rPr>
        <w:t>do</w:t>
      </w:r>
      <w:r w:rsidRPr="00AD7244">
        <w:rPr>
          <w:sz w:val="26"/>
          <w:szCs w:val="26"/>
          <w:lang w:val="vi-VN"/>
        </w:rPr>
        <w:t>: (i) giảm thu từ nhà máy lọc dầu Dung Quất</w:t>
      </w:r>
      <w:r w:rsidRPr="00AD7244">
        <w:rPr>
          <w:sz w:val="26"/>
          <w:szCs w:val="26"/>
        </w:rPr>
        <w:t xml:space="preserve"> khi giá dầu giảm</w:t>
      </w:r>
      <w:r w:rsidRPr="00AD7244">
        <w:rPr>
          <w:sz w:val="26"/>
          <w:szCs w:val="26"/>
          <w:lang w:val="vi-VN"/>
        </w:rPr>
        <w:t>, (ii) giảm thu từ cổ tức và lợ</w:t>
      </w:r>
      <w:r w:rsidRPr="00AD7244">
        <w:rPr>
          <w:sz w:val="26"/>
          <w:szCs w:val="26"/>
        </w:rPr>
        <w:t>i</w:t>
      </w:r>
      <w:r w:rsidRPr="00AD7244">
        <w:rPr>
          <w:sz w:val="26"/>
          <w:szCs w:val="26"/>
          <w:lang w:val="vi-VN"/>
        </w:rPr>
        <w:t xml:space="preserve"> nhận còn lại. Khoản giảm thu này đã được bù đắp do tăng thu ở khu vực DN </w:t>
      </w:r>
      <w:r w:rsidR="000A3CB6" w:rsidRPr="000A3CB6">
        <w:rPr>
          <w:sz w:val="26"/>
          <w:szCs w:val="26"/>
          <w:lang w:val="vi-VN"/>
        </w:rPr>
        <w:t xml:space="preserve">FDI </w:t>
      </w:r>
      <w:r w:rsidRPr="00AD7244">
        <w:rPr>
          <w:sz w:val="26"/>
          <w:szCs w:val="26"/>
          <w:lang w:val="vi-VN"/>
        </w:rPr>
        <w:t xml:space="preserve">và khu vực công thương nghiệp ngoài quốc doanh (tăng tương ứng 18% và 29,8% so với cùng kỳ năm trước) nên thu từ khu vực sản xuất kinh doanh vẫn đảm bảo tiến độ khi đạt 102,8 nghìn tỷ đồng, bằng 18,4% dự toán, </w:t>
      </w:r>
      <w:r w:rsidR="000A3CB6" w:rsidRPr="000A3CB6">
        <w:rPr>
          <w:sz w:val="26"/>
          <w:szCs w:val="26"/>
          <w:lang w:val="vi-VN"/>
        </w:rPr>
        <w:t>tương đương</w:t>
      </w:r>
      <w:r w:rsidRPr="00AD7244">
        <w:rPr>
          <w:sz w:val="26"/>
          <w:szCs w:val="26"/>
          <w:lang w:val="vi-VN"/>
        </w:rPr>
        <w:t xml:space="preserve"> cùng kỳ 2015 (102,7 nghìn tỷ đồng).</w:t>
      </w:r>
    </w:p>
    <w:p w:rsidR="00E86187" w:rsidRPr="0084418B" w:rsidRDefault="00E86187" w:rsidP="007C1D71">
      <w:pPr>
        <w:spacing w:before="240" w:after="240" w:line="312" w:lineRule="auto"/>
        <w:ind w:firstLine="0"/>
        <w:rPr>
          <w:b/>
          <w:i/>
          <w:sz w:val="26"/>
          <w:szCs w:val="26"/>
          <w:lang w:val="vi-VN"/>
        </w:rPr>
      </w:pPr>
      <w:r w:rsidRPr="0084418B">
        <w:rPr>
          <w:b/>
          <w:sz w:val="26"/>
          <w:szCs w:val="26"/>
          <w:lang w:val="vi-VN"/>
        </w:rPr>
        <w:t>III. THỊ TRƯỜNG TÀI CHÍNH</w:t>
      </w:r>
      <w:r w:rsidRPr="005310CD">
        <w:rPr>
          <w:sz w:val="26"/>
          <w:szCs w:val="26"/>
          <w:lang w:val="nl-NL"/>
        </w:rPr>
        <w:t xml:space="preserve"> </w:t>
      </w:r>
      <w:r w:rsidR="0084418B" w:rsidRPr="0084418B">
        <w:rPr>
          <w:b/>
          <w:sz w:val="26"/>
          <w:szCs w:val="26"/>
          <w:lang w:val="nl-NL"/>
        </w:rPr>
        <w:t>– TIỀN TỆ</w:t>
      </w:r>
      <w:r w:rsidRPr="005310CD">
        <w:rPr>
          <w:sz w:val="26"/>
          <w:szCs w:val="26"/>
          <w:lang w:val="nl-NL"/>
        </w:rPr>
        <w:t xml:space="preserve"> </w:t>
      </w:r>
    </w:p>
    <w:p w:rsidR="005B106F" w:rsidRDefault="005B106F" w:rsidP="00FD6403">
      <w:pPr>
        <w:pStyle w:val="ListParagraph"/>
        <w:numPr>
          <w:ilvl w:val="0"/>
          <w:numId w:val="41"/>
        </w:numPr>
        <w:tabs>
          <w:tab w:val="left" w:pos="360"/>
        </w:tabs>
        <w:spacing w:before="120" w:line="312" w:lineRule="auto"/>
        <w:contextualSpacing w:val="0"/>
        <w:rPr>
          <w:b/>
          <w:sz w:val="26"/>
          <w:szCs w:val="26"/>
          <w:lang w:val="nl-NL"/>
        </w:rPr>
      </w:pPr>
      <w:r w:rsidRPr="00D67FE8">
        <w:rPr>
          <w:b/>
          <w:sz w:val="26"/>
          <w:szCs w:val="26"/>
          <w:lang w:val="nl-NL"/>
        </w:rPr>
        <w:t xml:space="preserve">Thị trường </w:t>
      </w:r>
      <w:r w:rsidR="00D67FE8">
        <w:rPr>
          <w:b/>
          <w:sz w:val="26"/>
          <w:szCs w:val="26"/>
          <w:lang w:val="nl-NL"/>
        </w:rPr>
        <w:t xml:space="preserve">tiền tệ - </w:t>
      </w:r>
      <w:r w:rsidRPr="00D67FE8">
        <w:rPr>
          <w:b/>
          <w:sz w:val="26"/>
          <w:szCs w:val="26"/>
          <w:lang w:val="nl-NL"/>
        </w:rPr>
        <w:t>ngân hàng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816"/>
      </w:tblGrid>
      <w:tr w:rsidR="00DF62FE" w:rsidTr="007C1D71">
        <w:tc>
          <w:tcPr>
            <w:tcW w:w="4755" w:type="dxa"/>
          </w:tcPr>
          <w:p w:rsidR="00DF62FE" w:rsidRPr="00DF62FE" w:rsidRDefault="00DF62FE" w:rsidP="00DF62FE">
            <w:pPr>
              <w:pStyle w:val="ListParagraph"/>
              <w:numPr>
                <w:ilvl w:val="0"/>
                <w:numId w:val="35"/>
              </w:numPr>
              <w:tabs>
                <w:tab w:val="left" w:pos="360"/>
                <w:tab w:val="left" w:pos="993"/>
              </w:tabs>
              <w:spacing w:before="120" w:line="312" w:lineRule="auto"/>
              <w:ind w:left="0" w:firstLine="567"/>
              <w:rPr>
                <w:b/>
                <w:sz w:val="26"/>
                <w:szCs w:val="26"/>
                <w:lang w:val="nl-NL"/>
              </w:rPr>
            </w:pPr>
            <w:r w:rsidRPr="00DF62FE">
              <w:rPr>
                <w:i/>
                <w:sz w:val="26"/>
                <w:szCs w:val="26"/>
                <w:lang w:val="vi-VN"/>
              </w:rPr>
              <w:t xml:space="preserve">Thanh khoản của hệ thống ngân hàng đầu tháng 3 căng thẳng </w:t>
            </w:r>
            <w:r w:rsidRPr="00DF62FE">
              <w:rPr>
                <w:i/>
                <w:sz w:val="26"/>
                <w:szCs w:val="26"/>
                <w:lang w:val="nl-NL"/>
              </w:rPr>
              <w:t>hơn</w:t>
            </w:r>
            <w:r w:rsidRPr="00DF62FE">
              <w:rPr>
                <w:i/>
                <w:sz w:val="26"/>
                <w:szCs w:val="26"/>
                <w:lang w:val="vi-VN"/>
              </w:rPr>
              <w:t xml:space="preserve"> so với tháng 2 nhưng đã dần hạ nhiệt kể từ trung tuần tháng 3</w:t>
            </w:r>
            <w:r w:rsidRPr="00DF62FE">
              <w:rPr>
                <w:sz w:val="26"/>
                <w:szCs w:val="26"/>
                <w:lang w:val="vi-VN"/>
              </w:rPr>
              <w:t>. Cụ thể, lãi suất O/N bình quân từ ngày 04-11/3 tăng 2,36 điểm % và khối lượng giao dịch qua đêm bình quân ngày tăng 34% so với giai đoạn từ 23/2-3/3</w:t>
            </w:r>
            <w:r w:rsidRPr="00D67FE8">
              <w:rPr>
                <w:lang w:val="vi-VN"/>
              </w:rPr>
              <w:footnoteReference w:id="5"/>
            </w:r>
            <w:r w:rsidRPr="00DF62FE">
              <w:rPr>
                <w:sz w:val="26"/>
                <w:szCs w:val="26"/>
                <w:lang w:val="vi-VN"/>
              </w:rPr>
              <w:t xml:space="preserve">. Từ 12/3, lãi suất O/N bình quân giảm nhẹ 0,2 điểm %, xuống còn 4,13%, thấp hơn 1% so với đợt trước Tết Nguyên Đán. </w:t>
            </w:r>
          </w:p>
        </w:tc>
        <w:tc>
          <w:tcPr>
            <w:tcW w:w="4816" w:type="dxa"/>
          </w:tcPr>
          <w:p w:rsidR="00DF62FE" w:rsidRPr="00DF62FE" w:rsidRDefault="00DF62FE" w:rsidP="00DF62FE">
            <w:pPr>
              <w:spacing w:before="120"/>
              <w:ind w:firstLine="0"/>
              <w:jc w:val="center"/>
              <w:rPr>
                <w:b/>
                <w:sz w:val="24"/>
                <w:szCs w:val="26"/>
                <w:lang w:val="vi-VN"/>
              </w:rPr>
            </w:pPr>
            <w:r w:rsidRPr="00DF62FE">
              <w:rPr>
                <w:b/>
                <w:sz w:val="24"/>
                <w:szCs w:val="26"/>
                <w:lang w:val="vi-VN"/>
              </w:rPr>
              <w:t>Thị trường Liên Ngân hàng (</w:t>
            </w:r>
            <w:r w:rsidR="001225F4" w:rsidRPr="001225F4">
              <w:rPr>
                <w:b/>
                <w:sz w:val="24"/>
                <w:szCs w:val="26"/>
                <w:lang w:val="nl-NL"/>
              </w:rPr>
              <w:t xml:space="preserve">tỷ </w:t>
            </w:r>
            <w:r w:rsidRPr="00DF62FE">
              <w:rPr>
                <w:b/>
                <w:sz w:val="24"/>
                <w:szCs w:val="26"/>
                <w:lang w:val="vi-VN"/>
              </w:rPr>
              <w:t>VND)</w:t>
            </w:r>
          </w:p>
          <w:p w:rsidR="00DF62FE" w:rsidRPr="00DF62FE" w:rsidRDefault="001225F4" w:rsidP="00DF62FE">
            <w:pPr>
              <w:pStyle w:val="ListParagraph"/>
              <w:tabs>
                <w:tab w:val="left" w:pos="1605"/>
              </w:tabs>
              <w:spacing w:after="0" w:line="360" w:lineRule="auto"/>
              <w:ind w:left="10" w:firstLine="0"/>
              <w:jc w:val="right"/>
              <w:rPr>
                <w:sz w:val="24"/>
                <w:lang w:val="vi-VN"/>
              </w:rPr>
            </w:pPr>
            <w:r>
              <w:rPr>
                <w:noProof/>
              </w:rPr>
              <w:drawing>
                <wp:inline distT="0" distB="0" distL="0" distR="0" wp14:anchorId="6DD6FEC3" wp14:editId="6BF86783">
                  <wp:extent cx="2913321" cy="1616149"/>
                  <wp:effectExtent l="0" t="0" r="1905" b="3175"/>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62FE" w:rsidRPr="00DF62FE" w:rsidRDefault="00DF62FE" w:rsidP="00DF62FE">
            <w:pPr>
              <w:spacing w:after="0" w:line="360" w:lineRule="exact"/>
              <w:ind w:firstLine="0"/>
              <w:jc w:val="right"/>
              <w:rPr>
                <w:i/>
                <w:sz w:val="26"/>
                <w:szCs w:val="26"/>
              </w:rPr>
            </w:pPr>
            <w:r w:rsidRPr="00DF62FE">
              <w:rPr>
                <w:i/>
                <w:sz w:val="24"/>
                <w:szCs w:val="26"/>
                <w:lang w:val="vi-VN"/>
              </w:rPr>
              <w:t>Nguồn: UBGSTCQG tổng hợp</w:t>
            </w:r>
          </w:p>
        </w:tc>
      </w:tr>
      <w:tr w:rsidR="00DF62FE" w:rsidTr="007C1D71">
        <w:tc>
          <w:tcPr>
            <w:tcW w:w="4755" w:type="dxa"/>
          </w:tcPr>
          <w:p w:rsidR="007C1D71" w:rsidRDefault="00D54FC7" w:rsidP="007B270D">
            <w:pPr>
              <w:pStyle w:val="ListParagraph"/>
              <w:spacing w:line="288" w:lineRule="auto"/>
              <w:ind w:left="0"/>
              <w:contextualSpacing w:val="0"/>
              <w:rPr>
                <w:b/>
                <w:sz w:val="26"/>
                <w:szCs w:val="26"/>
                <w:lang w:val="sv-SE"/>
              </w:rPr>
            </w:pPr>
            <w:r>
              <w:rPr>
                <w:i/>
                <w:sz w:val="26"/>
                <w:szCs w:val="26"/>
                <w:lang w:val="sv-SE"/>
              </w:rPr>
              <w:t>Nhìn chung, l</w:t>
            </w:r>
            <w:r w:rsidR="00DF62FE" w:rsidRPr="00FD6403">
              <w:rPr>
                <w:i/>
                <w:sz w:val="26"/>
                <w:szCs w:val="26"/>
                <w:lang w:val="sv-SE"/>
              </w:rPr>
              <w:t>ãi suất liên ngân hàng quý I/2016 cao hơn so với cùng kỳ 2015</w:t>
            </w:r>
            <w:r>
              <w:rPr>
                <w:i/>
                <w:sz w:val="26"/>
                <w:szCs w:val="26"/>
                <w:lang w:val="sv-SE"/>
              </w:rPr>
              <w:t>;</w:t>
            </w:r>
            <w:r w:rsidR="00DF62FE" w:rsidRPr="00DF62FE">
              <w:rPr>
                <w:sz w:val="26"/>
                <w:szCs w:val="26"/>
                <w:lang w:val="sv-SE"/>
              </w:rPr>
              <w:t xml:space="preserve"> </w:t>
            </w:r>
            <w:r w:rsidR="00DF62FE" w:rsidRPr="00D54FC7">
              <w:rPr>
                <w:i/>
                <w:sz w:val="26"/>
                <w:szCs w:val="26"/>
                <w:lang w:val="sv-SE"/>
              </w:rPr>
              <w:t>Lãi suất huy động ngắn hạn biến động nhẹ ở kỳ hạn 6-12 tháng. Mặt bằng lãi suất huy động chủ yếu tăng mạnh ở các kỳ hạn dài trên 12 tháng (phổ biến 7</w:t>
            </w:r>
            <w:r w:rsidRPr="00D54FC7">
              <w:rPr>
                <w:i/>
                <w:sz w:val="26"/>
                <w:szCs w:val="26"/>
                <w:lang w:val="sv-SE"/>
              </w:rPr>
              <w:t>%</w:t>
            </w:r>
            <w:r w:rsidR="002E7453">
              <w:rPr>
                <w:i/>
                <w:sz w:val="26"/>
                <w:szCs w:val="26"/>
                <w:lang w:val="sv-SE"/>
              </w:rPr>
              <w:t xml:space="preserve"> </w:t>
            </w:r>
            <w:r w:rsidR="00DF62FE" w:rsidRPr="00D54FC7">
              <w:rPr>
                <w:i/>
                <w:sz w:val="26"/>
                <w:szCs w:val="26"/>
                <w:lang w:val="sv-SE"/>
              </w:rPr>
              <w:t>-</w:t>
            </w:r>
            <w:r w:rsidR="002E7453">
              <w:rPr>
                <w:i/>
                <w:sz w:val="26"/>
                <w:szCs w:val="26"/>
                <w:lang w:val="sv-SE"/>
              </w:rPr>
              <w:t xml:space="preserve"> </w:t>
            </w:r>
            <w:r w:rsidR="00DF62FE" w:rsidRPr="00D54FC7">
              <w:rPr>
                <w:i/>
                <w:sz w:val="26"/>
                <w:szCs w:val="26"/>
                <w:lang w:val="sv-SE"/>
              </w:rPr>
              <w:t>8%/năm)</w:t>
            </w:r>
            <w:r w:rsidR="00DF62FE" w:rsidRPr="00D54FC7">
              <w:rPr>
                <w:i/>
                <w:vertAlign w:val="superscript"/>
              </w:rPr>
              <w:footnoteReference w:id="6"/>
            </w:r>
            <w:r w:rsidR="00DF62FE" w:rsidRPr="00D54FC7">
              <w:rPr>
                <w:b/>
                <w:i/>
                <w:sz w:val="26"/>
                <w:szCs w:val="26"/>
                <w:lang w:val="sv-SE"/>
              </w:rPr>
              <w:t>.</w:t>
            </w:r>
          </w:p>
          <w:p w:rsidR="00DF62FE" w:rsidRPr="007C1D71" w:rsidRDefault="007C1D71" w:rsidP="00EB2209">
            <w:pPr>
              <w:pStyle w:val="ListParagraph"/>
              <w:spacing w:before="120" w:after="0" w:line="288" w:lineRule="auto"/>
              <w:ind w:left="0"/>
              <w:contextualSpacing w:val="0"/>
              <w:rPr>
                <w:sz w:val="26"/>
                <w:szCs w:val="26"/>
                <w:lang w:val="sv-SE"/>
              </w:rPr>
            </w:pPr>
            <w:r w:rsidRPr="003E0962">
              <w:rPr>
                <w:sz w:val="26"/>
                <w:szCs w:val="26"/>
                <w:lang w:val="sv-SE"/>
              </w:rPr>
              <w:t>Nguyên nhân chủ yếu của đợt tăng lãi suất kỳ dài hạn do: (i) Tín dụng trung dài hạn năm 20</w:t>
            </w:r>
            <w:r>
              <w:rPr>
                <w:sz w:val="26"/>
                <w:szCs w:val="26"/>
                <w:lang w:val="sv-SE"/>
              </w:rPr>
              <w:t xml:space="preserve">15 </w:t>
            </w:r>
            <w:r w:rsidRPr="003E0962">
              <w:rPr>
                <w:sz w:val="26"/>
                <w:szCs w:val="26"/>
                <w:lang w:val="sv-SE"/>
              </w:rPr>
              <w:t>tăng trên 30</w:t>
            </w:r>
            <w:r>
              <w:rPr>
                <w:sz w:val="26"/>
                <w:szCs w:val="26"/>
                <w:lang w:val="sv-SE"/>
              </w:rPr>
              <w:t>%</w:t>
            </w:r>
            <w:r w:rsidRPr="003E0962">
              <w:rPr>
                <w:sz w:val="26"/>
                <w:szCs w:val="26"/>
                <w:lang w:val="sv-SE"/>
              </w:rPr>
              <w:t xml:space="preserve"> đặt ra nhu cầu cần cơ cấu lại nguồn vốn trong hệ thống ngân hàng thương mại; (ii) các ngân hàng thương mại tăng tỷ trọng huy động vốn trung dài hạn nhiều hơn nhằm đón đầu </w:t>
            </w:r>
            <w:r>
              <w:rPr>
                <w:sz w:val="26"/>
                <w:szCs w:val="26"/>
                <w:lang w:val="sv-SE"/>
              </w:rPr>
              <w:lastRenderedPageBreak/>
              <w:t>trước quy</w:t>
            </w:r>
            <w:r w:rsidRPr="003E0962">
              <w:rPr>
                <w:sz w:val="26"/>
                <w:szCs w:val="26"/>
                <w:lang w:val="sv-SE"/>
              </w:rPr>
              <w:t xml:space="preserve"> định </w:t>
            </w:r>
            <w:r>
              <w:rPr>
                <w:sz w:val="26"/>
                <w:szCs w:val="26"/>
                <w:lang w:val="sv-SE"/>
              </w:rPr>
              <w:t xml:space="preserve">về </w:t>
            </w:r>
            <w:r w:rsidRPr="003E0962">
              <w:rPr>
                <w:sz w:val="26"/>
                <w:szCs w:val="26"/>
                <w:lang w:val="sv-SE"/>
              </w:rPr>
              <w:t>tỷ lệ nguồn vốn ngắn hạn cho vay trung dài hạn sẽ giảm từ 60% xuống 40% theo dự thảo sửa đổi T</w:t>
            </w:r>
            <w:r>
              <w:rPr>
                <w:sz w:val="26"/>
                <w:szCs w:val="26"/>
                <w:lang w:val="sv-SE"/>
              </w:rPr>
              <w:t xml:space="preserve">hông tư </w:t>
            </w:r>
            <w:r w:rsidRPr="003E0962">
              <w:rPr>
                <w:sz w:val="26"/>
                <w:szCs w:val="26"/>
                <w:lang w:val="sv-SE"/>
              </w:rPr>
              <w:t xml:space="preserve">36 của NHNN. </w:t>
            </w:r>
          </w:p>
        </w:tc>
        <w:tc>
          <w:tcPr>
            <w:tcW w:w="4816" w:type="dxa"/>
          </w:tcPr>
          <w:p w:rsidR="007C1D71" w:rsidRPr="007C1D71" w:rsidRDefault="007C1D71" w:rsidP="001225F4">
            <w:pPr>
              <w:pStyle w:val="ListParagraph"/>
              <w:spacing w:after="0"/>
              <w:ind w:left="0" w:firstLine="0"/>
              <w:contextualSpacing w:val="0"/>
              <w:jc w:val="center"/>
              <w:rPr>
                <w:b/>
                <w:sz w:val="24"/>
                <w:lang w:val="sv-SE"/>
              </w:rPr>
            </w:pPr>
            <w:r w:rsidRPr="007C1D71">
              <w:rPr>
                <w:b/>
                <w:sz w:val="24"/>
                <w:lang w:val="sv-SE"/>
              </w:rPr>
              <w:lastRenderedPageBreak/>
              <w:t>Lãi suất liên ngân hàng kỳ hạn O/N và 6 tháng (Quý I 2015-2016)</w:t>
            </w:r>
            <w:r>
              <w:rPr>
                <w:b/>
                <w:sz w:val="24"/>
                <w:lang w:val="sv-SE"/>
              </w:rPr>
              <w:t xml:space="preserve"> (%</w:t>
            </w:r>
            <w:r w:rsidR="001225F4">
              <w:rPr>
                <w:b/>
                <w:sz w:val="24"/>
                <w:lang w:val="sv-SE"/>
              </w:rPr>
              <w:t>/năm</w:t>
            </w:r>
            <w:r>
              <w:rPr>
                <w:b/>
                <w:sz w:val="24"/>
                <w:lang w:val="sv-SE"/>
              </w:rPr>
              <w:t>)</w:t>
            </w:r>
          </w:p>
          <w:p w:rsidR="007C1D71" w:rsidRPr="007C1D71" w:rsidRDefault="007C1D71" w:rsidP="007C1D71">
            <w:pPr>
              <w:pStyle w:val="ListParagraph"/>
              <w:spacing w:before="240" w:line="360" w:lineRule="auto"/>
              <w:ind w:left="0" w:firstLine="0"/>
              <w:rPr>
                <w:sz w:val="24"/>
                <w:lang w:val="sv-SE"/>
              </w:rPr>
            </w:pPr>
            <w:r w:rsidRPr="007C1D71">
              <w:rPr>
                <w:b/>
                <w:noProof/>
                <w:sz w:val="24"/>
              </w:rPr>
              <w:drawing>
                <wp:inline distT="0" distB="0" distL="0" distR="0" wp14:anchorId="49FE0CD0" wp14:editId="323E6573">
                  <wp:extent cx="2816352" cy="2018996"/>
                  <wp:effectExtent l="0" t="0" r="3175" b="63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C1D71" w:rsidRPr="007C1D71" w:rsidRDefault="007C1D71" w:rsidP="007C1D71">
            <w:pPr>
              <w:pStyle w:val="ListParagraph"/>
              <w:spacing w:before="240" w:line="360" w:lineRule="auto"/>
              <w:ind w:left="0" w:firstLine="0"/>
              <w:jc w:val="right"/>
              <w:rPr>
                <w:i/>
                <w:sz w:val="24"/>
                <w:lang w:val="sv-SE"/>
              </w:rPr>
            </w:pPr>
            <w:r w:rsidRPr="007C1D71">
              <w:rPr>
                <w:i/>
                <w:sz w:val="24"/>
                <w:lang w:val="sv-SE"/>
              </w:rPr>
              <w:t>Nguồn: UBGSTCQG tổng hợp</w:t>
            </w:r>
          </w:p>
          <w:p w:rsidR="00DF62FE" w:rsidRPr="00DF62FE" w:rsidRDefault="00DF62FE" w:rsidP="00DF62FE">
            <w:pPr>
              <w:spacing w:before="120"/>
              <w:ind w:firstLine="0"/>
              <w:jc w:val="center"/>
              <w:rPr>
                <w:b/>
                <w:sz w:val="24"/>
                <w:szCs w:val="26"/>
                <w:lang w:val="vi-VN"/>
              </w:rPr>
            </w:pPr>
          </w:p>
        </w:tc>
      </w:tr>
    </w:tbl>
    <w:p w:rsidR="007C1D71" w:rsidRDefault="007C1D71" w:rsidP="00EB2209">
      <w:pPr>
        <w:pStyle w:val="ListParagraph"/>
        <w:spacing w:before="120" w:line="288" w:lineRule="auto"/>
        <w:ind w:left="0"/>
        <w:contextualSpacing w:val="0"/>
        <w:rPr>
          <w:i/>
          <w:sz w:val="26"/>
          <w:szCs w:val="26"/>
          <w:lang w:val="sv-SE"/>
        </w:rPr>
      </w:pPr>
      <w:r>
        <w:rPr>
          <w:sz w:val="26"/>
          <w:szCs w:val="26"/>
          <w:lang w:val="sv-SE"/>
        </w:rPr>
        <w:lastRenderedPageBreak/>
        <w:t>Dự đoán trong năm 2016</w:t>
      </w:r>
      <w:r w:rsidRPr="00581E06">
        <w:rPr>
          <w:sz w:val="26"/>
          <w:szCs w:val="26"/>
          <w:lang w:val="sv-SE"/>
        </w:rPr>
        <w:t>, lãi suất sẽ tăng thêm khoảng 1 điểm</w:t>
      </w:r>
      <w:r>
        <w:rPr>
          <w:sz w:val="26"/>
          <w:szCs w:val="26"/>
          <w:lang w:val="sv-SE"/>
        </w:rPr>
        <w:t xml:space="preserve"> </w:t>
      </w:r>
      <w:r w:rsidRPr="00581E06">
        <w:rPr>
          <w:sz w:val="26"/>
          <w:szCs w:val="26"/>
          <w:lang w:val="sv-SE"/>
        </w:rPr>
        <w:t xml:space="preserve">% so với năm 2015 do: (i) lạm phát </w:t>
      </w:r>
      <w:r>
        <w:rPr>
          <w:sz w:val="26"/>
          <w:szCs w:val="26"/>
          <w:lang w:val="sv-SE"/>
        </w:rPr>
        <w:t xml:space="preserve">năm 2016 </w:t>
      </w:r>
      <w:r w:rsidRPr="00581E06">
        <w:rPr>
          <w:sz w:val="26"/>
          <w:szCs w:val="26"/>
          <w:lang w:val="sv-SE"/>
        </w:rPr>
        <w:t xml:space="preserve">cao hơn năm 2015; (ii) nhu cầu tăng vốn huy động của hệ thống TCTD </w:t>
      </w:r>
      <w:r>
        <w:rPr>
          <w:sz w:val="26"/>
          <w:szCs w:val="26"/>
          <w:lang w:val="sv-SE"/>
        </w:rPr>
        <w:t xml:space="preserve">(do vốn </w:t>
      </w:r>
      <w:r w:rsidRPr="00581E06">
        <w:rPr>
          <w:sz w:val="26"/>
          <w:szCs w:val="26"/>
          <w:lang w:val="sv-SE"/>
        </w:rPr>
        <w:t xml:space="preserve">huy động </w:t>
      </w:r>
      <w:r>
        <w:rPr>
          <w:sz w:val="26"/>
          <w:szCs w:val="26"/>
          <w:lang w:val="sv-SE"/>
        </w:rPr>
        <w:t xml:space="preserve">những tháng đầu năm </w:t>
      </w:r>
      <w:r w:rsidRPr="00581E06">
        <w:rPr>
          <w:sz w:val="26"/>
          <w:szCs w:val="26"/>
          <w:lang w:val="sv-SE"/>
        </w:rPr>
        <w:t>tăng trưởng chậm h</w:t>
      </w:r>
      <w:r>
        <w:rPr>
          <w:sz w:val="26"/>
          <w:szCs w:val="26"/>
          <w:lang w:val="sv-SE"/>
        </w:rPr>
        <w:t>ơn tín dụng); (iii) tăng vốn huy động kỳ dài hạn nhằm đáp ứng quy định của T</w:t>
      </w:r>
      <w:r w:rsidRPr="00581E06">
        <w:rPr>
          <w:sz w:val="26"/>
          <w:szCs w:val="26"/>
          <w:lang w:val="sv-SE"/>
        </w:rPr>
        <w:t>hông tư 36</w:t>
      </w:r>
      <w:r>
        <w:rPr>
          <w:sz w:val="26"/>
          <w:szCs w:val="26"/>
          <w:lang w:val="sv-SE"/>
        </w:rPr>
        <w:t xml:space="preserve"> sửa đổi</w:t>
      </w:r>
      <w:r w:rsidRPr="00581E06">
        <w:rPr>
          <w:sz w:val="26"/>
          <w:szCs w:val="26"/>
          <w:lang w:val="sv-SE"/>
        </w:rPr>
        <w:t xml:space="preserve">. </w:t>
      </w:r>
      <w:r w:rsidRPr="00717DB5">
        <w:rPr>
          <w:i/>
          <w:sz w:val="26"/>
          <w:szCs w:val="26"/>
          <w:lang w:val="sv-SE"/>
        </w:rPr>
        <w:t>Tuy nhiên, lãi suất cho vay sẽ vẫn trong mức kiểm soát để hỗ trợ tăng trưởng kinh tế.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54"/>
        <w:gridCol w:w="32"/>
      </w:tblGrid>
      <w:tr w:rsidR="007C1D71" w:rsidTr="007C1D71">
        <w:tc>
          <w:tcPr>
            <w:tcW w:w="4785" w:type="dxa"/>
          </w:tcPr>
          <w:p w:rsidR="007C1D71" w:rsidRPr="007C1D71" w:rsidRDefault="007C1D71" w:rsidP="007C1D71">
            <w:pPr>
              <w:pStyle w:val="ListParagraph"/>
              <w:numPr>
                <w:ilvl w:val="0"/>
                <w:numId w:val="35"/>
              </w:numPr>
              <w:tabs>
                <w:tab w:val="left" w:pos="888"/>
              </w:tabs>
              <w:spacing w:before="120" w:line="288" w:lineRule="auto"/>
              <w:ind w:left="0" w:firstLine="567"/>
              <w:rPr>
                <w:i/>
                <w:sz w:val="26"/>
                <w:szCs w:val="26"/>
                <w:lang w:val="sv-SE"/>
              </w:rPr>
            </w:pPr>
            <w:r w:rsidRPr="007C1D71">
              <w:rPr>
                <w:i/>
                <w:sz w:val="26"/>
                <w:szCs w:val="26"/>
                <w:lang w:val="sv-SE"/>
              </w:rPr>
              <w:t>Thị trường ngoại hối ổn định</w:t>
            </w:r>
            <w:r w:rsidRPr="007C1D71">
              <w:rPr>
                <w:b/>
                <w:i/>
                <w:sz w:val="26"/>
                <w:szCs w:val="26"/>
                <w:lang w:val="sv-SE"/>
              </w:rPr>
              <w:t xml:space="preserve">. </w:t>
            </w:r>
            <w:r w:rsidRPr="007C1D71">
              <w:rPr>
                <w:sz w:val="26"/>
                <w:szCs w:val="26"/>
                <w:shd w:val="clear" w:color="auto" w:fill="FFFFFF"/>
                <w:lang w:val="sv-SE"/>
              </w:rPr>
              <w:t xml:space="preserve">Tỷ giá VND/USD tại các NHTM vẫn được giữ ổn định trong biên độ trên của tỷ giá trung tâm do NHNN đưa ra, dao động quanh mức 22.200 - 22.500 VND/USD. Tỷ giá kỳ hạn NDF tháng 3/2016 không có sự thay đổi so với tháng trước và chỉ số CDS tiếp tục có xu hướng giảm cho thấy </w:t>
            </w:r>
            <w:r w:rsidRPr="007C1D71">
              <w:rPr>
                <w:sz w:val="26"/>
                <w:szCs w:val="26"/>
                <w:lang w:val="sv-SE"/>
              </w:rPr>
              <w:t>niềm</w:t>
            </w:r>
            <w:r w:rsidRPr="007C1D71">
              <w:rPr>
                <w:sz w:val="26"/>
                <w:szCs w:val="26"/>
                <w:shd w:val="clear" w:color="auto" w:fill="FFFFFF"/>
                <w:lang w:val="sv-SE"/>
              </w:rPr>
              <w:t xml:space="preserve"> tin vào đồng Việt Nam của các nhà đầu tư nước ngoài. Nguyên nhân: (i) </w:t>
            </w:r>
            <w:r w:rsidRPr="007C1D71">
              <w:rPr>
                <w:sz w:val="26"/>
                <w:szCs w:val="26"/>
                <w:lang w:val="sv-SE"/>
              </w:rPr>
              <w:t xml:space="preserve">việc FED thực hiện thận trọng việc tăng lãi suất và đồng NDT trong quý I/2016 không biến động nhiều giúp làm giảm áp lực tỷ giá; (ii) Tỷ giá trung tâm được NHNN áp dụng từ đầu năm 2016 có biến động hai chiều (tăng/giảm) bám sát diễn biến cung cầu ngoại tệ trong nước và quốc tế hạn chế việc tỷ giá bị điều chỉnh đột ngột, giúp loại bỏ tâm lý găm giữ, đầu cơ ngoại tệ. </w:t>
            </w:r>
          </w:p>
        </w:tc>
        <w:tc>
          <w:tcPr>
            <w:tcW w:w="4786" w:type="dxa"/>
            <w:gridSpan w:val="2"/>
          </w:tcPr>
          <w:p w:rsidR="007C1D71" w:rsidRDefault="007C1D71" w:rsidP="007C1D71">
            <w:pPr>
              <w:spacing w:after="0" w:line="312" w:lineRule="auto"/>
              <w:ind w:firstLine="0"/>
              <w:jc w:val="center"/>
              <w:rPr>
                <w:b/>
                <w:sz w:val="24"/>
                <w:szCs w:val="26"/>
                <w:lang w:val="sv-SE"/>
              </w:rPr>
            </w:pPr>
          </w:p>
          <w:p w:rsidR="007C1D71" w:rsidRPr="00CD4E9A" w:rsidRDefault="007C1D71" w:rsidP="007C1D71">
            <w:pPr>
              <w:spacing w:after="0" w:line="312" w:lineRule="auto"/>
              <w:ind w:firstLine="0"/>
              <w:jc w:val="center"/>
              <w:rPr>
                <w:b/>
                <w:sz w:val="24"/>
                <w:szCs w:val="26"/>
                <w:lang w:val="sv-SE"/>
              </w:rPr>
            </w:pPr>
            <w:r w:rsidRPr="00CD4E9A">
              <w:rPr>
                <w:b/>
                <w:sz w:val="24"/>
                <w:szCs w:val="26"/>
                <w:lang w:val="sv-SE"/>
              </w:rPr>
              <w:t>Tỷ giá USD/VND</w:t>
            </w:r>
          </w:p>
          <w:p w:rsidR="007C1D71" w:rsidRDefault="007C1D71" w:rsidP="007C1D71">
            <w:pPr>
              <w:spacing w:before="120" w:line="288" w:lineRule="auto"/>
              <w:ind w:firstLine="0"/>
              <w:jc w:val="right"/>
              <w:rPr>
                <w:i/>
                <w:sz w:val="26"/>
                <w:szCs w:val="26"/>
                <w:lang w:val="sv-SE"/>
              </w:rPr>
            </w:pPr>
            <w:r w:rsidRPr="00AF6757">
              <w:rPr>
                <w:noProof/>
                <w:sz w:val="24"/>
                <w:szCs w:val="26"/>
                <w:shd w:val="clear" w:color="auto" w:fill="FFFFFF"/>
              </w:rPr>
              <w:drawing>
                <wp:anchor distT="0" distB="0" distL="114300" distR="114300" simplePos="0" relativeHeight="251664384" behindDoc="0" locked="0" layoutInCell="1" allowOverlap="1" wp14:anchorId="7C19025E" wp14:editId="667CC99B">
                  <wp:simplePos x="0" y="0"/>
                  <wp:positionH relativeFrom="column">
                    <wp:posOffset>111760</wp:posOffset>
                  </wp:positionH>
                  <wp:positionV relativeFrom="paragraph">
                    <wp:posOffset>45720</wp:posOffset>
                  </wp:positionV>
                  <wp:extent cx="2764155" cy="2275205"/>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r w:rsidRPr="00CD4E9A">
              <w:rPr>
                <w:i/>
                <w:sz w:val="24"/>
                <w:szCs w:val="26"/>
                <w:lang w:val="sv-SE"/>
              </w:rPr>
              <w:t xml:space="preserve">Nguồn: </w:t>
            </w:r>
            <w:r>
              <w:rPr>
                <w:i/>
                <w:sz w:val="24"/>
                <w:szCs w:val="26"/>
                <w:lang w:val="sv-SE"/>
              </w:rPr>
              <w:t>UBGSTCQG tổng hợp</w:t>
            </w:r>
          </w:p>
        </w:tc>
      </w:tr>
      <w:tr w:rsidR="003518BA" w:rsidRPr="00AF6757" w:rsidTr="007C1D71">
        <w:tblPrEx>
          <w:jc w:val="center"/>
        </w:tblPrEx>
        <w:trPr>
          <w:gridAfter w:val="1"/>
          <w:wAfter w:w="32" w:type="dxa"/>
          <w:jc w:val="center"/>
        </w:trPr>
        <w:tc>
          <w:tcPr>
            <w:tcW w:w="4785" w:type="dxa"/>
          </w:tcPr>
          <w:p w:rsidR="003518BA" w:rsidRDefault="007C1D71" w:rsidP="007C1D71">
            <w:pPr>
              <w:spacing w:line="312" w:lineRule="auto"/>
              <w:ind w:firstLine="0"/>
              <w:jc w:val="center"/>
              <w:rPr>
                <w:b/>
                <w:sz w:val="24"/>
                <w:lang w:val="sv-SE"/>
              </w:rPr>
            </w:pPr>
            <w:r w:rsidRPr="007C1D71">
              <w:rPr>
                <w:b/>
                <w:sz w:val="24"/>
                <w:lang w:val="sv-SE"/>
              </w:rPr>
              <w:t>NDF USD/VND các kỳ hạn</w:t>
            </w:r>
          </w:p>
          <w:p w:rsidR="007C1D71" w:rsidRPr="007C1D71" w:rsidRDefault="007C1D71" w:rsidP="007C1D71">
            <w:pPr>
              <w:spacing w:line="312" w:lineRule="auto"/>
              <w:ind w:firstLine="0"/>
              <w:jc w:val="right"/>
              <w:rPr>
                <w:i/>
                <w:sz w:val="24"/>
                <w:szCs w:val="26"/>
                <w:lang w:val="sv-SE"/>
              </w:rPr>
            </w:pPr>
            <w:r>
              <w:rPr>
                <w:b/>
                <w:noProof/>
                <w:sz w:val="24"/>
              </w:rPr>
              <w:drawing>
                <wp:anchor distT="0" distB="0" distL="114300" distR="114300" simplePos="0" relativeHeight="251666432" behindDoc="0" locked="0" layoutInCell="1" allowOverlap="1" wp14:anchorId="1129360B" wp14:editId="750AFFDC">
                  <wp:simplePos x="0" y="0"/>
                  <wp:positionH relativeFrom="column">
                    <wp:posOffset>13970</wp:posOffset>
                  </wp:positionH>
                  <wp:positionV relativeFrom="paragraph">
                    <wp:posOffset>39370</wp:posOffset>
                  </wp:positionV>
                  <wp:extent cx="2732405" cy="1818005"/>
                  <wp:effectExtent l="0" t="0" r="0" b="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CD4E9A">
              <w:rPr>
                <w:i/>
                <w:sz w:val="24"/>
                <w:szCs w:val="26"/>
                <w:lang w:val="sv-SE"/>
              </w:rPr>
              <w:t xml:space="preserve">Nguồn: </w:t>
            </w:r>
            <w:r>
              <w:rPr>
                <w:i/>
                <w:sz w:val="24"/>
                <w:szCs w:val="26"/>
                <w:lang w:val="sv-SE"/>
              </w:rPr>
              <w:t>UBGSTCQG tổng hợp</w:t>
            </w:r>
          </w:p>
        </w:tc>
        <w:tc>
          <w:tcPr>
            <w:tcW w:w="4754" w:type="dxa"/>
          </w:tcPr>
          <w:p w:rsidR="003518BA" w:rsidRPr="00CD4E9A" w:rsidRDefault="006E4F43" w:rsidP="0037519C">
            <w:pPr>
              <w:spacing w:after="0" w:line="312" w:lineRule="auto"/>
              <w:ind w:firstLine="0"/>
              <w:jc w:val="center"/>
              <w:rPr>
                <w:b/>
                <w:sz w:val="24"/>
                <w:szCs w:val="26"/>
                <w:lang w:val="sv-SE"/>
              </w:rPr>
            </w:pPr>
            <w:r w:rsidRPr="00CD4E9A">
              <w:rPr>
                <w:b/>
                <w:sz w:val="24"/>
                <w:szCs w:val="26"/>
                <w:lang w:val="sv-SE"/>
              </w:rPr>
              <w:t xml:space="preserve">Chỉ số </w:t>
            </w:r>
            <w:r w:rsidR="003518BA" w:rsidRPr="00CD4E9A">
              <w:rPr>
                <w:b/>
                <w:sz w:val="24"/>
                <w:szCs w:val="26"/>
                <w:lang w:val="sv-SE"/>
              </w:rPr>
              <w:t xml:space="preserve">CDS </w:t>
            </w:r>
            <w:r w:rsidRPr="00CD4E9A">
              <w:rPr>
                <w:b/>
                <w:sz w:val="24"/>
                <w:szCs w:val="26"/>
                <w:lang w:val="sv-SE"/>
              </w:rPr>
              <w:t>TP</w:t>
            </w:r>
            <w:r w:rsidR="003518BA" w:rsidRPr="00CD4E9A">
              <w:rPr>
                <w:b/>
                <w:sz w:val="24"/>
                <w:szCs w:val="26"/>
                <w:lang w:val="sv-SE"/>
              </w:rPr>
              <w:t>CP các kỳ hạn</w:t>
            </w:r>
          </w:p>
          <w:p w:rsidR="003518BA" w:rsidRPr="00AF6757" w:rsidRDefault="007C1D71" w:rsidP="0037519C">
            <w:pPr>
              <w:spacing w:line="312" w:lineRule="auto"/>
              <w:jc w:val="right"/>
              <w:rPr>
                <w:i/>
                <w:sz w:val="24"/>
                <w:szCs w:val="26"/>
              </w:rPr>
            </w:pPr>
            <w:r w:rsidRPr="00AF6757">
              <w:rPr>
                <w:noProof/>
                <w:sz w:val="24"/>
                <w:szCs w:val="26"/>
                <w:shd w:val="clear" w:color="auto" w:fill="FFFFFF"/>
              </w:rPr>
              <w:drawing>
                <wp:anchor distT="0" distB="0" distL="114300" distR="114300" simplePos="0" relativeHeight="251660288" behindDoc="0" locked="0" layoutInCell="1" allowOverlap="1" wp14:anchorId="4206A025" wp14:editId="133A83A3">
                  <wp:simplePos x="0" y="0"/>
                  <wp:positionH relativeFrom="column">
                    <wp:posOffset>58420</wp:posOffset>
                  </wp:positionH>
                  <wp:positionV relativeFrom="paragraph">
                    <wp:posOffset>115570</wp:posOffset>
                  </wp:positionV>
                  <wp:extent cx="2795905" cy="1818005"/>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r w:rsidRPr="00CD4E9A">
              <w:rPr>
                <w:i/>
                <w:sz w:val="24"/>
                <w:szCs w:val="26"/>
                <w:lang w:val="sv-SE"/>
              </w:rPr>
              <w:t xml:space="preserve">Nguồn: </w:t>
            </w:r>
            <w:r>
              <w:rPr>
                <w:i/>
                <w:sz w:val="24"/>
                <w:szCs w:val="26"/>
                <w:lang w:val="sv-SE"/>
              </w:rPr>
              <w:t>UBGSTCQG tổng hợp</w:t>
            </w:r>
          </w:p>
        </w:tc>
      </w:tr>
    </w:tbl>
    <w:p w:rsidR="00F95983" w:rsidRDefault="00F95983" w:rsidP="00F95983">
      <w:pPr>
        <w:pStyle w:val="ListParagraph"/>
        <w:tabs>
          <w:tab w:val="left" w:pos="360"/>
        </w:tabs>
        <w:spacing w:before="120" w:line="312" w:lineRule="auto"/>
        <w:ind w:firstLine="0"/>
        <w:contextualSpacing w:val="0"/>
        <w:rPr>
          <w:b/>
          <w:sz w:val="26"/>
          <w:szCs w:val="26"/>
          <w:lang w:val="nl-NL"/>
        </w:rPr>
      </w:pPr>
    </w:p>
    <w:p w:rsidR="00C47F7C" w:rsidRPr="00BB7B96" w:rsidRDefault="00C47F7C" w:rsidP="00BB7B96">
      <w:pPr>
        <w:pStyle w:val="ListParagraph"/>
        <w:numPr>
          <w:ilvl w:val="0"/>
          <w:numId w:val="41"/>
        </w:numPr>
        <w:tabs>
          <w:tab w:val="left" w:pos="360"/>
        </w:tabs>
        <w:spacing w:before="120" w:line="312" w:lineRule="auto"/>
        <w:contextualSpacing w:val="0"/>
        <w:rPr>
          <w:b/>
          <w:sz w:val="26"/>
          <w:szCs w:val="26"/>
          <w:lang w:val="nl-NL"/>
        </w:rPr>
      </w:pPr>
      <w:r w:rsidRPr="00BB7B96">
        <w:rPr>
          <w:b/>
          <w:sz w:val="26"/>
          <w:szCs w:val="26"/>
          <w:lang w:val="nl-NL"/>
        </w:rPr>
        <w:lastRenderedPageBreak/>
        <w:t xml:space="preserve">Thị trường cổ phiếu </w:t>
      </w:r>
      <w:r w:rsidR="00F95983">
        <w:rPr>
          <w:b/>
          <w:sz w:val="26"/>
          <w:szCs w:val="26"/>
          <w:lang w:val="nl-NL"/>
        </w:rPr>
        <w:t>– trái phiếu</w:t>
      </w:r>
    </w:p>
    <w:p w:rsidR="00C47F7C" w:rsidRPr="00BB7B96" w:rsidRDefault="00C47F7C" w:rsidP="00A85A77">
      <w:pPr>
        <w:pStyle w:val="ListParagraph"/>
        <w:numPr>
          <w:ilvl w:val="0"/>
          <w:numId w:val="30"/>
        </w:numPr>
        <w:tabs>
          <w:tab w:val="left" w:pos="0"/>
        </w:tabs>
        <w:spacing w:line="276" w:lineRule="auto"/>
        <w:ind w:left="0" w:firstLine="360"/>
        <w:rPr>
          <w:sz w:val="26"/>
          <w:szCs w:val="26"/>
          <w:lang w:val="sv-SE"/>
        </w:rPr>
      </w:pPr>
      <w:r w:rsidRPr="00BB7B96">
        <w:rPr>
          <w:b/>
          <w:i/>
          <w:sz w:val="26"/>
          <w:szCs w:val="26"/>
          <w:lang w:val="sv-SE"/>
        </w:rPr>
        <w:t>Thị trường cổ phiếu tiếp tục diễn biến tích cực trong tháng 3 nhờ kết quả kinh doanh của các doanh nghiệp niêm yết cải thiện</w:t>
      </w:r>
      <w:r w:rsidRPr="00BB7B96">
        <w:rPr>
          <w:sz w:val="26"/>
          <w:szCs w:val="26"/>
          <w:lang w:val="sv-SE"/>
        </w:rPr>
        <w:t xml:space="preserve">, các công ty lớn chuẩn bị nới room cho khối </w:t>
      </w:r>
      <w:r w:rsidR="000A3CB6" w:rsidRPr="00BB7B96">
        <w:rPr>
          <w:sz w:val="26"/>
          <w:szCs w:val="26"/>
          <w:lang w:val="sv-SE"/>
        </w:rPr>
        <w:t>ngoại và</w:t>
      </w:r>
      <w:r w:rsidRPr="00BB7B96">
        <w:rPr>
          <w:sz w:val="26"/>
          <w:szCs w:val="26"/>
          <w:lang w:val="sv-SE"/>
        </w:rPr>
        <w:t xml:space="preserve"> giá dầu hồi phục. Chỉ số VN Index ngày 23/3 đóng cửa tại 574,7 điểm tăng 2,7% so với cuối tháng 2 và tăng 11,9% so với</w:t>
      </w:r>
      <w:r w:rsidR="000A3CB6" w:rsidRPr="00BB7B96">
        <w:rPr>
          <w:sz w:val="26"/>
          <w:szCs w:val="26"/>
          <w:lang w:val="sv-SE"/>
        </w:rPr>
        <w:t xml:space="preserve"> mức đáy trong quý 1 (514 điểm). </w:t>
      </w:r>
      <w:r w:rsidRPr="00BB7B96">
        <w:rPr>
          <w:sz w:val="26"/>
          <w:szCs w:val="26"/>
          <w:lang w:val="sv-SE"/>
        </w:rPr>
        <w:t>Tuy nhiên VN Index vẫn chưa vượt qua ngưỡng kháng cự 580 điểm. Nhà đầu tư nước ngoài chuyển sang trạng thái mua ròng, đạt 622 tỷ đồng cổ phiếu niêm yết từ đầu tháng 3.</w:t>
      </w:r>
    </w:p>
    <w:p w:rsidR="00C47F7C" w:rsidRPr="00C47F7C" w:rsidRDefault="00C47F7C" w:rsidP="00C47F7C">
      <w:pPr>
        <w:tabs>
          <w:tab w:val="left" w:pos="720"/>
        </w:tabs>
        <w:spacing w:line="312" w:lineRule="auto"/>
        <w:jc w:val="center"/>
        <w:rPr>
          <w:b/>
          <w:sz w:val="22"/>
          <w:lang w:val="sv-SE"/>
        </w:rPr>
      </w:pPr>
      <w:r w:rsidRPr="00C47F7C">
        <w:rPr>
          <w:b/>
          <w:sz w:val="22"/>
          <w:lang w:val="sv-SE"/>
        </w:rPr>
        <w:t>Mua/bán ròng của khối ngoại theo tháng (tỷ đồng)</w:t>
      </w:r>
    </w:p>
    <w:p w:rsidR="00C47F7C" w:rsidRDefault="00C47F7C" w:rsidP="00E21922">
      <w:pPr>
        <w:tabs>
          <w:tab w:val="left" w:pos="720"/>
        </w:tabs>
        <w:spacing w:line="312" w:lineRule="auto"/>
        <w:ind w:firstLine="426"/>
        <w:jc w:val="center"/>
        <w:rPr>
          <w:sz w:val="26"/>
          <w:szCs w:val="26"/>
          <w:lang w:val="sv-SE"/>
        </w:rPr>
      </w:pPr>
      <w:r w:rsidRPr="00C229E2">
        <w:rPr>
          <w:b/>
          <w:noProof/>
        </w:rPr>
        <w:drawing>
          <wp:inline distT="0" distB="0" distL="0" distR="0">
            <wp:extent cx="4691269" cy="1375575"/>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47F7C" w:rsidRPr="00E86187" w:rsidRDefault="00C47F7C" w:rsidP="007C1D71">
      <w:pPr>
        <w:ind w:firstLine="691"/>
        <w:jc w:val="right"/>
        <w:rPr>
          <w:i/>
          <w:sz w:val="20"/>
          <w:lang w:val="sv-SE"/>
        </w:rPr>
      </w:pPr>
      <w:r w:rsidRPr="00E86187">
        <w:rPr>
          <w:i/>
          <w:sz w:val="20"/>
          <w:lang w:val="sv-SE"/>
        </w:rPr>
        <w:t xml:space="preserve">                                                                    Nguồn: HNX, HSX</w:t>
      </w:r>
    </w:p>
    <w:p w:rsidR="00720781" w:rsidRPr="002C1224" w:rsidRDefault="002C1224" w:rsidP="002C1224">
      <w:pPr>
        <w:pStyle w:val="ListParagraph"/>
        <w:numPr>
          <w:ilvl w:val="0"/>
          <w:numId w:val="30"/>
        </w:numPr>
        <w:spacing w:before="240" w:after="100"/>
        <w:rPr>
          <w:b/>
          <w:sz w:val="26"/>
          <w:szCs w:val="26"/>
          <w:lang w:val="nl-NL"/>
        </w:rPr>
      </w:pPr>
      <w:r w:rsidRPr="005F579F">
        <w:rPr>
          <w:b/>
          <w:i/>
          <w:sz w:val="26"/>
          <w:szCs w:val="26"/>
          <w:lang w:val="vi-VN"/>
        </w:rPr>
        <w:t>Tỷ lệ trúng thầu TPCP tháng 3/2016 giảm so với tháng trước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C1224" w:rsidRPr="00CD4E9A" w:rsidTr="002C1224">
        <w:tc>
          <w:tcPr>
            <w:tcW w:w="4785" w:type="dxa"/>
          </w:tcPr>
          <w:p w:rsidR="002C1224" w:rsidRDefault="002C1224" w:rsidP="00A85A77">
            <w:pPr>
              <w:spacing w:before="120" w:line="276" w:lineRule="auto"/>
              <w:ind w:firstLine="706"/>
              <w:rPr>
                <w:b/>
                <w:sz w:val="26"/>
                <w:szCs w:val="26"/>
                <w:lang w:val="nl-NL"/>
              </w:rPr>
            </w:pPr>
            <w:r w:rsidRPr="002C1224">
              <w:rPr>
                <w:sz w:val="26"/>
                <w:szCs w:val="26"/>
                <w:lang w:val="sv-SE"/>
              </w:rPr>
              <w:t>Trong tháng 3/2016, tỷ lệ trúng thầu TPCP phát hành qua Kho bạc Nhà nước chỉ đạt 76,2%, giảm mạnh so với mức 96,6% của tháng 2. Lũy kế đến 23/3, tổng khối lượng phát hành TPCP đạt 68,04 nghìn tỷ đồng, bằng 89% kế hoạch phát hành quý I và 31% kế hoạch năm. Lãi suất trúng thầu có xu hướng tăng nhẹ ở kỳ hạn ngắn và giữ nguyên ở kỳ hạn dài. Nguyên nhân do: (i) các ngân hàng cho vay các dự án bất động sản dài hạn nên giảm đầu tư vào TPCP, (ii) giảm tỷ lệ vốn ngắn hạn cho vay trung, dài hạn theo thông tư 36.</w:t>
            </w:r>
            <w:r w:rsidRPr="002521B9">
              <w:rPr>
                <w:sz w:val="26"/>
                <w:szCs w:val="26"/>
                <w:lang w:val="vi-VN"/>
              </w:rPr>
              <w:t xml:space="preserve"> </w:t>
            </w:r>
          </w:p>
        </w:tc>
        <w:tc>
          <w:tcPr>
            <w:tcW w:w="4786" w:type="dxa"/>
          </w:tcPr>
          <w:p w:rsidR="002C1224" w:rsidRPr="000A3CB6" w:rsidRDefault="002C1224" w:rsidP="000A3CB6">
            <w:pPr>
              <w:tabs>
                <w:tab w:val="left" w:pos="720"/>
              </w:tabs>
              <w:spacing w:line="312" w:lineRule="auto"/>
              <w:jc w:val="center"/>
              <w:rPr>
                <w:b/>
                <w:sz w:val="22"/>
                <w:lang w:val="sv-SE"/>
              </w:rPr>
            </w:pPr>
            <w:r w:rsidRPr="000A3CB6">
              <w:rPr>
                <w:b/>
                <w:sz w:val="22"/>
                <w:lang w:val="sv-SE"/>
              </w:rPr>
              <w:t>Tỷ lệ trúng thầu/gọi thầu TPCP (%)</w:t>
            </w:r>
          </w:p>
          <w:p w:rsidR="002C1224" w:rsidRDefault="002C1224" w:rsidP="002C1224">
            <w:pPr>
              <w:spacing w:before="120" w:after="100"/>
              <w:ind w:firstLine="0"/>
              <w:jc w:val="center"/>
              <w:rPr>
                <w:rFonts w:ascii="Times New Roman Bold" w:hAnsi="Times New Roman Bold"/>
                <w:b/>
                <w:spacing w:val="-4"/>
                <w:sz w:val="26"/>
                <w:szCs w:val="26"/>
                <w:lang w:val="nl-NL"/>
              </w:rPr>
            </w:pPr>
            <w:r>
              <w:rPr>
                <w:noProof/>
              </w:rPr>
              <w:drawing>
                <wp:inline distT="0" distB="0" distL="0" distR="0">
                  <wp:extent cx="2732567" cy="2200940"/>
                  <wp:effectExtent l="0" t="0" r="0" b="889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C1224" w:rsidRPr="002C1224" w:rsidRDefault="002C1224" w:rsidP="002C1224">
            <w:pPr>
              <w:jc w:val="right"/>
              <w:rPr>
                <w:i/>
                <w:sz w:val="26"/>
                <w:szCs w:val="26"/>
                <w:lang w:val="nl-NL"/>
              </w:rPr>
            </w:pPr>
            <w:r w:rsidRPr="00A04B30">
              <w:rPr>
                <w:i/>
                <w:sz w:val="26"/>
                <w:szCs w:val="26"/>
                <w:lang w:val="vi-VN"/>
              </w:rPr>
              <w:t>Nguồ</w:t>
            </w:r>
            <w:r>
              <w:rPr>
                <w:i/>
                <w:sz w:val="26"/>
                <w:szCs w:val="26"/>
                <w:lang w:val="vi-VN"/>
              </w:rPr>
              <w:t xml:space="preserve">n: </w:t>
            </w:r>
            <w:r w:rsidRPr="002C1224">
              <w:rPr>
                <w:i/>
                <w:sz w:val="26"/>
                <w:szCs w:val="26"/>
                <w:lang w:val="nl-NL"/>
              </w:rPr>
              <w:t>HNX, UBGSTCQG tổng hợp</w:t>
            </w:r>
          </w:p>
        </w:tc>
      </w:tr>
    </w:tbl>
    <w:p w:rsidR="002C1224" w:rsidRPr="002C1224" w:rsidRDefault="002C1224" w:rsidP="002C1224">
      <w:pPr>
        <w:spacing w:before="240" w:after="100"/>
        <w:ind w:firstLine="0"/>
        <w:rPr>
          <w:b/>
          <w:sz w:val="26"/>
          <w:szCs w:val="26"/>
          <w:lang w:val="nl-NL"/>
        </w:rPr>
      </w:pPr>
    </w:p>
    <w:p w:rsidR="00BC5190" w:rsidRPr="005C6A26" w:rsidRDefault="00556FC1" w:rsidP="007368D5">
      <w:pPr>
        <w:spacing w:after="200" w:line="276" w:lineRule="auto"/>
        <w:ind w:firstLine="0"/>
        <w:jc w:val="right"/>
        <w:rPr>
          <w:b/>
          <w:sz w:val="26"/>
          <w:szCs w:val="26"/>
          <w:lang w:val="nl-NL"/>
        </w:rPr>
      </w:pPr>
      <w:r w:rsidRPr="005C6A26">
        <w:rPr>
          <w:b/>
          <w:sz w:val="26"/>
          <w:szCs w:val="26"/>
          <w:lang w:val="nl-NL"/>
        </w:rPr>
        <w:t>ỦY</w:t>
      </w:r>
      <w:r w:rsidR="00B50EE3" w:rsidRPr="005C6A26">
        <w:rPr>
          <w:b/>
          <w:sz w:val="26"/>
          <w:szCs w:val="26"/>
          <w:lang w:val="nl-NL"/>
        </w:rPr>
        <w:t xml:space="preserve"> BAN GIÁM SÁT TÀI </w:t>
      </w:r>
      <w:r w:rsidR="00F727DF" w:rsidRPr="005C6A26">
        <w:rPr>
          <w:b/>
          <w:sz w:val="26"/>
          <w:szCs w:val="26"/>
          <w:lang w:val="nl-NL"/>
        </w:rPr>
        <w:t>CHÍNH QUỐC GIA</w:t>
      </w:r>
    </w:p>
    <w:sectPr w:rsidR="00BC5190" w:rsidRPr="005C6A26" w:rsidSect="0006078F">
      <w:footerReference w:type="default" r:id="rId22"/>
      <w:pgSz w:w="11907" w:h="16839" w:code="9"/>
      <w:pgMar w:top="851" w:right="1134" w:bottom="851" w:left="1418" w:header="680"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A55" w:rsidRDefault="00246A55" w:rsidP="00D118DD">
      <w:pPr>
        <w:spacing w:after="0"/>
      </w:pPr>
      <w:r>
        <w:separator/>
      </w:r>
    </w:p>
  </w:endnote>
  <w:endnote w:type="continuationSeparator" w:id="0">
    <w:p w:rsidR="00246A55" w:rsidRDefault="00246A55" w:rsidP="00D11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864055"/>
      <w:docPartObj>
        <w:docPartGallery w:val="Page Numbers (Bottom of Page)"/>
        <w:docPartUnique/>
      </w:docPartObj>
    </w:sdtPr>
    <w:sdtEndPr>
      <w:rPr>
        <w:noProof/>
      </w:rPr>
    </w:sdtEndPr>
    <w:sdtContent>
      <w:p w:rsidR="0032142F" w:rsidRDefault="004E0AB8">
        <w:pPr>
          <w:pStyle w:val="Footer"/>
          <w:jc w:val="right"/>
        </w:pPr>
        <w:r>
          <w:fldChar w:fldCharType="begin"/>
        </w:r>
        <w:r w:rsidR="004E467E">
          <w:instrText xml:space="preserve"> PAGE   \* MERGEFORMAT </w:instrText>
        </w:r>
        <w:r>
          <w:fldChar w:fldCharType="separate"/>
        </w:r>
        <w:r w:rsidR="00C52C75">
          <w:rPr>
            <w:noProof/>
          </w:rPr>
          <w:t>5</w:t>
        </w:r>
        <w:r>
          <w:rPr>
            <w:noProof/>
          </w:rPr>
          <w:fldChar w:fldCharType="end"/>
        </w:r>
      </w:p>
    </w:sdtContent>
  </w:sdt>
  <w:p w:rsidR="0032142F" w:rsidRDefault="00321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A55" w:rsidRDefault="00246A55" w:rsidP="00D118DD">
      <w:pPr>
        <w:spacing w:after="0"/>
      </w:pPr>
      <w:r>
        <w:separator/>
      </w:r>
    </w:p>
  </w:footnote>
  <w:footnote w:type="continuationSeparator" w:id="0">
    <w:p w:rsidR="00246A55" w:rsidRDefault="00246A55" w:rsidP="00D118DD">
      <w:pPr>
        <w:spacing w:after="0"/>
      </w:pPr>
      <w:r>
        <w:continuationSeparator/>
      </w:r>
    </w:p>
  </w:footnote>
  <w:footnote w:id="1">
    <w:p w:rsidR="0037519C" w:rsidRPr="00532C6A" w:rsidRDefault="0037519C" w:rsidP="0037519C">
      <w:pPr>
        <w:pStyle w:val="FootnoteText"/>
        <w:spacing w:after="0"/>
        <w:ind w:firstLine="0"/>
      </w:pPr>
      <w:r w:rsidRPr="00532C6A">
        <w:rPr>
          <w:rStyle w:val="FootnoteReference"/>
        </w:rPr>
        <w:footnoteRef/>
      </w:r>
      <w:r w:rsidRPr="00532C6A">
        <w:t xml:space="preserve"> Theo báo cáo của Bộ Thương mại Mỹ.</w:t>
      </w:r>
    </w:p>
  </w:footnote>
  <w:footnote w:id="2">
    <w:p w:rsidR="0037519C" w:rsidRPr="00532C6A" w:rsidRDefault="0037519C" w:rsidP="0037519C">
      <w:pPr>
        <w:pStyle w:val="FootnoteText"/>
        <w:spacing w:after="0"/>
        <w:ind w:firstLine="0"/>
      </w:pPr>
      <w:r w:rsidRPr="00532C6A">
        <w:rPr>
          <w:rStyle w:val="FootnoteReference"/>
        </w:rPr>
        <w:footnoteRef/>
      </w:r>
      <w:r w:rsidRPr="00532C6A">
        <w:t xml:space="preserve"> Theo số liệu của Tổng cục thống kê Trung Quốc.</w:t>
      </w:r>
    </w:p>
  </w:footnote>
  <w:footnote w:id="3">
    <w:p w:rsidR="0037519C" w:rsidRDefault="0037519C" w:rsidP="0037519C">
      <w:pPr>
        <w:pStyle w:val="FootnoteText"/>
        <w:ind w:firstLine="0"/>
      </w:pPr>
      <w:r w:rsidRPr="00532C6A">
        <w:rPr>
          <w:rStyle w:val="FootnoteReference"/>
        </w:rPr>
        <w:footnoteRef/>
      </w:r>
      <w:r w:rsidRPr="00532C6A">
        <w:t xml:space="preserve"> ECB đã giảm lãi suất tái cấp vốn từ 0,05% xuống 0%, lãi suất cho vay thanh khoản cũng giảm từ 0,3% xuống còn 0,25%, trong khi lãi tiền gửi ngân hàng đã giảm từ âm 0,3% xuống âm 0,4%.</w:t>
      </w:r>
      <w:r w:rsidRPr="00CC1C76">
        <w:rPr>
          <w:sz w:val="26"/>
          <w:szCs w:val="26"/>
        </w:rPr>
        <w:t xml:space="preserve"> </w:t>
      </w:r>
    </w:p>
  </w:footnote>
  <w:footnote w:id="4">
    <w:p w:rsidR="0037519C" w:rsidRDefault="0037519C" w:rsidP="0037519C">
      <w:pPr>
        <w:pStyle w:val="FootnoteText"/>
        <w:ind w:firstLine="0"/>
      </w:pPr>
      <w:r>
        <w:rPr>
          <w:rStyle w:val="FootnoteReference"/>
        </w:rPr>
        <w:footnoteRef/>
      </w:r>
      <w:r>
        <w:t xml:space="preserve"> Theo Cơ quan Thông tin Năng lượng Mỹ (EIA)</w:t>
      </w:r>
    </w:p>
  </w:footnote>
  <w:footnote w:id="5">
    <w:p w:rsidR="00DF62FE" w:rsidRPr="00B328B4" w:rsidRDefault="00DF62FE" w:rsidP="007C1D71">
      <w:pPr>
        <w:pStyle w:val="FootnoteText"/>
        <w:spacing w:after="0"/>
        <w:ind w:firstLine="0"/>
      </w:pPr>
      <w:r w:rsidRPr="00B328B4">
        <w:rPr>
          <w:rStyle w:val="FootnoteReference"/>
        </w:rPr>
        <w:footnoteRef/>
      </w:r>
      <w:r w:rsidRPr="00B328B4">
        <w:t xml:space="preserve"> Lãi suất ON bình quân và khối lượng giao dịch bình quân từ 4-11/3 là 4,33% và 10.250 tỷ đồng, trong khi từ 23/2-3/3 lần lượt là 1.97% và 7.510 tỷ đồng</w:t>
      </w:r>
      <w:r>
        <w:t>.</w:t>
      </w:r>
    </w:p>
  </w:footnote>
  <w:footnote w:id="6">
    <w:p w:rsidR="00DF62FE" w:rsidRDefault="00DF62FE" w:rsidP="007C1D71">
      <w:pPr>
        <w:pStyle w:val="FootnoteText"/>
        <w:spacing w:after="0"/>
        <w:ind w:firstLine="0"/>
      </w:pPr>
      <w:r>
        <w:rPr>
          <w:rStyle w:val="FootnoteReference"/>
        </w:rPr>
        <w:footnoteRef/>
      </w:r>
      <w:r>
        <w:t xml:space="preserve"> </w:t>
      </w:r>
      <w:r w:rsidRPr="00AC61B7">
        <w:rPr>
          <w:lang w:val="sv-SE"/>
        </w:rPr>
        <w:t>Lãi suất huy động dưới 6 tháng khoảng 4,5 – 5,5%/năm, 6 đến 12 tháng là 5,4% -6,8%/năm và trên 12 tháng phổ biến 7-8%/năm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170"/>
    <w:multiLevelType w:val="hybridMultilevel"/>
    <w:tmpl w:val="4A144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8E5D69"/>
    <w:multiLevelType w:val="multilevel"/>
    <w:tmpl w:val="7560792E"/>
    <w:styleLink w:val="StyleBulletedSymbolsymbolLeft025Hanging0251"/>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912DEF"/>
    <w:multiLevelType w:val="hybridMultilevel"/>
    <w:tmpl w:val="78AE2A36"/>
    <w:lvl w:ilvl="0" w:tplc="B906C7E8">
      <w:start w:val="1"/>
      <w:numFmt w:val="decimal"/>
      <w:pStyle w:val="Equatio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A05A13"/>
    <w:multiLevelType w:val="hybridMultilevel"/>
    <w:tmpl w:val="B51472A4"/>
    <w:lvl w:ilvl="0" w:tplc="5D7E394E">
      <w:numFmt w:val="bullet"/>
      <w:suff w:val="space"/>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AF61125"/>
    <w:multiLevelType w:val="hybridMultilevel"/>
    <w:tmpl w:val="9E907FF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33684BD3"/>
    <w:multiLevelType w:val="multilevel"/>
    <w:tmpl w:val="C5CA5E2E"/>
    <w:lvl w:ilvl="0">
      <w:start w:val="1"/>
      <w:numFmt w:val="decimal"/>
      <w:pStyle w:val="Heading1"/>
      <w:lvlText w:val="%1."/>
      <w:lvlJc w:val="left"/>
      <w:pPr>
        <w:tabs>
          <w:tab w:val="num" w:pos="720"/>
        </w:tabs>
        <w:ind w:left="0" w:firstLine="0"/>
      </w:pPr>
      <w:rPr>
        <w:rFonts w:hint="default"/>
        <w:b/>
        <w:i w:val="0"/>
      </w:rPr>
    </w:lvl>
    <w:lvl w:ilvl="1">
      <w:start w:val="1"/>
      <w:numFmt w:val="decimal"/>
      <w:pStyle w:val="Heading2"/>
      <w:lvlText w:val="%1.%2."/>
      <w:lvlJc w:val="left"/>
      <w:pPr>
        <w:tabs>
          <w:tab w:val="num" w:pos="720"/>
        </w:tabs>
        <w:ind w:left="720" w:hanging="720"/>
      </w:pPr>
      <w:rPr>
        <w:rFonts w:hint="default"/>
        <w:b/>
        <w:i/>
      </w:rPr>
    </w:lvl>
    <w:lvl w:ilvl="2">
      <w:start w:val="1"/>
      <w:numFmt w:val="decimal"/>
      <w:pStyle w:val="Heading3"/>
      <w:lvlText w:val="%1.%2.%3"/>
      <w:lvlJc w:val="left"/>
      <w:pPr>
        <w:ind w:left="720" w:hanging="720"/>
      </w:pPr>
      <w:rPr>
        <w:rFonts w:hint="default"/>
        <w:b w:val="0"/>
        <w:i/>
      </w:rPr>
    </w:lvl>
    <w:lvl w:ilvl="3">
      <w:start w:val="1"/>
      <w:numFmt w:val="decimal"/>
      <w:pStyle w:val="Heading4"/>
      <w:lvlText w:val="%2.%3.%4"/>
      <w:lvlJc w:val="left"/>
      <w:pPr>
        <w:tabs>
          <w:tab w:val="num" w:pos="1800"/>
        </w:tabs>
        <w:ind w:left="720" w:hanging="720"/>
      </w:pPr>
      <w:rPr>
        <w:rFonts w:hint="default"/>
        <w:b w:val="0"/>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841675D"/>
    <w:multiLevelType w:val="hybridMultilevel"/>
    <w:tmpl w:val="FC863B2A"/>
    <w:lvl w:ilvl="0" w:tplc="7A16FE8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9094777"/>
    <w:multiLevelType w:val="hybridMultilevel"/>
    <w:tmpl w:val="B9162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4C4C84"/>
    <w:multiLevelType w:val="hybridMultilevel"/>
    <w:tmpl w:val="7E481564"/>
    <w:lvl w:ilvl="0" w:tplc="5FA4B1E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3A034BD8"/>
    <w:multiLevelType w:val="multilevel"/>
    <w:tmpl w:val="8026B1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AC13031"/>
    <w:multiLevelType w:val="hybridMultilevel"/>
    <w:tmpl w:val="DCAC39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E03EB6"/>
    <w:multiLevelType w:val="hybridMultilevel"/>
    <w:tmpl w:val="41606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D287E"/>
    <w:multiLevelType w:val="hybridMultilevel"/>
    <w:tmpl w:val="6830662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402924FC"/>
    <w:multiLevelType w:val="hybridMultilevel"/>
    <w:tmpl w:val="CB2610DA"/>
    <w:lvl w:ilvl="0" w:tplc="ADB8150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069334B"/>
    <w:multiLevelType w:val="multilevel"/>
    <w:tmpl w:val="61BE2572"/>
    <w:lvl w:ilvl="0">
      <w:start w:val="1"/>
      <w:numFmt w:val="bullet"/>
      <w:lvlText w:val="-"/>
      <w:lvlJc w:val="left"/>
      <w:pPr>
        <w:ind w:left="1080" w:hanging="360"/>
      </w:pPr>
      <w:rPr>
        <w:rFonts w:ascii="Times New Roman" w:hAnsi="Times New Roman" w:cs="Times New Roma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nsid w:val="41906189"/>
    <w:multiLevelType w:val="multilevel"/>
    <w:tmpl w:val="E64E01DC"/>
    <w:styleLink w:val="Style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3090217"/>
    <w:multiLevelType w:val="hybridMultilevel"/>
    <w:tmpl w:val="1E5E85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3C1F8D"/>
    <w:multiLevelType w:val="multilevel"/>
    <w:tmpl w:val="425891DC"/>
    <w:styleLink w:val="StyleOutlinenumberedCourierNewLeft075Hanging025"/>
    <w:lvl w:ilvl="0">
      <w:start w:val="1"/>
      <w:numFmt w:val="bullet"/>
      <w:lvlText w:val="o"/>
      <w:lvlJc w:val="left"/>
      <w:pPr>
        <w:tabs>
          <w:tab w:val="num" w:pos="1080"/>
        </w:tabs>
        <w:ind w:left="1080" w:hanging="360"/>
      </w:pPr>
      <w:rPr>
        <w:rFonts w:ascii="Courier New" w:hAnsi="Courier New" w:hint="default"/>
        <w:sz w:val="28"/>
      </w:rPr>
    </w:lvl>
    <w:lvl w:ilvl="1">
      <w:start w:val="1"/>
      <w:numFmt w:val="bullet"/>
      <w:lvlText w:val=""/>
      <w:lvlJc w:val="left"/>
      <w:pPr>
        <w:tabs>
          <w:tab w:val="num" w:pos="1440"/>
        </w:tabs>
        <w:ind w:left="1440" w:hanging="360"/>
      </w:pPr>
      <w:rPr>
        <w:rFonts w:ascii="Wingdings" w:hAnsi="Wingdings" w:hint="default"/>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C076769"/>
    <w:multiLevelType w:val="hybridMultilevel"/>
    <w:tmpl w:val="ECD065C0"/>
    <w:lvl w:ilvl="0" w:tplc="F3F6A982">
      <w:start w:val="1"/>
      <w:numFmt w:val="decimal"/>
      <w:pStyle w:val="Figure"/>
      <w:lvlText w:val="Hình %1"/>
      <w:lvlJc w:val="left"/>
      <w:pPr>
        <w:tabs>
          <w:tab w:val="num" w:pos="1080"/>
        </w:tabs>
        <w:ind w:left="567" w:hanging="567"/>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8404DF"/>
    <w:multiLevelType w:val="hybridMultilevel"/>
    <w:tmpl w:val="AC90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5025B4"/>
    <w:multiLevelType w:val="hybridMultilevel"/>
    <w:tmpl w:val="E18A01C4"/>
    <w:lvl w:ilvl="0" w:tplc="0409000F">
      <w:start w:val="1"/>
      <w:numFmt w:val="decimal"/>
      <w:lvlText w:val="%1."/>
      <w:lvlJc w:val="left"/>
      <w:pPr>
        <w:ind w:left="720" w:hanging="360"/>
      </w:pPr>
      <w:rPr>
        <w:rFonts w:hint="default"/>
      </w:rPr>
    </w:lvl>
    <w:lvl w:ilvl="1" w:tplc="FD009034">
      <w:numFmt w:val="bullet"/>
      <w:lvlText w:val="-"/>
      <w:lvlJc w:val="left"/>
      <w:pPr>
        <w:ind w:left="1635" w:hanging="55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072B85"/>
    <w:multiLevelType w:val="hybridMultilevel"/>
    <w:tmpl w:val="5AAE4BEC"/>
    <w:lvl w:ilvl="0" w:tplc="16C2825A">
      <w:start w:val="4"/>
      <w:numFmt w:val="bullet"/>
      <w:lvlText w:val="-"/>
      <w:lvlJc w:val="left"/>
      <w:pPr>
        <w:ind w:left="878" w:hanging="360"/>
      </w:pPr>
      <w:rPr>
        <w:rFonts w:ascii="Times New Roman" w:eastAsia="Times New Roman" w:hAnsi="Times New Roman" w:cs="Times New Roman"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2">
    <w:nsid w:val="56F242DA"/>
    <w:multiLevelType w:val="hybridMultilevel"/>
    <w:tmpl w:val="34DE8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9C1E45"/>
    <w:multiLevelType w:val="hybridMultilevel"/>
    <w:tmpl w:val="1412389C"/>
    <w:lvl w:ilvl="0" w:tplc="5B0C528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175D77"/>
    <w:multiLevelType w:val="multilevel"/>
    <w:tmpl w:val="7DD4C43A"/>
    <w:styleLink w:val="StyleBulleted"/>
    <w:lvl w:ilvl="0">
      <w:start w:val="1"/>
      <w:numFmt w:val="bullet"/>
      <w:lvlText w:val=""/>
      <w:lvlJc w:val="left"/>
      <w:pPr>
        <w:tabs>
          <w:tab w:val="num" w:pos="36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C543FE0"/>
    <w:multiLevelType w:val="hybridMultilevel"/>
    <w:tmpl w:val="B9767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FC53E7"/>
    <w:multiLevelType w:val="hybridMultilevel"/>
    <w:tmpl w:val="12F24FB2"/>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675F7169"/>
    <w:multiLevelType w:val="hybridMultilevel"/>
    <w:tmpl w:val="D93C5994"/>
    <w:lvl w:ilvl="0" w:tplc="A80E9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37348D"/>
    <w:multiLevelType w:val="hybridMultilevel"/>
    <w:tmpl w:val="56F2E2FC"/>
    <w:lvl w:ilvl="0" w:tplc="7250F4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606502"/>
    <w:multiLevelType w:val="hybridMultilevel"/>
    <w:tmpl w:val="39ACCF14"/>
    <w:lvl w:ilvl="0" w:tplc="042A0001">
      <w:start w:val="1"/>
      <w:numFmt w:val="bullet"/>
      <w:lvlText w:val=""/>
      <w:lvlJc w:val="left"/>
      <w:pPr>
        <w:ind w:left="1211" w:hanging="360"/>
      </w:pPr>
      <w:rPr>
        <w:rFonts w:ascii="Symbol" w:hAnsi="Symbol" w:hint="default"/>
      </w:rPr>
    </w:lvl>
    <w:lvl w:ilvl="1" w:tplc="042A0003" w:tentative="1">
      <w:start w:val="1"/>
      <w:numFmt w:val="bullet"/>
      <w:lvlText w:val="o"/>
      <w:lvlJc w:val="left"/>
      <w:pPr>
        <w:ind w:left="1931" w:hanging="360"/>
      </w:pPr>
      <w:rPr>
        <w:rFonts w:ascii="Courier New" w:hAnsi="Courier New" w:cs="Courier New" w:hint="default"/>
      </w:rPr>
    </w:lvl>
    <w:lvl w:ilvl="2" w:tplc="042A0005" w:tentative="1">
      <w:start w:val="1"/>
      <w:numFmt w:val="bullet"/>
      <w:lvlText w:val=""/>
      <w:lvlJc w:val="left"/>
      <w:pPr>
        <w:ind w:left="2651" w:hanging="360"/>
      </w:pPr>
      <w:rPr>
        <w:rFonts w:ascii="Wingdings" w:hAnsi="Wingdings" w:hint="default"/>
      </w:rPr>
    </w:lvl>
    <w:lvl w:ilvl="3" w:tplc="042A0001" w:tentative="1">
      <w:start w:val="1"/>
      <w:numFmt w:val="bullet"/>
      <w:lvlText w:val=""/>
      <w:lvlJc w:val="left"/>
      <w:pPr>
        <w:ind w:left="3371" w:hanging="360"/>
      </w:pPr>
      <w:rPr>
        <w:rFonts w:ascii="Symbol" w:hAnsi="Symbol" w:hint="default"/>
      </w:rPr>
    </w:lvl>
    <w:lvl w:ilvl="4" w:tplc="042A0003" w:tentative="1">
      <w:start w:val="1"/>
      <w:numFmt w:val="bullet"/>
      <w:lvlText w:val="o"/>
      <w:lvlJc w:val="left"/>
      <w:pPr>
        <w:ind w:left="4091" w:hanging="360"/>
      </w:pPr>
      <w:rPr>
        <w:rFonts w:ascii="Courier New" w:hAnsi="Courier New" w:cs="Courier New" w:hint="default"/>
      </w:rPr>
    </w:lvl>
    <w:lvl w:ilvl="5" w:tplc="042A0005" w:tentative="1">
      <w:start w:val="1"/>
      <w:numFmt w:val="bullet"/>
      <w:lvlText w:val=""/>
      <w:lvlJc w:val="left"/>
      <w:pPr>
        <w:ind w:left="4811" w:hanging="360"/>
      </w:pPr>
      <w:rPr>
        <w:rFonts w:ascii="Wingdings" w:hAnsi="Wingdings" w:hint="default"/>
      </w:rPr>
    </w:lvl>
    <w:lvl w:ilvl="6" w:tplc="042A0001" w:tentative="1">
      <w:start w:val="1"/>
      <w:numFmt w:val="bullet"/>
      <w:lvlText w:val=""/>
      <w:lvlJc w:val="left"/>
      <w:pPr>
        <w:ind w:left="5531" w:hanging="360"/>
      </w:pPr>
      <w:rPr>
        <w:rFonts w:ascii="Symbol" w:hAnsi="Symbol" w:hint="default"/>
      </w:rPr>
    </w:lvl>
    <w:lvl w:ilvl="7" w:tplc="042A0003" w:tentative="1">
      <w:start w:val="1"/>
      <w:numFmt w:val="bullet"/>
      <w:lvlText w:val="o"/>
      <w:lvlJc w:val="left"/>
      <w:pPr>
        <w:ind w:left="6251" w:hanging="360"/>
      </w:pPr>
      <w:rPr>
        <w:rFonts w:ascii="Courier New" w:hAnsi="Courier New" w:cs="Courier New" w:hint="default"/>
      </w:rPr>
    </w:lvl>
    <w:lvl w:ilvl="8" w:tplc="042A0005" w:tentative="1">
      <w:start w:val="1"/>
      <w:numFmt w:val="bullet"/>
      <w:lvlText w:val=""/>
      <w:lvlJc w:val="left"/>
      <w:pPr>
        <w:ind w:left="6971" w:hanging="360"/>
      </w:pPr>
      <w:rPr>
        <w:rFonts w:ascii="Wingdings" w:hAnsi="Wingdings" w:hint="default"/>
      </w:rPr>
    </w:lvl>
  </w:abstractNum>
  <w:abstractNum w:abstractNumId="30">
    <w:nsid w:val="6BD93B04"/>
    <w:multiLevelType w:val="hybridMultilevel"/>
    <w:tmpl w:val="A6AA6A28"/>
    <w:lvl w:ilvl="0" w:tplc="7A16FE86">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DD4B86"/>
    <w:multiLevelType w:val="multilevel"/>
    <w:tmpl w:val="E4EA943E"/>
    <w:styleLink w:val="StyleBulletedSymbolsymbolLeft05Hanging0251"/>
    <w:lvl w:ilvl="0">
      <w:start w:val="1"/>
      <w:numFmt w:val="bullet"/>
      <w:lvlText w:val=""/>
      <w:lvlJc w:val="left"/>
      <w:pPr>
        <w:tabs>
          <w:tab w:val="num" w:pos="1080"/>
        </w:tabs>
        <w:ind w:left="1080" w:hanging="360"/>
      </w:pPr>
      <w:rPr>
        <w:rFonts w:ascii="Wingdings" w:hAnsi="Wingdings" w:hint="default"/>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6D8A0C9C"/>
    <w:multiLevelType w:val="hybridMultilevel"/>
    <w:tmpl w:val="E50C931C"/>
    <w:lvl w:ilvl="0" w:tplc="3B3CC55A">
      <w:start w:val="1"/>
      <w:numFmt w:val="bullet"/>
      <w:lvlText w:val=""/>
      <w:lvlJc w:val="left"/>
      <w:pPr>
        <w:tabs>
          <w:tab w:val="num" w:pos="720"/>
        </w:tabs>
        <w:ind w:left="720" w:hanging="360"/>
      </w:pPr>
      <w:rPr>
        <w:rFonts w:ascii="Wingdings" w:hAnsi="Wingdings" w:hint="default"/>
      </w:rPr>
    </w:lvl>
    <w:lvl w:ilvl="1" w:tplc="81D2C156" w:tentative="1">
      <w:start w:val="1"/>
      <w:numFmt w:val="bullet"/>
      <w:lvlText w:val=""/>
      <w:lvlJc w:val="left"/>
      <w:pPr>
        <w:tabs>
          <w:tab w:val="num" w:pos="1440"/>
        </w:tabs>
        <w:ind w:left="1440" w:hanging="360"/>
      </w:pPr>
      <w:rPr>
        <w:rFonts w:ascii="Wingdings" w:hAnsi="Wingdings" w:hint="default"/>
      </w:rPr>
    </w:lvl>
    <w:lvl w:ilvl="2" w:tplc="80F2384E" w:tentative="1">
      <w:start w:val="1"/>
      <w:numFmt w:val="bullet"/>
      <w:lvlText w:val=""/>
      <w:lvlJc w:val="left"/>
      <w:pPr>
        <w:tabs>
          <w:tab w:val="num" w:pos="2160"/>
        </w:tabs>
        <w:ind w:left="2160" w:hanging="360"/>
      </w:pPr>
      <w:rPr>
        <w:rFonts w:ascii="Wingdings" w:hAnsi="Wingdings" w:hint="default"/>
      </w:rPr>
    </w:lvl>
    <w:lvl w:ilvl="3" w:tplc="72C8CE6E" w:tentative="1">
      <w:start w:val="1"/>
      <w:numFmt w:val="bullet"/>
      <w:lvlText w:val=""/>
      <w:lvlJc w:val="left"/>
      <w:pPr>
        <w:tabs>
          <w:tab w:val="num" w:pos="2880"/>
        </w:tabs>
        <w:ind w:left="2880" w:hanging="360"/>
      </w:pPr>
      <w:rPr>
        <w:rFonts w:ascii="Wingdings" w:hAnsi="Wingdings" w:hint="default"/>
      </w:rPr>
    </w:lvl>
    <w:lvl w:ilvl="4" w:tplc="D3C271C6" w:tentative="1">
      <w:start w:val="1"/>
      <w:numFmt w:val="bullet"/>
      <w:lvlText w:val=""/>
      <w:lvlJc w:val="left"/>
      <w:pPr>
        <w:tabs>
          <w:tab w:val="num" w:pos="3600"/>
        </w:tabs>
        <w:ind w:left="3600" w:hanging="360"/>
      </w:pPr>
      <w:rPr>
        <w:rFonts w:ascii="Wingdings" w:hAnsi="Wingdings" w:hint="default"/>
      </w:rPr>
    </w:lvl>
    <w:lvl w:ilvl="5" w:tplc="3CEEC18A" w:tentative="1">
      <w:start w:val="1"/>
      <w:numFmt w:val="bullet"/>
      <w:lvlText w:val=""/>
      <w:lvlJc w:val="left"/>
      <w:pPr>
        <w:tabs>
          <w:tab w:val="num" w:pos="4320"/>
        </w:tabs>
        <w:ind w:left="4320" w:hanging="360"/>
      </w:pPr>
      <w:rPr>
        <w:rFonts w:ascii="Wingdings" w:hAnsi="Wingdings" w:hint="default"/>
      </w:rPr>
    </w:lvl>
    <w:lvl w:ilvl="6" w:tplc="73AAA622" w:tentative="1">
      <w:start w:val="1"/>
      <w:numFmt w:val="bullet"/>
      <w:lvlText w:val=""/>
      <w:lvlJc w:val="left"/>
      <w:pPr>
        <w:tabs>
          <w:tab w:val="num" w:pos="5040"/>
        </w:tabs>
        <w:ind w:left="5040" w:hanging="360"/>
      </w:pPr>
      <w:rPr>
        <w:rFonts w:ascii="Wingdings" w:hAnsi="Wingdings" w:hint="default"/>
      </w:rPr>
    </w:lvl>
    <w:lvl w:ilvl="7" w:tplc="E12E59C6" w:tentative="1">
      <w:start w:val="1"/>
      <w:numFmt w:val="bullet"/>
      <w:lvlText w:val=""/>
      <w:lvlJc w:val="left"/>
      <w:pPr>
        <w:tabs>
          <w:tab w:val="num" w:pos="5760"/>
        </w:tabs>
        <w:ind w:left="5760" w:hanging="360"/>
      </w:pPr>
      <w:rPr>
        <w:rFonts w:ascii="Wingdings" w:hAnsi="Wingdings" w:hint="default"/>
      </w:rPr>
    </w:lvl>
    <w:lvl w:ilvl="8" w:tplc="78E424FA" w:tentative="1">
      <w:start w:val="1"/>
      <w:numFmt w:val="bullet"/>
      <w:lvlText w:val=""/>
      <w:lvlJc w:val="left"/>
      <w:pPr>
        <w:tabs>
          <w:tab w:val="num" w:pos="6480"/>
        </w:tabs>
        <w:ind w:left="6480" w:hanging="360"/>
      </w:pPr>
      <w:rPr>
        <w:rFonts w:ascii="Wingdings" w:hAnsi="Wingdings" w:hint="default"/>
      </w:rPr>
    </w:lvl>
  </w:abstractNum>
  <w:abstractNum w:abstractNumId="33">
    <w:nsid w:val="6DA360BB"/>
    <w:multiLevelType w:val="hybridMultilevel"/>
    <w:tmpl w:val="84BA3D8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E7F3E6D"/>
    <w:multiLevelType w:val="hybridMultilevel"/>
    <w:tmpl w:val="15A81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7F1D5C"/>
    <w:multiLevelType w:val="multilevel"/>
    <w:tmpl w:val="34702EA0"/>
    <w:styleLink w:val="StyleBulletedSymbolsymbolLeft025Hanging025"/>
    <w:lvl w:ilvl="0">
      <w:start w:val="1"/>
      <w:numFmt w:val="bullet"/>
      <w:lvlText w:val=""/>
      <w:lvlJc w:val="left"/>
      <w:pPr>
        <w:tabs>
          <w:tab w:val="num" w:pos="1080"/>
        </w:tabs>
        <w:ind w:left="108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03A23F2"/>
    <w:multiLevelType w:val="hybridMultilevel"/>
    <w:tmpl w:val="EBA49190"/>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8F7A12"/>
    <w:multiLevelType w:val="hybridMultilevel"/>
    <w:tmpl w:val="6BC864C6"/>
    <w:lvl w:ilvl="0" w:tplc="04090003">
      <w:start w:val="1"/>
      <w:numFmt w:val="bullet"/>
      <w:lvlText w:val="o"/>
      <w:lvlJc w:val="left"/>
      <w:pPr>
        <w:ind w:left="720" w:hanging="360"/>
      </w:pPr>
      <w:rPr>
        <w:rFonts w:ascii="Courier New" w:hAnsi="Courier New" w:cs="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951B19"/>
    <w:multiLevelType w:val="hybridMultilevel"/>
    <w:tmpl w:val="AD6ECF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F94074"/>
    <w:multiLevelType w:val="hybridMultilevel"/>
    <w:tmpl w:val="B726C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60A2758"/>
    <w:multiLevelType w:val="hybridMultilevel"/>
    <w:tmpl w:val="C79C2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96477"/>
    <w:multiLevelType w:val="hybridMultilevel"/>
    <w:tmpl w:val="63201C80"/>
    <w:lvl w:ilvl="0" w:tplc="2F6ED51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CBE4C6F"/>
    <w:multiLevelType w:val="multilevel"/>
    <w:tmpl w:val="9F08A392"/>
    <w:lvl w:ilvl="0">
      <w:start w:val="1"/>
      <w:numFmt w:val="decimal"/>
      <w:lvlText w:val="CHƯƠNG %1"/>
      <w:lvlJc w:val="left"/>
      <w:pPr>
        <w:tabs>
          <w:tab w:val="num" w:pos="1092"/>
        </w:tabs>
        <w:ind w:left="1092" w:hanging="432"/>
      </w:pPr>
      <w:rPr>
        <w:rFonts w:hint="default"/>
      </w:rPr>
    </w:lvl>
    <w:lvl w:ilvl="1">
      <w:start w:val="1"/>
      <w:numFmt w:val="decimal"/>
      <w:lvlText w:val="%1.%2"/>
      <w:lvlJc w:val="left"/>
      <w:pPr>
        <w:tabs>
          <w:tab w:val="num" w:pos="1236"/>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
      <w:lvlJc w:val="left"/>
      <w:pPr>
        <w:tabs>
          <w:tab w:val="num" w:pos="1440"/>
        </w:tabs>
        <w:ind w:left="720" w:hanging="720"/>
      </w:pPr>
      <w:rPr>
        <w:rFonts w:hint="default"/>
        <w:b/>
        <w:i/>
      </w:rPr>
    </w:lvl>
    <w:lvl w:ilvl="3">
      <w:start w:val="1"/>
      <w:numFmt w:val="decimal"/>
      <w:lvlText w:val="%1.%2.%3.%4. "/>
      <w:lvlJc w:val="left"/>
      <w:pPr>
        <w:tabs>
          <w:tab w:val="num" w:pos="1524"/>
        </w:tabs>
        <w:ind w:left="720" w:firstLine="0"/>
      </w:pPr>
      <w:rPr>
        <w:rFonts w:hint="default"/>
        <w:b w:val="0"/>
        <w:i/>
      </w:rPr>
    </w:lvl>
    <w:lvl w:ilvl="4">
      <w:start w:val="1"/>
      <w:numFmt w:val="lowerLetter"/>
      <w:pStyle w:val="Heading5"/>
      <w:lvlText w:val="%5)"/>
      <w:lvlJc w:val="left"/>
      <w:pPr>
        <w:tabs>
          <w:tab w:val="num" w:pos="720"/>
        </w:tabs>
        <w:ind w:left="720" w:firstLine="0"/>
      </w:pPr>
      <w:rPr>
        <w:rFonts w:ascii="Times New Roman" w:hAnsi="Times New Roman" w:hint="default"/>
        <w:b w:val="0"/>
        <w:i w:val="0"/>
      </w:rPr>
    </w:lvl>
    <w:lvl w:ilvl="5">
      <w:start w:val="1"/>
      <w:numFmt w:val="decimal"/>
      <w:pStyle w:val="Heading6"/>
      <w:lvlText w:val="%1.%2.%3.%4.%5.%6"/>
      <w:lvlJc w:val="left"/>
      <w:pPr>
        <w:tabs>
          <w:tab w:val="num" w:pos="1812"/>
        </w:tabs>
        <w:ind w:left="1812" w:hanging="1152"/>
      </w:pPr>
      <w:rPr>
        <w:rFonts w:hint="default"/>
      </w:rPr>
    </w:lvl>
    <w:lvl w:ilvl="6">
      <w:start w:val="1"/>
      <w:numFmt w:val="decimal"/>
      <w:pStyle w:val="Heading7"/>
      <w:lvlText w:val="%1.%2.%3.%4.%5.%6.%7"/>
      <w:lvlJc w:val="left"/>
      <w:pPr>
        <w:tabs>
          <w:tab w:val="num" w:pos="1956"/>
        </w:tabs>
        <w:ind w:left="1956" w:hanging="1296"/>
      </w:pPr>
      <w:rPr>
        <w:rFonts w:hint="default"/>
      </w:rPr>
    </w:lvl>
    <w:lvl w:ilvl="7">
      <w:start w:val="1"/>
      <w:numFmt w:val="decimal"/>
      <w:pStyle w:val="Heading8"/>
      <w:lvlText w:val="%1.%2.%3.%4.%5.%6.%7.%8"/>
      <w:lvlJc w:val="left"/>
      <w:pPr>
        <w:tabs>
          <w:tab w:val="num" w:pos="2100"/>
        </w:tabs>
        <w:ind w:left="2100" w:hanging="1440"/>
      </w:pPr>
      <w:rPr>
        <w:rFonts w:hint="default"/>
      </w:rPr>
    </w:lvl>
    <w:lvl w:ilvl="8">
      <w:start w:val="1"/>
      <w:numFmt w:val="decimal"/>
      <w:pStyle w:val="Heading9"/>
      <w:lvlText w:val="%1.%2.%3.%4.%5.%6.%7.%8.%9"/>
      <w:lvlJc w:val="left"/>
      <w:pPr>
        <w:tabs>
          <w:tab w:val="num" w:pos="2244"/>
        </w:tabs>
        <w:ind w:left="2244" w:hanging="1584"/>
      </w:pPr>
      <w:rPr>
        <w:rFonts w:hint="default"/>
      </w:rPr>
    </w:lvl>
  </w:abstractNum>
  <w:abstractNum w:abstractNumId="43">
    <w:nsid w:val="7E4E414D"/>
    <w:multiLevelType w:val="hybridMultilevel"/>
    <w:tmpl w:val="E61A1104"/>
    <w:lvl w:ilvl="0" w:tplc="FD009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4"/>
  </w:num>
  <w:num w:numId="4">
    <w:abstractNumId w:val="31"/>
  </w:num>
  <w:num w:numId="5">
    <w:abstractNumId w:val="35"/>
  </w:num>
  <w:num w:numId="6">
    <w:abstractNumId w:val="1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1"/>
  </w:num>
  <w:num w:numId="10">
    <w:abstractNumId w:val="15"/>
  </w:num>
  <w:num w:numId="11">
    <w:abstractNumId w:val="42"/>
  </w:num>
  <w:num w:numId="12">
    <w:abstractNumId w:val="28"/>
  </w:num>
  <w:num w:numId="13">
    <w:abstractNumId w:val="37"/>
  </w:num>
  <w:num w:numId="14">
    <w:abstractNumId w:val="33"/>
  </w:num>
  <w:num w:numId="15">
    <w:abstractNumId w:val="19"/>
  </w:num>
  <w:num w:numId="16">
    <w:abstractNumId w:val="14"/>
  </w:num>
  <w:num w:numId="17">
    <w:abstractNumId w:val="39"/>
  </w:num>
  <w:num w:numId="18">
    <w:abstractNumId w:val="0"/>
  </w:num>
  <w:num w:numId="19">
    <w:abstractNumId w:val="7"/>
  </w:num>
  <w:num w:numId="20">
    <w:abstractNumId w:val="5"/>
  </w:num>
  <w:num w:numId="21">
    <w:abstractNumId w:val="21"/>
  </w:num>
  <w:num w:numId="22">
    <w:abstractNumId w:val="3"/>
  </w:num>
  <w:num w:numId="23">
    <w:abstractNumId w:val="40"/>
  </w:num>
  <w:num w:numId="24">
    <w:abstractNumId w:val="4"/>
  </w:num>
  <w:num w:numId="25">
    <w:abstractNumId w:val="29"/>
  </w:num>
  <w:num w:numId="26">
    <w:abstractNumId w:val="25"/>
  </w:num>
  <w:num w:numId="27">
    <w:abstractNumId w:val="22"/>
  </w:num>
  <w:num w:numId="28">
    <w:abstractNumId w:val="6"/>
  </w:num>
  <w:num w:numId="29">
    <w:abstractNumId w:val="11"/>
  </w:num>
  <w:num w:numId="30">
    <w:abstractNumId w:val="10"/>
  </w:num>
  <w:num w:numId="31">
    <w:abstractNumId w:val="38"/>
  </w:num>
  <w:num w:numId="32">
    <w:abstractNumId w:val="8"/>
  </w:num>
  <w:num w:numId="33">
    <w:abstractNumId w:val="9"/>
  </w:num>
  <w:num w:numId="34">
    <w:abstractNumId w:val="13"/>
  </w:num>
  <w:num w:numId="35">
    <w:abstractNumId w:val="16"/>
  </w:num>
  <w:num w:numId="36">
    <w:abstractNumId w:val="20"/>
  </w:num>
  <w:num w:numId="37">
    <w:abstractNumId w:val="36"/>
  </w:num>
  <w:num w:numId="38">
    <w:abstractNumId w:val="30"/>
  </w:num>
  <w:num w:numId="39">
    <w:abstractNumId w:val="26"/>
  </w:num>
  <w:num w:numId="40">
    <w:abstractNumId w:val="27"/>
  </w:num>
  <w:num w:numId="41">
    <w:abstractNumId w:val="34"/>
  </w:num>
  <w:num w:numId="42">
    <w:abstractNumId w:val="12"/>
  </w:num>
  <w:num w:numId="43">
    <w:abstractNumId w:val="23"/>
  </w:num>
  <w:num w:numId="44">
    <w:abstractNumId w:val="43"/>
  </w:num>
  <w:num w:numId="45">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ttachedTemplate r:id="rId1"/>
  <w:linkStyles/>
  <w:defaultTabStop w:val="720"/>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A8"/>
    <w:rsid w:val="0000033C"/>
    <w:rsid w:val="00001412"/>
    <w:rsid w:val="000023EE"/>
    <w:rsid w:val="000025BC"/>
    <w:rsid w:val="00002F77"/>
    <w:rsid w:val="000046D3"/>
    <w:rsid w:val="000055D7"/>
    <w:rsid w:val="00005E87"/>
    <w:rsid w:val="000066DA"/>
    <w:rsid w:val="00007C23"/>
    <w:rsid w:val="000110F5"/>
    <w:rsid w:val="00011110"/>
    <w:rsid w:val="000116A2"/>
    <w:rsid w:val="00015C27"/>
    <w:rsid w:val="00017A11"/>
    <w:rsid w:val="00021644"/>
    <w:rsid w:val="000224EE"/>
    <w:rsid w:val="00023656"/>
    <w:rsid w:val="000249A6"/>
    <w:rsid w:val="0002600D"/>
    <w:rsid w:val="00032512"/>
    <w:rsid w:val="00033F45"/>
    <w:rsid w:val="00035AA5"/>
    <w:rsid w:val="00037E92"/>
    <w:rsid w:val="00042CB7"/>
    <w:rsid w:val="00045E0F"/>
    <w:rsid w:val="00052186"/>
    <w:rsid w:val="000538CB"/>
    <w:rsid w:val="000548E2"/>
    <w:rsid w:val="0005492F"/>
    <w:rsid w:val="00056602"/>
    <w:rsid w:val="0006078F"/>
    <w:rsid w:val="00062ABC"/>
    <w:rsid w:val="00063004"/>
    <w:rsid w:val="00064D4D"/>
    <w:rsid w:val="00065C96"/>
    <w:rsid w:val="0006628C"/>
    <w:rsid w:val="000678C1"/>
    <w:rsid w:val="000736C6"/>
    <w:rsid w:val="00082DE1"/>
    <w:rsid w:val="00084A2C"/>
    <w:rsid w:val="00086600"/>
    <w:rsid w:val="000869A0"/>
    <w:rsid w:val="00090AB5"/>
    <w:rsid w:val="000925E8"/>
    <w:rsid w:val="00094B26"/>
    <w:rsid w:val="00094FF4"/>
    <w:rsid w:val="00096C82"/>
    <w:rsid w:val="000A128B"/>
    <w:rsid w:val="000A14B5"/>
    <w:rsid w:val="000A1E64"/>
    <w:rsid w:val="000A28B1"/>
    <w:rsid w:val="000A3176"/>
    <w:rsid w:val="000A3CB6"/>
    <w:rsid w:val="000A5F0B"/>
    <w:rsid w:val="000A68F9"/>
    <w:rsid w:val="000A6915"/>
    <w:rsid w:val="000B04BB"/>
    <w:rsid w:val="000B1CE1"/>
    <w:rsid w:val="000B2C62"/>
    <w:rsid w:val="000B4126"/>
    <w:rsid w:val="000B6A00"/>
    <w:rsid w:val="000B7767"/>
    <w:rsid w:val="000C0801"/>
    <w:rsid w:val="000C1A39"/>
    <w:rsid w:val="000C42F1"/>
    <w:rsid w:val="000C4973"/>
    <w:rsid w:val="000D25AC"/>
    <w:rsid w:val="000D2B9E"/>
    <w:rsid w:val="000D30BA"/>
    <w:rsid w:val="000E07D8"/>
    <w:rsid w:val="000E2357"/>
    <w:rsid w:val="000E5231"/>
    <w:rsid w:val="000E5F9F"/>
    <w:rsid w:val="000F05F6"/>
    <w:rsid w:val="000F06A7"/>
    <w:rsid w:val="000F410A"/>
    <w:rsid w:val="000F60E5"/>
    <w:rsid w:val="000F72F5"/>
    <w:rsid w:val="000F78C0"/>
    <w:rsid w:val="00101003"/>
    <w:rsid w:val="0010140C"/>
    <w:rsid w:val="00101CF5"/>
    <w:rsid w:val="001054A8"/>
    <w:rsid w:val="00106FC0"/>
    <w:rsid w:val="00110E5A"/>
    <w:rsid w:val="00111984"/>
    <w:rsid w:val="00111DDC"/>
    <w:rsid w:val="0011247E"/>
    <w:rsid w:val="001142F2"/>
    <w:rsid w:val="001147E5"/>
    <w:rsid w:val="00115B9D"/>
    <w:rsid w:val="00115FBB"/>
    <w:rsid w:val="001203DB"/>
    <w:rsid w:val="001225F4"/>
    <w:rsid w:val="001235C7"/>
    <w:rsid w:val="001252E6"/>
    <w:rsid w:val="001259AF"/>
    <w:rsid w:val="001265AA"/>
    <w:rsid w:val="001276F4"/>
    <w:rsid w:val="00127CAD"/>
    <w:rsid w:val="001317D1"/>
    <w:rsid w:val="00134926"/>
    <w:rsid w:val="0013796B"/>
    <w:rsid w:val="00140B4B"/>
    <w:rsid w:val="00141D44"/>
    <w:rsid w:val="0014213A"/>
    <w:rsid w:val="00143C7C"/>
    <w:rsid w:val="00144805"/>
    <w:rsid w:val="001462B2"/>
    <w:rsid w:val="001462C9"/>
    <w:rsid w:val="00146641"/>
    <w:rsid w:val="0014761C"/>
    <w:rsid w:val="00153B23"/>
    <w:rsid w:val="001565EB"/>
    <w:rsid w:val="001579F5"/>
    <w:rsid w:val="00157FB2"/>
    <w:rsid w:val="00160CBF"/>
    <w:rsid w:val="001614CB"/>
    <w:rsid w:val="001615F5"/>
    <w:rsid w:val="001649AF"/>
    <w:rsid w:val="00164B52"/>
    <w:rsid w:val="00171CC5"/>
    <w:rsid w:val="00172DB1"/>
    <w:rsid w:val="001731AA"/>
    <w:rsid w:val="00173BB2"/>
    <w:rsid w:val="00173D20"/>
    <w:rsid w:val="00175957"/>
    <w:rsid w:val="00176441"/>
    <w:rsid w:val="00177A78"/>
    <w:rsid w:val="001805B0"/>
    <w:rsid w:val="0018161F"/>
    <w:rsid w:val="00181E51"/>
    <w:rsid w:val="001845CB"/>
    <w:rsid w:val="00184820"/>
    <w:rsid w:val="00190977"/>
    <w:rsid w:val="0019231B"/>
    <w:rsid w:val="00192970"/>
    <w:rsid w:val="00193CBE"/>
    <w:rsid w:val="001947FE"/>
    <w:rsid w:val="00196181"/>
    <w:rsid w:val="00196CB2"/>
    <w:rsid w:val="00196D7D"/>
    <w:rsid w:val="001979A1"/>
    <w:rsid w:val="001A012B"/>
    <w:rsid w:val="001A0C18"/>
    <w:rsid w:val="001A3F79"/>
    <w:rsid w:val="001A5DED"/>
    <w:rsid w:val="001A6068"/>
    <w:rsid w:val="001A74E7"/>
    <w:rsid w:val="001A76D3"/>
    <w:rsid w:val="001B1A80"/>
    <w:rsid w:val="001B1A88"/>
    <w:rsid w:val="001B28A5"/>
    <w:rsid w:val="001B4177"/>
    <w:rsid w:val="001B47DD"/>
    <w:rsid w:val="001B559D"/>
    <w:rsid w:val="001B7E3F"/>
    <w:rsid w:val="001C1FA8"/>
    <w:rsid w:val="001C6854"/>
    <w:rsid w:val="001C72BD"/>
    <w:rsid w:val="001D0788"/>
    <w:rsid w:val="001D18CD"/>
    <w:rsid w:val="001D2545"/>
    <w:rsid w:val="001D3061"/>
    <w:rsid w:val="001E0EA6"/>
    <w:rsid w:val="001E16D6"/>
    <w:rsid w:val="001E2BF7"/>
    <w:rsid w:val="001E3DAE"/>
    <w:rsid w:val="001E71E4"/>
    <w:rsid w:val="001F0569"/>
    <w:rsid w:val="001F0601"/>
    <w:rsid w:val="001F201D"/>
    <w:rsid w:val="001F2985"/>
    <w:rsid w:val="001F3DAC"/>
    <w:rsid w:val="001F5975"/>
    <w:rsid w:val="001F5D90"/>
    <w:rsid w:val="001F61B2"/>
    <w:rsid w:val="00201875"/>
    <w:rsid w:val="00202A47"/>
    <w:rsid w:val="00204B48"/>
    <w:rsid w:val="00204E3E"/>
    <w:rsid w:val="00205ABC"/>
    <w:rsid w:val="00213CFA"/>
    <w:rsid w:val="00214077"/>
    <w:rsid w:val="002146F1"/>
    <w:rsid w:val="00225809"/>
    <w:rsid w:val="002259C1"/>
    <w:rsid w:val="00225D35"/>
    <w:rsid w:val="00226419"/>
    <w:rsid w:val="00231056"/>
    <w:rsid w:val="00231175"/>
    <w:rsid w:val="00232F6F"/>
    <w:rsid w:val="002337D5"/>
    <w:rsid w:val="00233AF4"/>
    <w:rsid w:val="002341B2"/>
    <w:rsid w:val="00236A55"/>
    <w:rsid w:val="0023716B"/>
    <w:rsid w:val="00237E19"/>
    <w:rsid w:val="00240816"/>
    <w:rsid w:val="00241E0A"/>
    <w:rsid w:val="00242345"/>
    <w:rsid w:val="002428CA"/>
    <w:rsid w:val="002430E3"/>
    <w:rsid w:val="00246A55"/>
    <w:rsid w:val="00247882"/>
    <w:rsid w:val="0025372E"/>
    <w:rsid w:val="002564C5"/>
    <w:rsid w:val="00256502"/>
    <w:rsid w:val="0026087C"/>
    <w:rsid w:val="002613A6"/>
    <w:rsid w:val="00261D75"/>
    <w:rsid w:val="00262B15"/>
    <w:rsid w:val="002733EC"/>
    <w:rsid w:val="002735A9"/>
    <w:rsid w:val="00275768"/>
    <w:rsid w:val="00276122"/>
    <w:rsid w:val="00282397"/>
    <w:rsid w:val="0028248C"/>
    <w:rsid w:val="00282596"/>
    <w:rsid w:val="00284FAE"/>
    <w:rsid w:val="00285CD5"/>
    <w:rsid w:val="00285EE2"/>
    <w:rsid w:val="00286BD3"/>
    <w:rsid w:val="00287750"/>
    <w:rsid w:val="0029089E"/>
    <w:rsid w:val="00290FEB"/>
    <w:rsid w:val="00291563"/>
    <w:rsid w:val="00291F7A"/>
    <w:rsid w:val="00294B7A"/>
    <w:rsid w:val="002955C3"/>
    <w:rsid w:val="002970CD"/>
    <w:rsid w:val="002A476C"/>
    <w:rsid w:val="002A61FE"/>
    <w:rsid w:val="002B0217"/>
    <w:rsid w:val="002B08DB"/>
    <w:rsid w:val="002B2A96"/>
    <w:rsid w:val="002B4A98"/>
    <w:rsid w:val="002B797F"/>
    <w:rsid w:val="002C1224"/>
    <w:rsid w:val="002C45C1"/>
    <w:rsid w:val="002C4D15"/>
    <w:rsid w:val="002C536B"/>
    <w:rsid w:val="002C63CA"/>
    <w:rsid w:val="002D19C6"/>
    <w:rsid w:val="002D1C9D"/>
    <w:rsid w:val="002D367E"/>
    <w:rsid w:val="002D4218"/>
    <w:rsid w:val="002D55D7"/>
    <w:rsid w:val="002D5A89"/>
    <w:rsid w:val="002E03FD"/>
    <w:rsid w:val="002E0C42"/>
    <w:rsid w:val="002E1377"/>
    <w:rsid w:val="002E4615"/>
    <w:rsid w:val="002E73FE"/>
    <w:rsid w:val="002E7453"/>
    <w:rsid w:val="002F011D"/>
    <w:rsid w:val="002F0CA1"/>
    <w:rsid w:val="002F2A1A"/>
    <w:rsid w:val="002F35C7"/>
    <w:rsid w:val="0030243F"/>
    <w:rsid w:val="00303A5A"/>
    <w:rsid w:val="00304D2C"/>
    <w:rsid w:val="00305819"/>
    <w:rsid w:val="003059FB"/>
    <w:rsid w:val="00307583"/>
    <w:rsid w:val="00307EA4"/>
    <w:rsid w:val="00310281"/>
    <w:rsid w:val="00311209"/>
    <w:rsid w:val="00312C9C"/>
    <w:rsid w:val="00314962"/>
    <w:rsid w:val="00317473"/>
    <w:rsid w:val="00317B09"/>
    <w:rsid w:val="0032142F"/>
    <w:rsid w:val="00321F37"/>
    <w:rsid w:val="0032289A"/>
    <w:rsid w:val="0032464F"/>
    <w:rsid w:val="00325466"/>
    <w:rsid w:val="003266B2"/>
    <w:rsid w:val="00326CE4"/>
    <w:rsid w:val="0032799B"/>
    <w:rsid w:val="0033363C"/>
    <w:rsid w:val="00336F0A"/>
    <w:rsid w:val="00341455"/>
    <w:rsid w:val="003415F7"/>
    <w:rsid w:val="00342980"/>
    <w:rsid w:val="00343B4B"/>
    <w:rsid w:val="0034410F"/>
    <w:rsid w:val="00345A1B"/>
    <w:rsid w:val="00345EBD"/>
    <w:rsid w:val="00346F4E"/>
    <w:rsid w:val="00350EEB"/>
    <w:rsid w:val="003518BA"/>
    <w:rsid w:val="00355F36"/>
    <w:rsid w:val="003568A8"/>
    <w:rsid w:val="00360B7B"/>
    <w:rsid w:val="003619A8"/>
    <w:rsid w:val="00362041"/>
    <w:rsid w:val="00366846"/>
    <w:rsid w:val="00366A73"/>
    <w:rsid w:val="00366AB3"/>
    <w:rsid w:val="0037234F"/>
    <w:rsid w:val="0037519C"/>
    <w:rsid w:val="00375CDC"/>
    <w:rsid w:val="0038143F"/>
    <w:rsid w:val="00381651"/>
    <w:rsid w:val="00382AF5"/>
    <w:rsid w:val="00383EE8"/>
    <w:rsid w:val="00385A31"/>
    <w:rsid w:val="00386E01"/>
    <w:rsid w:val="00387FCF"/>
    <w:rsid w:val="00390388"/>
    <w:rsid w:val="00391B29"/>
    <w:rsid w:val="00392E13"/>
    <w:rsid w:val="0039604C"/>
    <w:rsid w:val="003A0BC1"/>
    <w:rsid w:val="003A215B"/>
    <w:rsid w:val="003A236F"/>
    <w:rsid w:val="003A2AFC"/>
    <w:rsid w:val="003A420F"/>
    <w:rsid w:val="003A4632"/>
    <w:rsid w:val="003B048A"/>
    <w:rsid w:val="003B0C2A"/>
    <w:rsid w:val="003B3BFE"/>
    <w:rsid w:val="003B6BA9"/>
    <w:rsid w:val="003B7C4C"/>
    <w:rsid w:val="003C12DF"/>
    <w:rsid w:val="003C1625"/>
    <w:rsid w:val="003C51A1"/>
    <w:rsid w:val="003C5B34"/>
    <w:rsid w:val="003C70FB"/>
    <w:rsid w:val="003D11A8"/>
    <w:rsid w:val="003D1B2E"/>
    <w:rsid w:val="003D5437"/>
    <w:rsid w:val="003E0962"/>
    <w:rsid w:val="003E27DD"/>
    <w:rsid w:val="003E3BFB"/>
    <w:rsid w:val="003E3D0D"/>
    <w:rsid w:val="003E49CF"/>
    <w:rsid w:val="003F060A"/>
    <w:rsid w:val="003F21EA"/>
    <w:rsid w:val="003F2F3F"/>
    <w:rsid w:val="003F71B7"/>
    <w:rsid w:val="003F7929"/>
    <w:rsid w:val="0040109F"/>
    <w:rsid w:val="004016E4"/>
    <w:rsid w:val="00403A26"/>
    <w:rsid w:val="00404E08"/>
    <w:rsid w:val="004141B8"/>
    <w:rsid w:val="00414644"/>
    <w:rsid w:val="00416374"/>
    <w:rsid w:val="00417C2F"/>
    <w:rsid w:val="0042069B"/>
    <w:rsid w:val="00421929"/>
    <w:rsid w:val="00421A94"/>
    <w:rsid w:val="004319BD"/>
    <w:rsid w:val="00431E26"/>
    <w:rsid w:val="0043252D"/>
    <w:rsid w:val="004349B4"/>
    <w:rsid w:val="0043558E"/>
    <w:rsid w:val="004356F1"/>
    <w:rsid w:val="00436415"/>
    <w:rsid w:val="0044530A"/>
    <w:rsid w:val="00447347"/>
    <w:rsid w:val="00447761"/>
    <w:rsid w:val="00450424"/>
    <w:rsid w:val="004519A0"/>
    <w:rsid w:val="00452C74"/>
    <w:rsid w:val="00454ADF"/>
    <w:rsid w:val="004555DB"/>
    <w:rsid w:val="00455E76"/>
    <w:rsid w:val="004579F9"/>
    <w:rsid w:val="00461EF6"/>
    <w:rsid w:val="00464F00"/>
    <w:rsid w:val="004657E1"/>
    <w:rsid w:val="00465DEA"/>
    <w:rsid w:val="004661E6"/>
    <w:rsid w:val="0046639B"/>
    <w:rsid w:val="0047141D"/>
    <w:rsid w:val="004764E7"/>
    <w:rsid w:val="004766D0"/>
    <w:rsid w:val="00481069"/>
    <w:rsid w:val="004843C2"/>
    <w:rsid w:val="00485730"/>
    <w:rsid w:val="00491047"/>
    <w:rsid w:val="004912FD"/>
    <w:rsid w:val="00491FA3"/>
    <w:rsid w:val="004949A7"/>
    <w:rsid w:val="00495AC7"/>
    <w:rsid w:val="00497550"/>
    <w:rsid w:val="004A0B82"/>
    <w:rsid w:val="004A100C"/>
    <w:rsid w:val="004A1EAF"/>
    <w:rsid w:val="004A3C3F"/>
    <w:rsid w:val="004A3C55"/>
    <w:rsid w:val="004A4006"/>
    <w:rsid w:val="004A48E9"/>
    <w:rsid w:val="004A7B00"/>
    <w:rsid w:val="004B1AA1"/>
    <w:rsid w:val="004B3623"/>
    <w:rsid w:val="004B5889"/>
    <w:rsid w:val="004C5E33"/>
    <w:rsid w:val="004D35FC"/>
    <w:rsid w:val="004D40F8"/>
    <w:rsid w:val="004D73AA"/>
    <w:rsid w:val="004D7A81"/>
    <w:rsid w:val="004E0AB8"/>
    <w:rsid w:val="004E1D4C"/>
    <w:rsid w:val="004E3275"/>
    <w:rsid w:val="004E4098"/>
    <w:rsid w:val="004E42C0"/>
    <w:rsid w:val="004E467E"/>
    <w:rsid w:val="004E4EAD"/>
    <w:rsid w:val="004E5AE5"/>
    <w:rsid w:val="004E7613"/>
    <w:rsid w:val="004F56DE"/>
    <w:rsid w:val="004F6476"/>
    <w:rsid w:val="004F6D6C"/>
    <w:rsid w:val="00500AB3"/>
    <w:rsid w:val="00502461"/>
    <w:rsid w:val="005042F7"/>
    <w:rsid w:val="00505DE0"/>
    <w:rsid w:val="00507A44"/>
    <w:rsid w:val="0051012B"/>
    <w:rsid w:val="005113BB"/>
    <w:rsid w:val="00511E00"/>
    <w:rsid w:val="00512F47"/>
    <w:rsid w:val="00524517"/>
    <w:rsid w:val="0052616E"/>
    <w:rsid w:val="00530746"/>
    <w:rsid w:val="00530FEC"/>
    <w:rsid w:val="005310CD"/>
    <w:rsid w:val="00532AF5"/>
    <w:rsid w:val="00532B73"/>
    <w:rsid w:val="00533A26"/>
    <w:rsid w:val="00533D6C"/>
    <w:rsid w:val="00537637"/>
    <w:rsid w:val="00542C8A"/>
    <w:rsid w:val="00543B2C"/>
    <w:rsid w:val="00546DC5"/>
    <w:rsid w:val="00547EF8"/>
    <w:rsid w:val="00550560"/>
    <w:rsid w:val="00552931"/>
    <w:rsid w:val="0055433C"/>
    <w:rsid w:val="00554DF9"/>
    <w:rsid w:val="00556FC1"/>
    <w:rsid w:val="00560B0C"/>
    <w:rsid w:val="005620E8"/>
    <w:rsid w:val="00562652"/>
    <w:rsid w:val="005629AB"/>
    <w:rsid w:val="005647F4"/>
    <w:rsid w:val="00565B5B"/>
    <w:rsid w:val="005722EF"/>
    <w:rsid w:val="00572A98"/>
    <w:rsid w:val="0057396C"/>
    <w:rsid w:val="005753C5"/>
    <w:rsid w:val="00580305"/>
    <w:rsid w:val="00581714"/>
    <w:rsid w:val="00581E06"/>
    <w:rsid w:val="005865D6"/>
    <w:rsid w:val="00586880"/>
    <w:rsid w:val="00587514"/>
    <w:rsid w:val="00590491"/>
    <w:rsid w:val="0059186F"/>
    <w:rsid w:val="005918CA"/>
    <w:rsid w:val="00591BE2"/>
    <w:rsid w:val="005926AC"/>
    <w:rsid w:val="00592B70"/>
    <w:rsid w:val="00594113"/>
    <w:rsid w:val="00596219"/>
    <w:rsid w:val="005A082C"/>
    <w:rsid w:val="005A2414"/>
    <w:rsid w:val="005A3DE1"/>
    <w:rsid w:val="005A7274"/>
    <w:rsid w:val="005B0169"/>
    <w:rsid w:val="005B0398"/>
    <w:rsid w:val="005B106F"/>
    <w:rsid w:val="005B1C4C"/>
    <w:rsid w:val="005B21D6"/>
    <w:rsid w:val="005B242A"/>
    <w:rsid w:val="005B2719"/>
    <w:rsid w:val="005B733A"/>
    <w:rsid w:val="005C1694"/>
    <w:rsid w:val="005C1C7F"/>
    <w:rsid w:val="005C2F87"/>
    <w:rsid w:val="005C4A93"/>
    <w:rsid w:val="005C4AFF"/>
    <w:rsid w:val="005C50B2"/>
    <w:rsid w:val="005C530B"/>
    <w:rsid w:val="005C56CD"/>
    <w:rsid w:val="005C6828"/>
    <w:rsid w:val="005C6A26"/>
    <w:rsid w:val="005C7947"/>
    <w:rsid w:val="005C7EEB"/>
    <w:rsid w:val="005D10AD"/>
    <w:rsid w:val="005D123A"/>
    <w:rsid w:val="005D3425"/>
    <w:rsid w:val="005D47FB"/>
    <w:rsid w:val="005D571F"/>
    <w:rsid w:val="005D5A84"/>
    <w:rsid w:val="005D67D9"/>
    <w:rsid w:val="005E3E38"/>
    <w:rsid w:val="005E4E00"/>
    <w:rsid w:val="005E56D3"/>
    <w:rsid w:val="005E6FDC"/>
    <w:rsid w:val="005F1801"/>
    <w:rsid w:val="005F2AC9"/>
    <w:rsid w:val="005F5E3A"/>
    <w:rsid w:val="006005A4"/>
    <w:rsid w:val="00603070"/>
    <w:rsid w:val="00604F4F"/>
    <w:rsid w:val="00604F9C"/>
    <w:rsid w:val="006100DD"/>
    <w:rsid w:val="006104B2"/>
    <w:rsid w:val="006108F7"/>
    <w:rsid w:val="006120CC"/>
    <w:rsid w:val="00612AF4"/>
    <w:rsid w:val="00615B56"/>
    <w:rsid w:val="00616A66"/>
    <w:rsid w:val="00617378"/>
    <w:rsid w:val="0062075C"/>
    <w:rsid w:val="00621C39"/>
    <w:rsid w:val="00625148"/>
    <w:rsid w:val="00630B6C"/>
    <w:rsid w:val="00630C1B"/>
    <w:rsid w:val="00630C4B"/>
    <w:rsid w:val="00634C49"/>
    <w:rsid w:val="00637453"/>
    <w:rsid w:val="006411E8"/>
    <w:rsid w:val="0064120E"/>
    <w:rsid w:val="00641965"/>
    <w:rsid w:val="00642D78"/>
    <w:rsid w:val="006456EA"/>
    <w:rsid w:val="006459D3"/>
    <w:rsid w:val="00645E58"/>
    <w:rsid w:val="00647263"/>
    <w:rsid w:val="006479BD"/>
    <w:rsid w:val="006539E4"/>
    <w:rsid w:val="00653A12"/>
    <w:rsid w:val="00654541"/>
    <w:rsid w:val="006565D2"/>
    <w:rsid w:val="00657994"/>
    <w:rsid w:val="00661EC7"/>
    <w:rsid w:val="00662787"/>
    <w:rsid w:val="00662F6A"/>
    <w:rsid w:val="006630C1"/>
    <w:rsid w:val="0066529C"/>
    <w:rsid w:val="0066567D"/>
    <w:rsid w:val="00670C85"/>
    <w:rsid w:val="0067429C"/>
    <w:rsid w:val="00674EAD"/>
    <w:rsid w:val="006758E0"/>
    <w:rsid w:val="00677373"/>
    <w:rsid w:val="006802F7"/>
    <w:rsid w:val="00682A9B"/>
    <w:rsid w:val="00682CBE"/>
    <w:rsid w:val="00684B1A"/>
    <w:rsid w:val="00684F8C"/>
    <w:rsid w:val="00685EEA"/>
    <w:rsid w:val="006900C6"/>
    <w:rsid w:val="0069174B"/>
    <w:rsid w:val="00691E0B"/>
    <w:rsid w:val="006A0460"/>
    <w:rsid w:val="006A0751"/>
    <w:rsid w:val="006A159C"/>
    <w:rsid w:val="006A191D"/>
    <w:rsid w:val="006A2CF1"/>
    <w:rsid w:val="006B2EA7"/>
    <w:rsid w:val="006B4D53"/>
    <w:rsid w:val="006B68F5"/>
    <w:rsid w:val="006B6AB1"/>
    <w:rsid w:val="006B7CA7"/>
    <w:rsid w:val="006C0ED0"/>
    <w:rsid w:val="006C166B"/>
    <w:rsid w:val="006C2EA6"/>
    <w:rsid w:val="006C415E"/>
    <w:rsid w:val="006C47F8"/>
    <w:rsid w:val="006C4E1A"/>
    <w:rsid w:val="006C4F21"/>
    <w:rsid w:val="006C4F50"/>
    <w:rsid w:val="006C6556"/>
    <w:rsid w:val="006C7196"/>
    <w:rsid w:val="006D2212"/>
    <w:rsid w:val="006D35E9"/>
    <w:rsid w:val="006D4AF0"/>
    <w:rsid w:val="006D7ED0"/>
    <w:rsid w:val="006E1323"/>
    <w:rsid w:val="006E4F43"/>
    <w:rsid w:val="006E6B83"/>
    <w:rsid w:val="006E7B0E"/>
    <w:rsid w:val="006F0A2F"/>
    <w:rsid w:val="006F0BC1"/>
    <w:rsid w:val="006F35D0"/>
    <w:rsid w:val="006F35F8"/>
    <w:rsid w:val="006F39AD"/>
    <w:rsid w:val="006F3E40"/>
    <w:rsid w:val="006F56BA"/>
    <w:rsid w:val="006F6D85"/>
    <w:rsid w:val="006F7589"/>
    <w:rsid w:val="00702735"/>
    <w:rsid w:val="007037A9"/>
    <w:rsid w:val="007053CE"/>
    <w:rsid w:val="00705A43"/>
    <w:rsid w:val="00706DDE"/>
    <w:rsid w:val="00707816"/>
    <w:rsid w:val="00710010"/>
    <w:rsid w:val="00710E74"/>
    <w:rsid w:val="00711FA3"/>
    <w:rsid w:val="007131D0"/>
    <w:rsid w:val="00713B57"/>
    <w:rsid w:val="00716B58"/>
    <w:rsid w:val="00717037"/>
    <w:rsid w:val="00717DB5"/>
    <w:rsid w:val="0072035D"/>
    <w:rsid w:val="00720781"/>
    <w:rsid w:val="00720AD1"/>
    <w:rsid w:val="00720CCB"/>
    <w:rsid w:val="0072135E"/>
    <w:rsid w:val="00722665"/>
    <w:rsid w:val="0072362A"/>
    <w:rsid w:val="00723C3D"/>
    <w:rsid w:val="00731A4C"/>
    <w:rsid w:val="007368D5"/>
    <w:rsid w:val="00736A90"/>
    <w:rsid w:val="00737E19"/>
    <w:rsid w:val="00740564"/>
    <w:rsid w:val="0074084A"/>
    <w:rsid w:val="00742B2D"/>
    <w:rsid w:val="00743371"/>
    <w:rsid w:val="00745B1B"/>
    <w:rsid w:val="00750E5B"/>
    <w:rsid w:val="00751D89"/>
    <w:rsid w:val="00752639"/>
    <w:rsid w:val="00752F21"/>
    <w:rsid w:val="007530BC"/>
    <w:rsid w:val="00753D0D"/>
    <w:rsid w:val="00754E36"/>
    <w:rsid w:val="00760482"/>
    <w:rsid w:val="007640B0"/>
    <w:rsid w:val="00767386"/>
    <w:rsid w:val="00770D3B"/>
    <w:rsid w:val="00772E0C"/>
    <w:rsid w:val="00774D4C"/>
    <w:rsid w:val="00775BA5"/>
    <w:rsid w:val="00782E80"/>
    <w:rsid w:val="00783FCC"/>
    <w:rsid w:val="00786882"/>
    <w:rsid w:val="00786C4A"/>
    <w:rsid w:val="00792839"/>
    <w:rsid w:val="007929DB"/>
    <w:rsid w:val="00792A3D"/>
    <w:rsid w:val="00793C8A"/>
    <w:rsid w:val="00794C3B"/>
    <w:rsid w:val="00796EE2"/>
    <w:rsid w:val="00797469"/>
    <w:rsid w:val="007A24F0"/>
    <w:rsid w:val="007A2FD2"/>
    <w:rsid w:val="007A4BA0"/>
    <w:rsid w:val="007B121F"/>
    <w:rsid w:val="007B270D"/>
    <w:rsid w:val="007B2C63"/>
    <w:rsid w:val="007B2EA0"/>
    <w:rsid w:val="007B39AA"/>
    <w:rsid w:val="007B53D2"/>
    <w:rsid w:val="007B550E"/>
    <w:rsid w:val="007C1D71"/>
    <w:rsid w:val="007C52FC"/>
    <w:rsid w:val="007C63A4"/>
    <w:rsid w:val="007C7402"/>
    <w:rsid w:val="007C755A"/>
    <w:rsid w:val="007C7664"/>
    <w:rsid w:val="007C7CA8"/>
    <w:rsid w:val="007D3722"/>
    <w:rsid w:val="007D4069"/>
    <w:rsid w:val="007E047E"/>
    <w:rsid w:val="007E14EE"/>
    <w:rsid w:val="007E31A1"/>
    <w:rsid w:val="007E3795"/>
    <w:rsid w:val="007E3935"/>
    <w:rsid w:val="007E4093"/>
    <w:rsid w:val="007E4E39"/>
    <w:rsid w:val="007E7CCE"/>
    <w:rsid w:val="007F06E5"/>
    <w:rsid w:val="007F07D1"/>
    <w:rsid w:val="007F1099"/>
    <w:rsid w:val="007F179A"/>
    <w:rsid w:val="007F43DB"/>
    <w:rsid w:val="007F6CC4"/>
    <w:rsid w:val="007F7D7A"/>
    <w:rsid w:val="0080027F"/>
    <w:rsid w:val="00800306"/>
    <w:rsid w:val="00802DC1"/>
    <w:rsid w:val="00806378"/>
    <w:rsid w:val="00806F06"/>
    <w:rsid w:val="00810830"/>
    <w:rsid w:val="00811D4F"/>
    <w:rsid w:val="00811FAE"/>
    <w:rsid w:val="00813978"/>
    <w:rsid w:val="00814192"/>
    <w:rsid w:val="008155FC"/>
    <w:rsid w:val="00815C4D"/>
    <w:rsid w:val="00816276"/>
    <w:rsid w:val="00816FF0"/>
    <w:rsid w:val="008172FB"/>
    <w:rsid w:val="008201DB"/>
    <w:rsid w:val="00820B53"/>
    <w:rsid w:val="00821384"/>
    <w:rsid w:val="00823999"/>
    <w:rsid w:val="008273E9"/>
    <w:rsid w:val="0082770E"/>
    <w:rsid w:val="008318ED"/>
    <w:rsid w:val="00832922"/>
    <w:rsid w:val="00833DEB"/>
    <w:rsid w:val="00833E66"/>
    <w:rsid w:val="00834C3B"/>
    <w:rsid w:val="00836F43"/>
    <w:rsid w:val="00837F44"/>
    <w:rsid w:val="0084418B"/>
    <w:rsid w:val="00845DC8"/>
    <w:rsid w:val="00845E32"/>
    <w:rsid w:val="00846819"/>
    <w:rsid w:val="00850545"/>
    <w:rsid w:val="0085275E"/>
    <w:rsid w:val="0085345E"/>
    <w:rsid w:val="0085423C"/>
    <w:rsid w:val="00861088"/>
    <w:rsid w:val="00862A96"/>
    <w:rsid w:val="00866DCD"/>
    <w:rsid w:val="00870B87"/>
    <w:rsid w:val="00876F2F"/>
    <w:rsid w:val="00877FB0"/>
    <w:rsid w:val="0088188B"/>
    <w:rsid w:val="0088487E"/>
    <w:rsid w:val="00885F02"/>
    <w:rsid w:val="008862B9"/>
    <w:rsid w:val="00886CB2"/>
    <w:rsid w:val="00892F51"/>
    <w:rsid w:val="0089304A"/>
    <w:rsid w:val="00894153"/>
    <w:rsid w:val="008A1E4C"/>
    <w:rsid w:val="008A30C5"/>
    <w:rsid w:val="008A6C90"/>
    <w:rsid w:val="008B10C1"/>
    <w:rsid w:val="008B20A5"/>
    <w:rsid w:val="008B4C95"/>
    <w:rsid w:val="008B54E3"/>
    <w:rsid w:val="008B5B72"/>
    <w:rsid w:val="008B5F76"/>
    <w:rsid w:val="008B6B85"/>
    <w:rsid w:val="008B7CCD"/>
    <w:rsid w:val="008C05BC"/>
    <w:rsid w:val="008C1975"/>
    <w:rsid w:val="008C4B1A"/>
    <w:rsid w:val="008C5BC0"/>
    <w:rsid w:val="008C7433"/>
    <w:rsid w:val="008D086D"/>
    <w:rsid w:val="008D0F13"/>
    <w:rsid w:val="008D1489"/>
    <w:rsid w:val="008D2284"/>
    <w:rsid w:val="008D56AC"/>
    <w:rsid w:val="008D6984"/>
    <w:rsid w:val="008D6DCB"/>
    <w:rsid w:val="008E3164"/>
    <w:rsid w:val="008E5730"/>
    <w:rsid w:val="008E6411"/>
    <w:rsid w:val="008E774C"/>
    <w:rsid w:val="008F1E6A"/>
    <w:rsid w:val="008F337E"/>
    <w:rsid w:val="008F3E64"/>
    <w:rsid w:val="008F4E6E"/>
    <w:rsid w:val="008F6570"/>
    <w:rsid w:val="00900767"/>
    <w:rsid w:val="009029FC"/>
    <w:rsid w:val="00903ABC"/>
    <w:rsid w:val="0090443D"/>
    <w:rsid w:val="00904C44"/>
    <w:rsid w:val="00905577"/>
    <w:rsid w:val="0090681E"/>
    <w:rsid w:val="00910F80"/>
    <w:rsid w:val="0091176A"/>
    <w:rsid w:val="009127EF"/>
    <w:rsid w:val="00913690"/>
    <w:rsid w:val="0091407F"/>
    <w:rsid w:val="00915AC1"/>
    <w:rsid w:val="009170C0"/>
    <w:rsid w:val="00917430"/>
    <w:rsid w:val="00920135"/>
    <w:rsid w:val="00920CDF"/>
    <w:rsid w:val="00923124"/>
    <w:rsid w:val="00923576"/>
    <w:rsid w:val="00930B0D"/>
    <w:rsid w:val="00933260"/>
    <w:rsid w:val="00933EDB"/>
    <w:rsid w:val="009352D0"/>
    <w:rsid w:val="00936142"/>
    <w:rsid w:val="009405A7"/>
    <w:rsid w:val="00945733"/>
    <w:rsid w:val="00945E23"/>
    <w:rsid w:val="009461E3"/>
    <w:rsid w:val="00946906"/>
    <w:rsid w:val="00950EB7"/>
    <w:rsid w:val="0095247A"/>
    <w:rsid w:val="00953D43"/>
    <w:rsid w:val="00953DB7"/>
    <w:rsid w:val="00955EA2"/>
    <w:rsid w:val="0095610C"/>
    <w:rsid w:val="00957281"/>
    <w:rsid w:val="0095772F"/>
    <w:rsid w:val="00960AC8"/>
    <w:rsid w:val="00960C6C"/>
    <w:rsid w:val="009625BF"/>
    <w:rsid w:val="00962E9C"/>
    <w:rsid w:val="00964561"/>
    <w:rsid w:val="00967A3D"/>
    <w:rsid w:val="009704C1"/>
    <w:rsid w:val="009707FF"/>
    <w:rsid w:val="009727F9"/>
    <w:rsid w:val="00975915"/>
    <w:rsid w:val="009760AD"/>
    <w:rsid w:val="00976104"/>
    <w:rsid w:val="009848CF"/>
    <w:rsid w:val="00985217"/>
    <w:rsid w:val="0098645F"/>
    <w:rsid w:val="00986529"/>
    <w:rsid w:val="00990A41"/>
    <w:rsid w:val="009910D7"/>
    <w:rsid w:val="009923F0"/>
    <w:rsid w:val="00996B22"/>
    <w:rsid w:val="00997047"/>
    <w:rsid w:val="009975BF"/>
    <w:rsid w:val="009A0C76"/>
    <w:rsid w:val="009A0FEE"/>
    <w:rsid w:val="009A12AC"/>
    <w:rsid w:val="009A2504"/>
    <w:rsid w:val="009A3CF3"/>
    <w:rsid w:val="009A4793"/>
    <w:rsid w:val="009A6BF7"/>
    <w:rsid w:val="009A6EAE"/>
    <w:rsid w:val="009A7565"/>
    <w:rsid w:val="009B012C"/>
    <w:rsid w:val="009B0305"/>
    <w:rsid w:val="009B4765"/>
    <w:rsid w:val="009B4CDB"/>
    <w:rsid w:val="009B572C"/>
    <w:rsid w:val="009C1F28"/>
    <w:rsid w:val="009C4274"/>
    <w:rsid w:val="009C5E5D"/>
    <w:rsid w:val="009D4AB4"/>
    <w:rsid w:val="009D6692"/>
    <w:rsid w:val="009D6CD9"/>
    <w:rsid w:val="009D6E43"/>
    <w:rsid w:val="009D77A2"/>
    <w:rsid w:val="009E0010"/>
    <w:rsid w:val="009E07AB"/>
    <w:rsid w:val="009E60B2"/>
    <w:rsid w:val="009E6777"/>
    <w:rsid w:val="009F1DBC"/>
    <w:rsid w:val="009F56E0"/>
    <w:rsid w:val="009F59E0"/>
    <w:rsid w:val="009F6E6D"/>
    <w:rsid w:val="009F7122"/>
    <w:rsid w:val="00A00C49"/>
    <w:rsid w:val="00A0138F"/>
    <w:rsid w:val="00A013F0"/>
    <w:rsid w:val="00A02F3B"/>
    <w:rsid w:val="00A0381C"/>
    <w:rsid w:val="00A04333"/>
    <w:rsid w:val="00A04389"/>
    <w:rsid w:val="00A07BEC"/>
    <w:rsid w:val="00A1061A"/>
    <w:rsid w:val="00A12166"/>
    <w:rsid w:val="00A128BA"/>
    <w:rsid w:val="00A152BC"/>
    <w:rsid w:val="00A15929"/>
    <w:rsid w:val="00A1598F"/>
    <w:rsid w:val="00A16B42"/>
    <w:rsid w:val="00A24600"/>
    <w:rsid w:val="00A2483A"/>
    <w:rsid w:val="00A24AB7"/>
    <w:rsid w:val="00A25D18"/>
    <w:rsid w:val="00A25FDC"/>
    <w:rsid w:val="00A30D68"/>
    <w:rsid w:val="00A30DBC"/>
    <w:rsid w:val="00A314F5"/>
    <w:rsid w:val="00A3363B"/>
    <w:rsid w:val="00A3540F"/>
    <w:rsid w:val="00A356C9"/>
    <w:rsid w:val="00A35F94"/>
    <w:rsid w:val="00A37B5B"/>
    <w:rsid w:val="00A41EA9"/>
    <w:rsid w:val="00A453F5"/>
    <w:rsid w:val="00A464C2"/>
    <w:rsid w:val="00A46CEF"/>
    <w:rsid w:val="00A516CE"/>
    <w:rsid w:val="00A51B7F"/>
    <w:rsid w:val="00A5351E"/>
    <w:rsid w:val="00A6138C"/>
    <w:rsid w:val="00A62B95"/>
    <w:rsid w:val="00A671B0"/>
    <w:rsid w:val="00A67312"/>
    <w:rsid w:val="00A714F4"/>
    <w:rsid w:val="00A71CBE"/>
    <w:rsid w:val="00A74724"/>
    <w:rsid w:val="00A750DC"/>
    <w:rsid w:val="00A75AAD"/>
    <w:rsid w:val="00A76E15"/>
    <w:rsid w:val="00A7751D"/>
    <w:rsid w:val="00A81741"/>
    <w:rsid w:val="00A82673"/>
    <w:rsid w:val="00A82727"/>
    <w:rsid w:val="00A827C6"/>
    <w:rsid w:val="00A841F9"/>
    <w:rsid w:val="00A84262"/>
    <w:rsid w:val="00A85A77"/>
    <w:rsid w:val="00A86A59"/>
    <w:rsid w:val="00A87739"/>
    <w:rsid w:val="00A879D7"/>
    <w:rsid w:val="00A9184D"/>
    <w:rsid w:val="00A92121"/>
    <w:rsid w:val="00AA0318"/>
    <w:rsid w:val="00AA26F1"/>
    <w:rsid w:val="00AA30CA"/>
    <w:rsid w:val="00AA412D"/>
    <w:rsid w:val="00AA596B"/>
    <w:rsid w:val="00AA6BC8"/>
    <w:rsid w:val="00AB07DE"/>
    <w:rsid w:val="00AB1B77"/>
    <w:rsid w:val="00AC0E9F"/>
    <w:rsid w:val="00AC61B7"/>
    <w:rsid w:val="00AC6A63"/>
    <w:rsid w:val="00AC701B"/>
    <w:rsid w:val="00AC7D66"/>
    <w:rsid w:val="00AD00E3"/>
    <w:rsid w:val="00AD48D7"/>
    <w:rsid w:val="00AD5855"/>
    <w:rsid w:val="00AD7244"/>
    <w:rsid w:val="00AD79E4"/>
    <w:rsid w:val="00AE031F"/>
    <w:rsid w:val="00AE1534"/>
    <w:rsid w:val="00AE2E1C"/>
    <w:rsid w:val="00AE3677"/>
    <w:rsid w:val="00AE3BB3"/>
    <w:rsid w:val="00AE3DF9"/>
    <w:rsid w:val="00AE4F5D"/>
    <w:rsid w:val="00AE5886"/>
    <w:rsid w:val="00AE7BCD"/>
    <w:rsid w:val="00AF0623"/>
    <w:rsid w:val="00AF0BE5"/>
    <w:rsid w:val="00AF0F20"/>
    <w:rsid w:val="00AF25AA"/>
    <w:rsid w:val="00AF6489"/>
    <w:rsid w:val="00AF665F"/>
    <w:rsid w:val="00AF6757"/>
    <w:rsid w:val="00AF7D32"/>
    <w:rsid w:val="00B005FB"/>
    <w:rsid w:val="00B0085B"/>
    <w:rsid w:val="00B01ABB"/>
    <w:rsid w:val="00B022F1"/>
    <w:rsid w:val="00B0278F"/>
    <w:rsid w:val="00B05FD9"/>
    <w:rsid w:val="00B068DB"/>
    <w:rsid w:val="00B06B37"/>
    <w:rsid w:val="00B12873"/>
    <w:rsid w:val="00B1789B"/>
    <w:rsid w:val="00B215CA"/>
    <w:rsid w:val="00B25085"/>
    <w:rsid w:val="00B2659E"/>
    <w:rsid w:val="00B277BD"/>
    <w:rsid w:val="00B305C1"/>
    <w:rsid w:val="00B315D9"/>
    <w:rsid w:val="00B326F2"/>
    <w:rsid w:val="00B33895"/>
    <w:rsid w:val="00B342F0"/>
    <w:rsid w:val="00B35FF2"/>
    <w:rsid w:val="00B36BA4"/>
    <w:rsid w:val="00B37508"/>
    <w:rsid w:val="00B4520D"/>
    <w:rsid w:val="00B47E0A"/>
    <w:rsid w:val="00B50972"/>
    <w:rsid w:val="00B50EE3"/>
    <w:rsid w:val="00B53B62"/>
    <w:rsid w:val="00B53DD2"/>
    <w:rsid w:val="00B54C22"/>
    <w:rsid w:val="00B57A40"/>
    <w:rsid w:val="00B6187B"/>
    <w:rsid w:val="00B6242F"/>
    <w:rsid w:val="00B65862"/>
    <w:rsid w:val="00B66C8D"/>
    <w:rsid w:val="00B6731F"/>
    <w:rsid w:val="00B677D0"/>
    <w:rsid w:val="00B67CC4"/>
    <w:rsid w:val="00B71511"/>
    <w:rsid w:val="00B71E8D"/>
    <w:rsid w:val="00B7299C"/>
    <w:rsid w:val="00B72EBA"/>
    <w:rsid w:val="00B732FF"/>
    <w:rsid w:val="00B741F3"/>
    <w:rsid w:val="00B751DC"/>
    <w:rsid w:val="00B75CA7"/>
    <w:rsid w:val="00B75D7D"/>
    <w:rsid w:val="00B774D7"/>
    <w:rsid w:val="00B839C8"/>
    <w:rsid w:val="00B8515D"/>
    <w:rsid w:val="00B85897"/>
    <w:rsid w:val="00B86979"/>
    <w:rsid w:val="00B86C5E"/>
    <w:rsid w:val="00B91263"/>
    <w:rsid w:val="00B914D7"/>
    <w:rsid w:val="00B92413"/>
    <w:rsid w:val="00B954BA"/>
    <w:rsid w:val="00B964B8"/>
    <w:rsid w:val="00B97D45"/>
    <w:rsid w:val="00BA00BD"/>
    <w:rsid w:val="00BA08B0"/>
    <w:rsid w:val="00BA1073"/>
    <w:rsid w:val="00BA2285"/>
    <w:rsid w:val="00BA4C72"/>
    <w:rsid w:val="00BA4FFA"/>
    <w:rsid w:val="00BB5B9D"/>
    <w:rsid w:val="00BB5D32"/>
    <w:rsid w:val="00BB796F"/>
    <w:rsid w:val="00BB7B96"/>
    <w:rsid w:val="00BC5190"/>
    <w:rsid w:val="00BC60F0"/>
    <w:rsid w:val="00BC6AA2"/>
    <w:rsid w:val="00BC7595"/>
    <w:rsid w:val="00BD16D3"/>
    <w:rsid w:val="00BD3C9A"/>
    <w:rsid w:val="00BD503E"/>
    <w:rsid w:val="00BE38F0"/>
    <w:rsid w:val="00BE495E"/>
    <w:rsid w:val="00BE6922"/>
    <w:rsid w:val="00BE6B86"/>
    <w:rsid w:val="00BF0FC6"/>
    <w:rsid w:val="00BF2203"/>
    <w:rsid w:val="00BF230D"/>
    <w:rsid w:val="00BF2AA7"/>
    <w:rsid w:val="00BF41BA"/>
    <w:rsid w:val="00BF65AB"/>
    <w:rsid w:val="00BF7190"/>
    <w:rsid w:val="00BF7E5A"/>
    <w:rsid w:val="00C018DA"/>
    <w:rsid w:val="00C04F4F"/>
    <w:rsid w:val="00C07326"/>
    <w:rsid w:val="00C07E5F"/>
    <w:rsid w:val="00C14B7F"/>
    <w:rsid w:val="00C155C7"/>
    <w:rsid w:val="00C15C6D"/>
    <w:rsid w:val="00C16501"/>
    <w:rsid w:val="00C16AB3"/>
    <w:rsid w:val="00C16D71"/>
    <w:rsid w:val="00C17233"/>
    <w:rsid w:val="00C176B6"/>
    <w:rsid w:val="00C2006C"/>
    <w:rsid w:val="00C20886"/>
    <w:rsid w:val="00C22E8A"/>
    <w:rsid w:val="00C27741"/>
    <w:rsid w:val="00C27DF9"/>
    <w:rsid w:val="00C309ED"/>
    <w:rsid w:val="00C31673"/>
    <w:rsid w:val="00C31BC3"/>
    <w:rsid w:val="00C33503"/>
    <w:rsid w:val="00C346CD"/>
    <w:rsid w:val="00C35DBA"/>
    <w:rsid w:val="00C36467"/>
    <w:rsid w:val="00C37A95"/>
    <w:rsid w:val="00C37EFE"/>
    <w:rsid w:val="00C4084C"/>
    <w:rsid w:val="00C4320F"/>
    <w:rsid w:val="00C440AD"/>
    <w:rsid w:val="00C44549"/>
    <w:rsid w:val="00C45BF9"/>
    <w:rsid w:val="00C47CA9"/>
    <w:rsid w:val="00C47F7C"/>
    <w:rsid w:val="00C50ABD"/>
    <w:rsid w:val="00C51781"/>
    <w:rsid w:val="00C51C00"/>
    <w:rsid w:val="00C5272A"/>
    <w:rsid w:val="00C52C75"/>
    <w:rsid w:val="00C544CB"/>
    <w:rsid w:val="00C54DAC"/>
    <w:rsid w:val="00C559A6"/>
    <w:rsid w:val="00C5621D"/>
    <w:rsid w:val="00C578C7"/>
    <w:rsid w:val="00C603D6"/>
    <w:rsid w:val="00C61504"/>
    <w:rsid w:val="00C63B30"/>
    <w:rsid w:val="00C67BFF"/>
    <w:rsid w:val="00C719AB"/>
    <w:rsid w:val="00C720A3"/>
    <w:rsid w:val="00C73300"/>
    <w:rsid w:val="00C7506C"/>
    <w:rsid w:val="00C77E46"/>
    <w:rsid w:val="00C8497C"/>
    <w:rsid w:val="00C903FA"/>
    <w:rsid w:val="00C9154F"/>
    <w:rsid w:val="00C91E93"/>
    <w:rsid w:val="00C92D6B"/>
    <w:rsid w:val="00C94A36"/>
    <w:rsid w:val="00CA0F8F"/>
    <w:rsid w:val="00CA28E1"/>
    <w:rsid w:val="00CA320C"/>
    <w:rsid w:val="00CA4F9E"/>
    <w:rsid w:val="00CA7DA3"/>
    <w:rsid w:val="00CB3F61"/>
    <w:rsid w:val="00CB443A"/>
    <w:rsid w:val="00CB49B8"/>
    <w:rsid w:val="00CC0254"/>
    <w:rsid w:val="00CC1AD5"/>
    <w:rsid w:val="00CC1C76"/>
    <w:rsid w:val="00CC1EFC"/>
    <w:rsid w:val="00CC28DB"/>
    <w:rsid w:val="00CC33A3"/>
    <w:rsid w:val="00CC509C"/>
    <w:rsid w:val="00CC5C73"/>
    <w:rsid w:val="00CC6B1D"/>
    <w:rsid w:val="00CD2573"/>
    <w:rsid w:val="00CD4E9A"/>
    <w:rsid w:val="00CD661B"/>
    <w:rsid w:val="00CD77D6"/>
    <w:rsid w:val="00CE0CA7"/>
    <w:rsid w:val="00CE1800"/>
    <w:rsid w:val="00CE5473"/>
    <w:rsid w:val="00CE5A5A"/>
    <w:rsid w:val="00CE7D66"/>
    <w:rsid w:val="00CE7F93"/>
    <w:rsid w:val="00CF071C"/>
    <w:rsid w:val="00CF154B"/>
    <w:rsid w:val="00CF3798"/>
    <w:rsid w:val="00CF408F"/>
    <w:rsid w:val="00CF452E"/>
    <w:rsid w:val="00CF4DFF"/>
    <w:rsid w:val="00CF71A5"/>
    <w:rsid w:val="00D004F2"/>
    <w:rsid w:val="00D00972"/>
    <w:rsid w:val="00D00C04"/>
    <w:rsid w:val="00D02579"/>
    <w:rsid w:val="00D0366C"/>
    <w:rsid w:val="00D03E26"/>
    <w:rsid w:val="00D04102"/>
    <w:rsid w:val="00D103C4"/>
    <w:rsid w:val="00D118DD"/>
    <w:rsid w:val="00D11C9D"/>
    <w:rsid w:val="00D127B0"/>
    <w:rsid w:val="00D1291E"/>
    <w:rsid w:val="00D13B1D"/>
    <w:rsid w:val="00D14FDF"/>
    <w:rsid w:val="00D170BD"/>
    <w:rsid w:val="00D22C67"/>
    <w:rsid w:val="00D23826"/>
    <w:rsid w:val="00D24BF7"/>
    <w:rsid w:val="00D26DCB"/>
    <w:rsid w:val="00D30A0A"/>
    <w:rsid w:val="00D30E1C"/>
    <w:rsid w:val="00D31582"/>
    <w:rsid w:val="00D31964"/>
    <w:rsid w:val="00D32171"/>
    <w:rsid w:val="00D33D42"/>
    <w:rsid w:val="00D356DD"/>
    <w:rsid w:val="00D45B51"/>
    <w:rsid w:val="00D45BB0"/>
    <w:rsid w:val="00D46146"/>
    <w:rsid w:val="00D51580"/>
    <w:rsid w:val="00D54FC7"/>
    <w:rsid w:val="00D62399"/>
    <w:rsid w:val="00D63CF0"/>
    <w:rsid w:val="00D64EA7"/>
    <w:rsid w:val="00D67FE8"/>
    <w:rsid w:val="00D707C1"/>
    <w:rsid w:val="00D7348C"/>
    <w:rsid w:val="00D737B2"/>
    <w:rsid w:val="00D748AB"/>
    <w:rsid w:val="00D75922"/>
    <w:rsid w:val="00D75BF0"/>
    <w:rsid w:val="00D75EBE"/>
    <w:rsid w:val="00D75F23"/>
    <w:rsid w:val="00D76B0C"/>
    <w:rsid w:val="00D77187"/>
    <w:rsid w:val="00D77705"/>
    <w:rsid w:val="00D80B7B"/>
    <w:rsid w:val="00D80C0C"/>
    <w:rsid w:val="00D825EC"/>
    <w:rsid w:val="00D83BE6"/>
    <w:rsid w:val="00D84198"/>
    <w:rsid w:val="00D86252"/>
    <w:rsid w:val="00D86D9A"/>
    <w:rsid w:val="00D873D5"/>
    <w:rsid w:val="00D90757"/>
    <w:rsid w:val="00D90D46"/>
    <w:rsid w:val="00D91915"/>
    <w:rsid w:val="00D943BF"/>
    <w:rsid w:val="00D94965"/>
    <w:rsid w:val="00D97202"/>
    <w:rsid w:val="00D97A6C"/>
    <w:rsid w:val="00DA161F"/>
    <w:rsid w:val="00DA39AC"/>
    <w:rsid w:val="00DA3D5B"/>
    <w:rsid w:val="00DA521D"/>
    <w:rsid w:val="00DA5858"/>
    <w:rsid w:val="00DB04F0"/>
    <w:rsid w:val="00DB2147"/>
    <w:rsid w:val="00DB6452"/>
    <w:rsid w:val="00DB6A67"/>
    <w:rsid w:val="00DB7CED"/>
    <w:rsid w:val="00DC1743"/>
    <w:rsid w:val="00DC27AB"/>
    <w:rsid w:val="00DC3C64"/>
    <w:rsid w:val="00DC4EB5"/>
    <w:rsid w:val="00DC7107"/>
    <w:rsid w:val="00DD06E2"/>
    <w:rsid w:val="00DD0D5F"/>
    <w:rsid w:val="00DD34D4"/>
    <w:rsid w:val="00DD3A74"/>
    <w:rsid w:val="00DD3AFA"/>
    <w:rsid w:val="00DE03FA"/>
    <w:rsid w:val="00DE131E"/>
    <w:rsid w:val="00DE44CC"/>
    <w:rsid w:val="00DE7790"/>
    <w:rsid w:val="00DF459D"/>
    <w:rsid w:val="00DF48DC"/>
    <w:rsid w:val="00DF4B9A"/>
    <w:rsid w:val="00DF62FE"/>
    <w:rsid w:val="00DF69B5"/>
    <w:rsid w:val="00E008FA"/>
    <w:rsid w:val="00E01B91"/>
    <w:rsid w:val="00E02214"/>
    <w:rsid w:val="00E02357"/>
    <w:rsid w:val="00E028E0"/>
    <w:rsid w:val="00E04DB2"/>
    <w:rsid w:val="00E06B0A"/>
    <w:rsid w:val="00E07C6F"/>
    <w:rsid w:val="00E10E5E"/>
    <w:rsid w:val="00E168F1"/>
    <w:rsid w:val="00E17C49"/>
    <w:rsid w:val="00E21922"/>
    <w:rsid w:val="00E24323"/>
    <w:rsid w:val="00E260B4"/>
    <w:rsid w:val="00E27360"/>
    <w:rsid w:val="00E30319"/>
    <w:rsid w:val="00E31B42"/>
    <w:rsid w:val="00E32DA4"/>
    <w:rsid w:val="00E32ED8"/>
    <w:rsid w:val="00E33EC3"/>
    <w:rsid w:val="00E3406E"/>
    <w:rsid w:val="00E355F4"/>
    <w:rsid w:val="00E35CF2"/>
    <w:rsid w:val="00E3784F"/>
    <w:rsid w:val="00E4060A"/>
    <w:rsid w:val="00E43798"/>
    <w:rsid w:val="00E43BC1"/>
    <w:rsid w:val="00E45EBB"/>
    <w:rsid w:val="00E467E0"/>
    <w:rsid w:val="00E4735C"/>
    <w:rsid w:val="00E55298"/>
    <w:rsid w:val="00E61453"/>
    <w:rsid w:val="00E627FA"/>
    <w:rsid w:val="00E628C1"/>
    <w:rsid w:val="00E63DC1"/>
    <w:rsid w:val="00E64E51"/>
    <w:rsid w:val="00E668B3"/>
    <w:rsid w:val="00E66906"/>
    <w:rsid w:val="00E67B52"/>
    <w:rsid w:val="00E715E8"/>
    <w:rsid w:val="00E721A0"/>
    <w:rsid w:val="00E7593D"/>
    <w:rsid w:val="00E76063"/>
    <w:rsid w:val="00E80AA2"/>
    <w:rsid w:val="00E80F63"/>
    <w:rsid w:val="00E81F76"/>
    <w:rsid w:val="00E821AD"/>
    <w:rsid w:val="00E84EE8"/>
    <w:rsid w:val="00E852A9"/>
    <w:rsid w:val="00E859CB"/>
    <w:rsid w:val="00E86187"/>
    <w:rsid w:val="00E92A70"/>
    <w:rsid w:val="00E93E6B"/>
    <w:rsid w:val="00E93F4C"/>
    <w:rsid w:val="00E942F0"/>
    <w:rsid w:val="00E94722"/>
    <w:rsid w:val="00E95AB5"/>
    <w:rsid w:val="00E96A52"/>
    <w:rsid w:val="00EA0F64"/>
    <w:rsid w:val="00EA16A7"/>
    <w:rsid w:val="00EA1AA6"/>
    <w:rsid w:val="00EA1CB9"/>
    <w:rsid w:val="00EA3F33"/>
    <w:rsid w:val="00EA48CE"/>
    <w:rsid w:val="00EA5299"/>
    <w:rsid w:val="00EB17E1"/>
    <w:rsid w:val="00EB2209"/>
    <w:rsid w:val="00EB3480"/>
    <w:rsid w:val="00EB44E6"/>
    <w:rsid w:val="00EB5A4E"/>
    <w:rsid w:val="00EC0901"/>
    <w:rsid w:val="00EC1D11"/>
    <w:rsid w:val="00EC216C"/>
    <w:rsid w:val="00EC22DE"/>
    <w:rsid w:val="00EC276D"/>
    <w:rsid w:val="00EC44B2"/>
    <w:rsid w:val="00EC55C2"/>
    <w:rsid w:val="00EC6E16"/>
    <w:rsid w:val="00EC736A"/>
    <w:rsid w:val="00ED1049"/>
    <w:rsid w:val="00ED1758"/>
    <w:rsid w:val="00ED1FE4"/>
    <w:rsid w:val="00ED3586"/>
    <w:rsid w:val="00EE245F"/>
    <w:rsid w:val="00EE33FC"/>
    <w:rsid w:val="00EE7FD1"/>
    <w:rsid w:val="00EF089A"/>
    <w:rsid w:val="00EF12F5"/>
    <w:rsid w:val="00EF2C32"/>
    <w:rsid w:val="00F019D2"/>
    <w:rsid w:val="00F049A1"/>
    <w:rsid w:val="00F05DE7"/>
    <w:rsid w:val="00F05EAF"/>
    <w:rsid w:val="00F064E4"/>
    <w:rsid w:val="00F06A89"/>
    <w:rsid w:val="00F106A4"/>
    <w:rsid w:val="00F10941"/>
    <w:rsid w:val="00F123F2"/>
    <w:rsid w:val="00F13B8D"/>
    <w:rsid w:val="00F14C57"/>
    <w:rsid w:val="00F15207"/>
    <w:rsid w:val="00F15E8C"/>
    <w:rsid w:val="00F17A2A"/>
    <w:rsid w:val="00F17A73"/>
    <w:rsid w:val="00F20EED"/>
    <w:rsid w:val="00F21768"/>
    <w:rsid w:val="00F21AEF"/>
    <w:rsid w:val="00F22114"/>
    <w:rsid w:val="00F278E2"/>
    <w:rsid w:val="00F31C55"/>
    <w:rsid w:val="00F3525F"/>
    <w:rsid w:val="00F352EE"/>
    <w:rsid w:val="00F361F8"/>
    <w:rsid w:val="00F36E38"/>
    <w:rsid w:val="00F37D6C"/>
    <w:rsid w:val="00F42363"/>
    <w:rsid w:val="00F42D47"/>
    <w:rsid w:val="00F44F97"/>
    <w:rsid w:val="00F45568"/>
    <w:rsid w:val="00F45C7B"/>
    <w:rsid w:val="00F47588"/>
    <w:rsid w:val="00F50F98"/>
    <w:rsid w:val="00F5409A"/>
    <w:rsid w:val="00F55361"/>
    <w:rsid w:val="00F56693"/>
    <w:rsid w:val="00F6008B"/>
    <w:rsid w:val="00F611E7"/>
    <w:rsid w:val="00F63499"/>
    <w:rsid w:val="00F64CB9"/>
    <w:rsid w:val="00F7112F"/>
    <w:rsid w:val="00F727DF"/>
    <w:rsid w:val="00F72F16"/>
    <w:rsid w:val="00F74063"/>
    <w:rsid w:val="00F772BC"/>
    <w:rsid w:val="00F80C83"/>
    <w:rsid w:val="00F91A5B"/>
    <w:rsid w:val="00F95347"/>
    <w:rsid w:val="00F95983"/>
    <w:rsid w:val="00FA1BB2"/>
    <w:rsid w:val="00FA76BF"/>
    <w:rsid w:val="00FA7F89"/>
    <w:rsid w:val="00FB0F91"/>
    <w:rsid w:val="00FB1DDE"/>
    <w:rsid w:val="00FB2017"/>
    <w:rsid w:val="00FB3075"/>
    <w:rsid w:val="00FB78C8"/>
    <w:rsid w:val="00FC076B"/>
    <w:rsid w:val="00FC0B5B"/>
    <w:rsid w:val="00FC263F"/>
    <w:rsid w:val="00FC3836"/>
    <w:rsid w:val="00FC39E5"/>
    <w:rsid w:val="00FC3D0A"/>
    <w:rsid w:val="00FC4501"/>
    <w:rsid w:val="00FC4730"/>
    <w:rsid w:val="00FC5D0E"/>
    <w:rsid w:val="00FC6392"/>
    <w:rsid w:val="00FC6CBF"/>
    <w:rsid w:val="00FC791F"/>
    <w:rsid w:val="00FD074B"/>
    <w:rsid w:val="00FD1666"/>
    <w:rsid w:val="00FD17EE"/>
    <w:rsid w:val="00FD1D36"/>
    <w:rsid w:val="00FD1E3F"/>
    <w:rsid w:val="00FD214D"/>
    <w:rsid w:val="00FD23BD"/>
    <w:rsid w:val="00FD46C5"/>
    <w:rsid w:val="00FD6403"/>
    <w:rsid w:val="00FD748A"/>
    <w:rsid w:val="00FE17C1"/>
    <w:rsid w:val="00FE1838"/>
    <w:rsid w:val="00FE7D7E"/>
    <w:rsid w:val="00FF157E"/>
    <w:rsid w:val="00FF27B1"/>
    <w:rsid w:val="00FF2C4E"/>
    <w:rsid w:val="00FF62E3"/>
    <w:rsid w:val="00FF73F3"/>
    <w:rsid w:val="00FF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AF"/>
    <w:pPr>
      <w:spacing w:after="12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C55C2"/>
    <w:pPr>
      <w:keepNext/>
      <w:numPr>
        <w:numId w:val="7"/>
      </w:numPr>
      <w:spacing w:before="360" w:after="240"/>
      <w:jc w:val="left"/>
      <w:outlineLvl w:val="0"/>
    </w:pPr>
    <w:rPr>
      <w:rFonts w:cs="Arial"/>
      <w:b/>
      <w:bCs/>
      <w:kern w:val="32"/>
      <w:szCs w:val="32"/>
    </w:rPr>
  </w:style>
  <w:style w:type="paragraph" w:styleId="Heading2">
    <w:name w:val="heading 2"/>
    <w:basedOn w:val="Normal"/>
    <w:next w:val="Normal"/>
    <w:link w:val="Heading2Char"/>
    <w:qFormat/>
    <w:rsid w:val="00EC55C2"/>
    <w:pPr>
      <w:keepNext/>
      <w:numPr>
        <w:ilvl w:val="1"/>
        <w:numId w:val="7"/>
      </w:numPr>
      <w:spacing w:before="240" w:after="60"/>
      <w:outlineLvl w:val="1"/>
    </w:pPr>
    <w:rPr>
      <w:rFonts w:cs="Arial"/>
      <w:b/>
      <w:bCs/>
      <w:i/>
      <w:iCs/>
      <w:szCs w:val="28"/>
    </w:rPr>
  </w:style>
  <w:style w:type="paragraph" w:styleId="Heading3">
    <w:name w:val="heading 3"/>
    <w:basedOn w:val="Normal"/>
    <w:next w:val="Normal"/>
    <w:link w:val="Heading3Char"/>
    <w:qFormat/>
    <w:rsid w:val="00EC55C2"/>
    <w:pPr>
      <w:keepNext/>
      <w:numPr>
        <w:ilvl w:val="2"/>
        <w:numId w:val="7"/>
      </w:numPr>
      <w:tabs>
        <w:tab w:val="left" w:pos="360"/>
      </w:tabs>
      <w:spacing w:before="240" w:after="60"/>
      <w:outlineLvl w:val="2"/>
    </w:pPr>
    <w:rPr>
      <w:rFonts w:cs="Arial"/>
      <w:bCs/>
      <w:i/>
      <w:szCs w:val="26"/>
    </w:rPr>
  </w:style>
  <w:style w:type="paragraph" w:styleId="Heading4">
    <w:name w:val="heading 4"/>
    <w:basedOn w:val="Normal"/>
    <w:next w:val="Normal"/>
    <w:link w:val="Heading4Char"/>
    <w:rsid w:val="00EC55C2"/>
    <w:pPr>
      <w:keepNext/>
      <w:numPr>
        <w:ilvl w:val="3"/>
        <w:numId w:val="7"/>
      </w:numPr>
      <w:spacing w:before="240"/>
      <w:outlineLvl w:val="3"/>
    </w:pPr>
    <w:rPr>
      <w:bCs/>
      <w:i/>
      <w:szCs w:val="28"/>
    </w:rPr>
  </w:style>
  <w:style w:type="paragraph" w:styleId="Heading5">
    <w:name w:val="heading 5"/>
    <w:basedOn w:val="Normal"/>
    <w:next w:val="Normal"/>
    <w:link w:val="Heading5Char"/>
    <w:rsid w:val="00B71E8D"/>
    <w:pPr>
      <w:keepNext/>
      <w:numPr>
        <w:ilvl w:val="4"/>
        <w:numId w:val="11"/>
      </w:numPr>
      <w:tabs>
        <w:tab w:val="left" w:pos="360"/>
      </w:tabs>
      <w:spacing w:before="60" w:after="60"/>
      <w:jc w:val="left"/>
      <w:outlineLvl w:val="4"/>
    </w:pPr>
    <w:rPr>
      <w:rFonts w:eastAsia="Batang"/>
      <w:b/>
      <w:i/>
      <w:szCs w:val="20"/>
    </w:rPr>
  </w:style>
  <w:style w:type="paragraph" w:styleId="Heading6">
    <w:name w:val="heading 6"/>
    <w:basedOn w:val="Normal"/>
    <w:next w:val="Normal"/>
    <w:link w:val="Heading6Char"/>
    <w:rsid w:val="00B71E8D"/>
    <w:pPr>
      <w:keepNext/>
      <w:widowControl w:val="0"/>
      <w:numPr>
        <w:ilvl w:val="5"/>
        <w:numId w:val="11"/>
      </w:numPr>
      <w:spacing w:after="0"/>
      <w:jc w:val="center"/>
      <w:outlineLvl w:val="5"/>
    </w:pPr>
    <w:rPr>
      <w:rFonts w:eastAsia="Batang"/>
      <w:b/>
    </w:rPr>
  </w:style>
  <w:style w:type="paragraph" w:styleId="Heading7">
    <w:name w:val="heading 7"/>
    <w:basedOn w:val="Normal"/>
    <w:next w:val="Normal"/>
    <w:link w:val="Heading7Char"/>
    <w:rsid w:val="00B71E8D"/>
    <w:pPr>
      <w:keepNext/>
      <w:numPr>
        <w:ilvl w:val="6"/>
        <w:numId w:val="11"/>
      </w:numPr>
      <w:spacing w:after="0"/>
      <w:jc w:val="center"/>
      <w:outlineLvl w:val="6"/>
    </w:pPr>
    <w:rPr>
      <w:rFonts w:ascii=".VnTime" w:eastAsia="Batang" w:hAnsi=".VnTime"/>
      <w:b/>
      <w:sz w:val="20"/>
      <w:szCs w:val="20"/>
    </w:rPr>
  </w:style>
  <w:style w:type="paragraph" w:styleId="Heading8">
    <w:name w:val="heading 8"/>
    <w:basedOn w:val="Normal"/>
    <w:next w:val="Normal"/>
    <w:link w:val="Heading8Char"/>
    <w:rsid w:val="00B71E8D"/>
    <w:pPr>
      <w:keepNext/>
      <w:numPr>
        <w:ilvl w:val="7"/>
        <w:numId w:val="11"/>
      </w:numPr>
      <w:spacing w:after="0"/>
      <w:outlineLvl w:val="7"/>
    </w:pPr>
    <w:rPr>
      <w:rFonts w:ascii=".VnTime" w:hAnsi=".VnTime"/>
      <w:b/>
      <w:i/>
      <w:szCs w:val="20"/>
    </w:rPr>
  </w:style>
  <w:style w:type="paragraph" w:styleId="Heading9">
    <w:name w:val="heading 9"/>
    <w:basedOn w:val="Normal"/>
    <w:next w:val="Normal"/>
    <w:link w:val="Heading9Char"/>
    <w:rsid w:val="00B71E8D"/>
    <w:pPr>
      <w:numPr>
        <w:ilvl w:val="8"/>
        <w:numId w:val="11"/>
      </w:numPr>
      <w:spacing w:before="240" w:after="60"/>
      <w:jc w:val="left"/>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rsid w:val="00EC55C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rsid w:val="00EC55C2"/>
    <w:rPr>
      <w:rFonts w:ascii="Times New Roman" w:eastAsia="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 BVI fnr,footnote ref,BVI fnr,BearingPoint,Footnote Text1,Ref,de nota al pie,Footnote Text11"/>
    <w:basedOn w:val="DefaultParagraphFont"/>
    <w:uiPriority w:val="99"/>
    <w:rsid w:val="00EC55C2"/>
    <w:rPr>
      <w:vertAlign w:val="superscript"/>
    </w:rPr>
  </w:style>
  <w:style w:type="paragraph" w:styleId="BalloonText">
    <w:name w:val="Balloon Text"/>
    <w:basedOn w:val="Normal"/>
    <w:link w:val="BalloonTextChar"/>
    <w:semiHidden/>
    <w:rsid w:val="00EC55C2"/>
    <w:rPr>
      <w:rFonts w:ascii="Tahoma" w:hAnsi="Tahoma" w:cs="Tahoma"/>
      <w:sz w:val="16"/>
      <w:szCs w:val="16"/>
    </w:rPr>
  </w:style>
  <w:style w:type="character" w:customStyle="1" w:styleId="BalloonTextChar">
    <w:name w:val="Balloon Text Char"/>
    <w:basedOn w:val="DefaultParagraphFont"/>
    <w:link w:val="BalloonText"/>
    <w:semiHidden/>
    <w:rsid w:val="00EC55C2"/>
    <w:rPr>
      <w:rFonts w:ascii="Tahoma" w:eastAsia="Times New Roman" w:hAnsi="Tahoma" w:cs="Tahoma"/>
      <w:sz w:val="16"/>
      <w:szCs w:val="16"/>
    </w:rPr>
  </w:style>
  <w:style w:type="paragraph" w:styleId="ListParagraph">
    <w:name w:val="List Paragraph"/>
    <w:basedOn w:val="Normal"/>
    <w:link w:val="ListParagraphChar"/>
    <w:uiPriority w:val="34"/>
    <w:qFormat/>
    <w:rsid w:val="00EC55C2"/>
    <w:pPr>
      <w:ind w:left="720"/>
      <w:contextualSpacing/>
    </w:pPr>
  </w:style>
  <w:style w:type="paragraph" w:styleId="NormalWeb">
    <w:name w:val="Normal (Web)"/>
    <w:basedOn w:val="Normal"/>
    <w:link w:val="NormalWebChar"/>
    <w:uiPriority w:val="99"/>
    <w:unhideWhenUsed/>
    <w:rsid w:val="00B71E8D"/>
    <w:pPr>
      <w:spacing w:before="100" w:beforeAutospacing="1" w:after="100" w:afterAutospacing="1"/>
      <w:ind w:firstLine="0"/>
      <w:jc w:val="left"/>
    </w:pPr>
  </w:style>
  <w:style w:type="character" w:styleId="Strong">
    <w:name w:val="Strong"/>
    <w:basedOn w:val="DefaultParagraphFont"/>
    <w:uiPriority w:val="22"/>
    <w:qFormat/>
    <w:rsid w:val="00B71E8D"/>
    <w:rPr>
      <w:b/>
      <w:bCs/>
    </w:rPr>
  </w:style>
  <w:style w:type="character" w:customStyle="1" w:styleId="apple-converted-space">
    <w:name w:val="apple-converted-space"/>
    <w:basedOn w:val="DefaultParagraphFont"/>
    <w:rsid w:val="00B71E8D"/>
  </w:style>
  <w:style w:type="character" w:styleId="Hyperlink">
    <w:name w:val="Hyperlink"/>
    <w:basedOn w:val="DefaultParagraphFont"/>
    <w:rsid w:val="00EC55C2"/>
    <w:rPr>
      <w:color w:val="0000FF"/>
      <w:u w:val="single"/>
    </w:rPr>
  </w:style>
  <w:style w:type="table" w:styleId="TableGrid">
    <w:name w:val="Table Grid"/>
    <w:basedOn w:val="TableNormal"/>
    <w:uiPriority w:val="59"/>
    <w:rsid w:val="00EC55C2"/>
    <w:pPr>
      <w:spacing w:after="120" w:line="36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1E8D"/>
    <w:rPr>
      <w:i/>
      <w:iCs/>
    </w:rPr>
  </w:style>
  <w:style w:type="paragraph" w:styleId="Header">
    <w:name w:val="header"/>
    <w:basedOn w:val="Normal"/>
    <w:link w:val="HeaderChar"/>
    <w:rsid w:val="00EC55C2"/>
    <w:pPr>
      <w:tabs>
        <w:tab w:val="center" w:pos="4320"/>
        <w:tab w:val="right" w:pos="8640"/>
      </w:tabs>
    </w:pPr>
  </w:style>
  <w:style w:type="character" w:customStyle="1" w:styleId="HeaderChar">
    <w:name w:val="Header Char"/>
    <w:basedOn w:val="DefaultParagraphFont"/>
    <w:link w:val="Header"/>
    <w:rsid w:val="00EC55C2"/>
    <w:rPr>
      <w:rFonts w:ascii="Times New Roman" w:eastAsia="Times New Roman" w:hAnsi="Times New Roman" w:cs="Times New Roman"/>
      <w:sz w:val="28"/>
      <w:szCs w:val="24"/>
    </w:rPr>
  </w:style>
  <w:style w:type="paragraph" w:styleId="Footer">
    <w:name w:val="footer"/>
    <w:basedOn w:val="Normal"/>
    <w:link w:val="FooterChar"/>
    <w:rsid w:val="00EC55C2"/>
    <w:pPr>
      <w:tabs>
        <w:tab w:val="center" w:pos="4320"/>
        <w:tab w:val="right" w:pos="8640"/>
      </w:tabs>
    </w:pPr>
  </w:style>
  <w:style w:type="character" w:customStyle="1" w:styleId="FooterChar">
    <w:name w:val="Footer Char"/>
    <w:basedOn w:val="DefaultParagraphFont"/>
    <w:link w:val="Footer"/>
    <w:rsid w:val="00EC55C2"/>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EC55C2"/>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EC55C2"/>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EC55C2"/>
    <w:rPr>
      <w:rFonts w:ascii="Times New Roman" w:eastAsia="Times New Roman" w:hAnsi="Times New Roman" w:cs="Arial"/>
      <w:bCs/>
      <w:i/>
      <w:sz w:val="28"/>
      <w:szCs w:val="26"/>
    </w:rPr>
  </w:style>
  <w:style w:type="character" w:customStyle="1" w:styleId="Heading4Char">
    <w:name w:val="Heading 4 Char"/>
    <w:basedOn w:val="DefaultParagraphFont"/>
    <w:link w:val="Heading4"/>
    <w:rsid w:val="00EC55C2"/>
    <w:rPr>
      <w:rFonts w:ascii="Times New Roman" w:eastAsia="Times New Roman" w:hAnsi="Times New Roman" w:cs="Times New Roman"/>
      <w:bCs/>
      <w:i/>
      <w:sz w:val="28"/>
      <w:szCs w:val="28"/>
    </w:rPr>
  </w:style>
  <w:style w:type="paragraph" w:styleId="Title">
    <w:name w:val="Title"/>
    <w:basedOn w:val="Normal"/>
    <w:next w:val="Footer"/>
    <w:link w:val="TitleChar"/>
    <w:qFormat/>
    <w:rsid w:val="00EC55C2"/>
    <w:pPr>
      <w:pageBreakBefore/>
      <w:tabs>
        <w:tab w:val="left" w:pos="2160"/>
      </w:tabs>
      <w:spacing w:after="960"/>
      <w:ind w:firstLine="0"/>
      <w:jc w:val="center"/>
      <w:outlineLvl w:val="0"/>
    </w:pPr>
    <w:rPr>
      <w:rFonts w:cs="Arial"/>
      <w:b/>
      <w:bCs/>
      <w:kern w:val="28"/>
      <w:sz w:val="32"/>
      <w:szCs w:val="32"/>
    </w:rPr>
  </w:style>
  <w:style w:type="character" w:customStyle="1" w:styleId="TitleChar">
    <w:name w:val="Title Char"/>
    <w:basedOn w:val="DefaultParagraphFont"/>
    <w:link w:val="Title"/>
    <w:rsid w:val="00EC55C2"/>
    <w:rPr>
      <w:rFonts w:ascii="Times New Roman" w:eastAsia="Times New Roman" w:hAnsi="Times New Roman" w:cs="Arial"/>
      <w:b/>
      <w:bCs/>
      <w:kern w:val="28"/>
      <w:sz w:val="32"/>
      <w:szCs w:val="32"/>
    </w:rPr>
  </w:style>
  <w:style w:type="paragraph" w:styleId="BodyText">
    <w:name w:val="Body Text"/>
    <w:basedOn w:val="Normal"/>
    <w:link w:val="BodyTextChar"/>
    <w:rsid w:val="00EC55C2"/>
    <w:pPr>
      <w:spacing w:line="480" w:lineRule="auto"/>
      <w:ind w:firstLine="567"/>
    </w:pPr>
  </w:style>
  <w:style w:type="character" w:customStyle="1" w:styleId="BodyTextChar">
    <w:name w:val="Body Text Char"/>
    <w:basedOn w:val="DefaultParagraphFont"/>
    <w:link w:val="BodyText"/>
    <w:rsid w:val="00EC55C2"/>
    <w:rPr>
      <w:rFonts w:ascii="Times New Roman" w:eastAsia="Times New Roman" w:hAnsi="Times New Roman" w:cs="Times New Roman"/>
      <w:sz w:val="28"/>
      <w:szCs w:val="24"/>
    </w:rPr>
  </w:style>
  <w:style w:type="table" w:styleId="TableSimple1">
    <w:name w:val="Table Simple 1"/>
    <w:basedOn w:val="TableNormal"/>
    <w:rsid w:val="00EC55C2"/>
    <w:pPr>
      <w:spacing w:after="0" w:line="48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gure">
    <w:name w:val="Figure"/>
    <w:basedOn w:val="Normal"/>
    <w:rsid w:val="00EC55C2"/>
    <w:pPr>
      <w:numPr>
        <w:numId w:val="1"/>
      </w:numPr>
      <w:spacing w:before="360" w:after="240"/>
      <w:jc w:val="center"/>
    </w:pPr>
  </w:style>
  <w:style w:type="paragraph" w:styleId="Caption">
    <w:name w:val="caption"/>
    <w:basedOn w:val="Normal"/>
    <w:next w:val="Normal"/>
    <w:link w:val="CaptionChar"/>
    <w:qFormat/>
    <w:rsid w:val="00EC55C2"/>
    <w:pPr>
      <w:spacing w:before="240"/>
      <w:ind w:firstLine="0"/>
      <w:jc w:val="center"/>
    </w:pPr>
    <w:rPr>
      <w:b/>
      <w:bCs/>
      <w:sz w:val="24"/>
      <w:szCs w:val="20"/>
    </w:rPr>
  </w:style>
  <w:style w:type="paragraph" w:customStyle="1" w:styleId="Equation">
    <w:name w:val="Equation"/>
    <w:basedOn w:val="Normal"/>
    <w:rsid w:val="00EC55C2"/>
    <w:pPr>
      <w:numPr>
        <w:numId w:val="2"/>
      </w:numPr>
      <w:spacing w:before="240" w:after="240" w:line="480" w:lineRule="auto"/>
    </w:pPr>
  </w:style>
  <w:style w:type="numbering" w:customStyle="1" w:styleId="StyleBulleted">
    <w:name w:val="Style Bulleted"/>
    <w:basedOn w:val="NoList"/>
    <w:rsid w:val="00EC55C2"/>
    <w:pPr>
      <w:numPr>
        <w:numId w:val="3"/>
      </w:numPr>
    </w:pPr>
  </w:style>
  <w:style w:type="character" w:customStyle="1" w:styleId="apple-style-span">
    <w:name w:val="apple-style-span"/>
    <w:basedOn w:val="DefaultParagraphFont"/>
    <w:rsid w:val="00EC55C2"/>
  </w:style>
  <w:style w:type="paragraph" w:customStyle="1" w:styleId="CharCharCharChar">
    <w:name w:val="Char Char Char Char"/>
    <w:basedOn w:val="Normal"/>
    <w:rsid w:val="00EC55C2"/>
    <w:pPr>
      <w:spacing w:after="160" w:line="240" w:lineRule="exact"/>
      <w:ind w:firstLine="0"/>
      <w:jc w:val="left"/>
    </w:pPr>
    <w:rPr>
      <w:rFonts w:ascii="Verdana" w:hAnsi="Verdana"/>
      <w:sz w:val="20"/>
      <w:szCs w:val="20"/>
    </w:rPr>
  </w:style>
  <w:style w:type="numbering" w:customStyle="1" w:styleId="StyleBulletedSymbolsymbolLeft05Hanging0251">
    <w:name w:val="Style Bulleted Symbol (symbol) Left:  0.5&quot; Hanging:  0.25&quot;1"/>
    <w:basedOn w:val="NoList"/>
    <w:rsid w:val="00EC55C2"/>
    <w:pPr>
      <w:numPr>
        <w:numId w:val="4"/>
      </w:numPr>
    </w:pPr>
  </w:style>
  <w:style w:type="paragraph" w:styleId="DocumentMap">
    <w:name w:val="Document Map"/>
    <w:basedOn w:val="Normal"/>
    <w:link w:val="DocumentMapChar"/>
    <w:semiHidden/>
    <w:rsid w:val="00EC5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C55C2"/>
    <w:rPr>
      <w:rFonts w:ascii="Tahoma" w:eastAsia="Times New Roman" w:hAnsi="Tahoma" w:cs="Tahoma"/>
      <w:sz w:val="20"/>
      <w:szCs w:val="20"/>
      <w:shd w:val="clear" w:color="auto" w:fill="000080"/>
    </w:rPr>
  </w:style>
  <w:style w:type="paragraph" w:customStyle="1" w:styleId="StyleHeading3TimesNewRoman14ptAfter12pt">
    <w:name w:val="Style Heading 3 + Times New Roman 14 pt After:  12 pt"/>
    <w:basedOn w:val="Heading3"/>
    <w:rsid w:val="00EC55C2"/>
    <w:pPr>
      <w:numPr>
        <w:ilvl w:val="0"/>
        <w:numId w:val="0"/>
      </w:numPr>
      <w:tabs>
        <w:tab w:val="num" w:pos="1080"/>
      </w:tabs>
      <w:spacing w:after="240"/>
      <w:ind w:left="1080" w:hanging="360"/>
    </w:pPr>
    <w:rPr>
      <w:rFonts w:cs="Times New Roman"/>
      <w:szCs w:val="20"/>
    </w:rPr>
  </w:style>
  <w:style w:type="table" w:styleId="TableList3">
    <w:name w:val="Table List 3"/>
    <w:basedOn w:val="TableNormal"/>
    <w:rsid w:val="00EC55C2"/>
    <w:pPr>
      <w:spacing w:after="0" w:line="240" w:lineRule="auto"/>
      <w:jc w:val="both"/>
    </w:pPr>
    <w:rPr>
      <w:rFonts w:ascii="Times New Roman" w:eastAsia="Times New Roman" w:hAnsi="Times New Roman" w:cs="Times New Roman"/>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ageNumber">
    <w:name w:val="page number"/>
    <w:basedOn w:val="DefaultParagraphFont"/>
    <w:rsid w:val="00EC55C2"/>
  </w:style>
  <w:style w:type="paragraph" w:customStyle="1" w:styleId="Char">
    <w:name w:val="Char"/>
    <w:basedOn w:val="Normal"/>
    <w:rsid w:val="00EC55C2"/>
    <w:pPr>
      <w:pageBreakBefore/>
      <w:spacing w:before="100" w:beforeAutospacing="1" w:after="100" w:afterAutospacing="1"/>
      <w:ind w:firstLine="0"/>
      <w:jc w:val="left"/>
    </w:pPr>
    <w:rPr>
      <w:rFonts w:ascii="Tahoma" w:hAnsi="Tahoma" w:cs="Tahoma"/>
      <w:sz w:val="20"/>
      <w:szCs w:val="20"/>
    </w:rPr>
  </w:style>
  <w:style w:type="paragraph" w:styleId="EndnoteText">
    <w:name w:val="endnote text"/>
    <w:basedOn w:val="Normal"/>
    <w:link w:val="EndnoteTextChar"/>
    <w:semiHidden/>
    <w:rsid w:val="00EC55C2"/>
    <w:rPr>
      <w:sz w:val="20"/>
      <w:szCs w:val="20"/>
    </w:rPr>
  </w:style>
  <w:style w:type="character" w:customStyle="1" w:styleId="EndnoteTextChar">
    <w:name w:val="Endnote Text Char"/>
    <w:basedOn w:val="DefaultParagraphFont"/>
    <w:link w:val="EndnoteText"/>
    <w:semiHidden/>
    <w:rsid w:val="00EC55C2"/>
    <w:rPr>
      <w:rFonts w:ascii="Times New Roman" w:eastAsia="Times New Roman" w:hAnsi="Times New Roman" w:cs="Times New Roman"/>
      <w:sz w:val="20"/>
      <w:szCs w:val="20"/>
    </w:rPr>
  </w:style>
  <w:style w:type="character" w:styleId="EndnoteReference">
    <w:name w:val="endnote reference"/>
    <w:basedOn w:val="DefaultParagraphFont"/>
    <w:semiHidden/>
    <w:rsid w:val="00EC55C2"/>
    <w:rPr>
      <w:vertAlign w:val="superscript"/>
    </w:rPr>
  </w:style>
  <w:style w:type="numbering" w:customStyle="1" w:styleId="StyleBulletedSymbolsymbolLeft025Hanging025">
    <w:name w:val="Style Bulleted Symbol (symbol) Left:  0.25&quot; Hanging:  0.25&quot;"/>
    <w:basedOn w:val="NoList"/>
    <w:rsid w:val="00EC55C2"/>
    <w:pPr>
      <w:numPr>
        <w:numId w:val="5"/>
      </w:numPr>
    </w:pPr>
  </w:style>
  <w:style w:type="character" w:customStyle="1" w:styleId="CaptionChar">
    <w:name w:val="Caption Char"/>
    <w:basedOn w:val="DefaultParagraphFont"/>
    <w:link w:val="Caption"/>
    <w:rsid w:val="00EC55C2"/>
    <w:rPr>
      <w:rFonts w:ascii="Times New Roman" w:eastAsia="Times New Roman" w:hAnsi="Times New Roman" w:cs="Times New Roman"/>
      <w:b/>
      <w:bCs/>
      <w:sz w:val="24"/>
      <w:szCs w:val="20"/>
    </w:rPr>
  </w:style>
  <w:style w:type="paragraph" w:styleId="TOC1">
    <w:name w:val="toc 1"/>
    <w:basedOn w:val="Normal"/>
    <w:next w:val="Normal"/>
    <w:rsid w:val="00EC55C2"/>
    <w:pPr>
      <w:spacing w:after="0"/>
      <w:ind w:firstLine="0"/>
      <w:jc w:val="left"/>
    </w:pPr>
    <w:rPr>
      <w:bCs/>
      <w:caps/>
      <w:sz w:val="20"/>
      <w:szCs w:val="20"/>
    </w:rPr>
  </w:style>
  <w:style w:type="paragraph" w:styleId="TOC2">
    <w:name w:val="toc 2"/>
    <w:basedOn w:val="Normal"/>
    <w:next w:val="Normal"/>
    <w:autoRedefine/>
    <w:rsid w:val="00EC55C2"/>
    <w:pPr>
      <w:spacing w:after="0"/>
      <w:ind w:left="280"/>
      <w:jc w:val="left"/>
    </w:pPr>
    <w:rPr>
      <w:smallCaps/>
      <w:sz w:val="20"/>
      <w:szCs w:val="20"/>
    </w:rPr>
  </w:style>
  <w:style w:type="paragraph" w:styleId="TOC3">
    <w:name w:val="toc 3"/>
    <w:basedOn w:val="Normal"/>
    <w:next w:val="Normal"/>
    <w:autoRedefine/>
    <w:rsid w:val="00EC55C2"/>
    <w:pPr>
      <w:spacing w:after="0"/>
      <w:ind w:left="560"/>
      <w:jc w:val="left"/>
    </w:pPr>
    <w:rPr>
      <w:i/>
      <w:iCs/>
      <w:sz w:val="20"/>
      <w:szCs w:val="20"/>
    </w:rPr>
  </w:style>
  <w:style w:type="paragraph" w:styleId="TOC4">
    <w:name w:val="toc 4"/>
    <w:basedOn w:val="Normal"/>
    <w:next w:val="Normal"/>
    <w:autoRedefine/>
    <w:semiHidden/>
    <w:rsid w:val="00EC55C2"/>
    <w:pPr>
      <w:spacing w:after="0"/>
      <w:ind w:left="840"/>
      <w:jc w:val="left"/>
    </w:pPr>
    <w:rPr>
      <w:sz w:val="18"/>
      <w:szCs w:val="18"/>
    </w:rPr>
  </w:style>
  <w:style w:type="paragraph" w:styleId="TOC5">
    <w:name w:val="toc 5"/>
    <w:basedOn w:val="Normal"/>
    <w:next w:val="Normal"/>
    <w:autoRedefine/>
    <w:semiHidden/>
    <w:rsid w:val="00EC55C2"/>
    <w:pPr>
      <w:spacing w:after="0"/>
      <w:ind w:left="1120"/>
      <w:jc w:val="left"/>
    </w:pPr>
    <w:rPr>
      <w:sz w:val="18"/>
      <w:szCs w:val="18"/>
    </w:rPr>
  </w:style>
  <w:style w:type="paragraph" w:styleId="TOC6">
    <w:name w:val="toc 6"/>
    <w:basedOn w:val="Normal"/>
    <w:next w:val="Normal"/>
    <w:autoRedefine/>
    <w:semiHidden/>
    <w:rsid w:val="00EC55C2"/>
    <w:pPr>
      <w:spacing w:after="0"/>
      <w:ind w:left="1400"/>
      <w:jc w:val="left"/>
    </w:pPr>
    <w:rPr>
      <w:sz w:val="18"/>
      <w:szCs w:val="18"/>
    </w:rPr>
  </w:style>
  <w:style w:type="paragraph" w:styleId="TOC7">
    <w:name w:val="toc 7"/>
    <w:basedOn w:val="Normal"/>
    <w:next w:val="Normal"/>
    <w:autoRedefine/>
    <w:semiHidden/>
    <w:rsid w:val="00EC55C2"/>
    <w:pPr>
      <w:spacing w:after="0"/>
      <w:ind w:left="1680"/>
      <w:jc w:val="left"/>
    </w:pPr>
    <w:rPr>
      <w:sz w:val="18"/>
      <w:szCs w:val="18"/>
    </w:rPr>
  </w:style>
  <w:style w:type="paragraph" w:styleId="TOC8">
    <w:name w:val="toc 8"/>
    <w:basedOn w:val="Normal"/>
    <w:next w:val="Normal"/>
    <w:autoRedefine/>
    <w:semiHidden/>
    <w:rsid w:val="00EC55C2"/>
    <w:pPr>
      <w:spacing w:after="0"/>
      <w:ind w:left="1960"/>
      <w:jc w:val="left"/>
    </w:pPr>
    <w:rPr>
      <w:sz w:val="18"/>
      <w:szCs w:val="18"/>
    </w:rPr>
  </w:style>
  <w:style w:type="paragraph" w:styleId="TOC9">
    <w:name w:val="toc 9"/>
    <w:basedOn w:val="Normal"/>
    <w:next w:val="Normal"/>
    <w:autoRedefine/>
    <w:semiHidden/>
    <w:rsid w:val="00EC55C2"/>
    <w:pPr>
      <w:spacing w:after="0"/>
      <w:ind w:left="2240"/>
      <w:jc w:val="left"/>
    </w:pPr>
    <w:rPr>
      <w:sz w:val="18"/>
      <w:szCs w:val="18"/>
    </w:rPr>
  </w:style>
  <w:style w:type="numbering" w:customStyle="1" w:styleId="StyleOutlinenumberedCourierNewLeft075Hanging025">
    <w:name w:val="Style Outline numbered Courier New Left:  0.75&quot; Hanging:  0.25&quot;"/>
    <w:basedOn w:val="NoList"/>
    <w:rsid w:val="00EC55C2"/>
    <w:pPr>
      <w:numPr>
        <w:numId w:val="6"/>
      </w:numPr>
    </w:pPr>
  </w:style>
  <w:style w:type="character" w:customStyle="1" w:styleId="Heading5Char">
    <w:name w:val="Heading 5 Char"/>
    <w:basedOn w:val="DefaultParagraphFont"/>
    <w:link w:val="Heading5"/>
    <w:rsid w:val="00B71E8D"/>
    <w:rPr>
      <w:rFonts w:ascii="Times New Roman" w:eastAsia="Batang" w:hAnsi="Times New Roman" w:cs="Times New Roman"/>
      <w:b/>
      <w:i/>
      <w:sz w:val="28"/>
      <w:szCs w:val="20"/>
    </w:rPr>
  </w:style>
  <w:style w:type="character" w:customStyle="1" w:styleId="Heading6Char">
    <w:name w:val="Heading 6 Char"/>
    <w:basedOn w:val="DefaultParagraphFont"/>
    <w:link w:val="Heading6"/>
    <w:rsid w:val="00B71E8D"/>
    <w:rPr>
      <w:rFonts w:ascii="Times New Roman" w:eastAsia="Batang" w:hAnsi="Times New Roman" w:cs="Times New Roman"/>
      <w:b/>
      <w:sz w:val="28"/>
      <w:szCs w:val="24"/>
    </w:rPr>
  </w:style>
  <w:style w:type="character" w:customStyle="1" w:styleId="Heading7Char">
    <w:name w:val="Heading 7 Char"/>
    <w:basedOn w:val="DefaultParagraphFont"/>
    <w:link w:val="Heading7"/>
    <w:rsid w:val="00B71E8D"/>
    <w:rPr>
      <w:rFonts w:ascii=".VnTime" w:eastAsia="Batang" w:hAnsi=".VnTime" w:cs="Times New Roman"/>
      <w:b/>
      <w:sz w:val="20"/>
      <w:szCs w:val="20"/>
    </w:rPr>
  </w:style>
  <w:style w:type="character" w:customStyle="1" w:styleId="Heading8Char">
    <w:name w:val="Heading 8 Char"/>
    <w:basedOn w:val="DefaultParagraphFont"/>
    <w:link w:val="Heading8"/>
    <w:rsid w:val="00B71E8D"/>
    <w:rPr>
      <w:rFonts w:ascii=".VnTime" w:eastAsia="Times New Roman" w:hAnsi=".VnTime" w:cs="Times New Roman"/>
      <w:b/>
      <w:i/>
      <w:sz w:val="28"/>
      <w:szCs w:val="20"/>
    </w:rPr>
  </w:style>
  <w:style w:type="character" w:customStyle="1" w:styleId="Heading9Char">
    <w:name w:val="Heading 9 Char"/>
    <w:basedOn w:val="DefaultParagraphFont"/>
    <w:link w:val="Heading9"/>
    <w:rsid w:val="00B71E8D"/>
    <w:rPr>
      <w:rFonts w:ascii="Arial" w:eastAsia="Batang" w:hAnsi="Arial" w:cs="Arial"/>
    </w:rPr>
  </w:style>
  <w:style w:type="paragraph" w:customStyle="1" w:styleId="Style12ptBoldBlackAfter0pt">
    <w:name w:val="Style 12 pt Bold Black After:  0 pt"/>
    <w:basedOn w:val="Normal"/>
    <w:uiPriority w:val="99"/>
    <w:rsid w:val="00B71E8D"/>
    <w:pPr>
      <w:spacing w:after="0"/>
      <w:ind w:firstLine="0"/>
    </w:pPr>
    <w:rPr>
      <w:b/>
      <w:bCs/>
      <w:color w:val="000000"/>
    </w:rPr>
  </w:style>
  <w:style w:type="character" w:styleId="CommentReference">
    <w:name w:val="annotation reference"/>
    <w:basedOn w:val="DefaultParagraphFont"/>
    <w:semiHidden/>
    <w:rsid w:val="00B71E8D"/>
    <w:rPr>
      <w:sz w:val="16"/>
      <w:szCs w:val="16"/>
    </w:rPr>
  </w:style>
  <w:style w:type="paragraph" w:styleId="CommentText">
    <w:name w:val="annotation text"/>
    <w:basedOn w:val="Normal"/>
    <w:link w:val="CommentTextChar"/>
    <w:semiHidden/>
    <w:rsid w:val="00B71E8D"/>
    <w:pPr>
      <w:ind w:firstLine="360"/>
    </w:pPr>
    <w:rPr>
      <w:sz w:val="20"/>
      <w:szCs w:val="20"/>
    </w:rPr>
  </w:style>
  <w:style w:type="character" w:customStyle="1" w:styleId="CommentTextChar">
    <w:name w:val="Comment Text Char"/>
    <w:basedOn w:val="DefaultParagraphFont"/>
    <w:link w:val="CommentText"/>
    <w:semiHidden/>
    <w:rsid w:val="00B7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1E8D"/>
    <w:rPr>
      <w:b/>
      <w:bCs/>
    </w:rPr>
  </w:style>
  <w:style w:type="character" w:customStyle="1" w:styleId="CommentSubjectChar">
    <w:name w:val="Comment Subject Char"/>
    <w:basedOn w:val="CommentTextChar"/>
    <w:link w:val="CommentSubject"/>
    <w:uiPriority w:val="99"/>
    <w:semiHidden/>
    <w:rsid w:val="00B71E8D"/>
    <w:rPr>
      <w:rFonts w:ascii="Times New Roman" w:eastAsia="Times New Roman" w:hAnsi="Times New Roman" w:cs="Times New Roman"/>
      <w:b/>
      <w:bCs/>
      <w:sz w:val="20"/>
      <w:szCs w:val="20"/>
    </w:rPr>
  </w:style>
  <w:style w:type="paragraph" w:styleId="Revision">
    <w:name w:val="Revision"/>
    <w:hidden/>
    <w:uiPriority w:val="99"/>
    <w:semiHidden/>
    <w:rsid w:val="00B71E8D"/>
    <w:pPr>
      <w:spacing w:after="0" w:line="240" w:lineRule="auto"/>
    </w:pPr>
    <w:rPr>
      <w:rFonts w:ascii="Times New Roman" w:eastAsia="Times New Roman" w:hAnsi="Times New Roman" w:cs="Times New Roman"/>
      <w:sz w:val="28"/>
      <w:szCs w:val="28"/>
    </w:rPr>
  </w:style>
  <w:style w:type="paragraph" w:customStyle="1" w:styleId="CharCharCharChar8">
    <w:name w:val="Char Char Char Char8"/>
    <w:basedOn w:val="Normal"/>
    <w:uiPriority w:val="99"/>
    <w:rsid w:val="00B71E8D"/>
    <w:pPr>
      <w:spacing w:after="160" w:line="240" w:lineRule="exact"/>
      <w:ind w:firstLine="0"/>
      <w:jc w:val="left"/>
    </w:pPr>
    <w:rPr>
      <w:rFonts w:ascii="Verdana" w:hAnsi="Verdana" w:cs="Verdana"/>
      <w:sz w:val="20"/>
      <w:szCs w:val="20"/>
    </w:rPr>
  </w:style>
  <w:style w:type="paragraph" w:customStyle="1" w:styleId="Char8">
    <w:name w:val="Char8"/>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7">
    <w:name w:val="Char Char Char Char7"/>
    <w:basedOn w:val="Normal"/>
    <w:uiPriority w:val="99"/>
    <w:rsid w:val="00B71E8D"/>
    <w:pPr>
      <w:spacing w:after="160" w:line="240" w:lineRule="exact"/>
      <w:ind w:firstLine="0"/>
      <w:jc w:val="left"/>
    </w:pPr>
    <w:rPr>
      <w:rFonts w:ascii="Verdana" w:hAnsi="Verdana" w:cs="Verdana"/>
      <w:sz w:val="20"/>
      <w:szCs w:val="20"/>
    </w:rPr>
  </w:style>
  <w:style w:type="paragraph" w:customStyle="1" w:styleId="Char7">
    <w:name w:val="Char7"/>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6">
    <w:name w:val="Char Char Char Char6"/>
    <w:basedOn w:val="Normal"/>
    <w:uiPriority w:val="99"/>
    <w:rsid w:val="00B71E8D"/>
    <w:pPr>
      <w:spacing w:after="160" w:line="240" w:lineRule="exact"/>
      <w:ind w:firstLine="0"/>
      <w:jc w:val="left"/>
    </w:pPr>
    <w:rPr>
      <w:rFonts w:ascii="Verdana" w:hAnsi="Verdana" w:cs="Verdana"/>
      <w:sz w:val="20"/>
      <w:szCs w:val="20"/>
    </w:rPr>
  </w:style>
  <w:style w:type="paragraph" w:customStyle="1" w:styleId="Char6">
    <w:name w:val="Char6"/>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5">
    <w:name w:val="Char Char Char Char5"/>
    <w:basedOn w:val="Normal"/>
    <w:uiPriority w:val="99"/>
    <w:rsid w:val="00B71E8D"/>
    <w:pPr>
      <w:spacing w:after="160" w:line="240" w:lineRule="exact"/>
      <w:ind w:firstLine="0"/>
      <w:jc w:val="left"/>
    </w:pPr>
    <w:rPr>
      <w:rFonts w:ascii="Verdana" w:hAnsi="Verdana" w:cs="Verdana"/>
      <w:sz w:val="20"/>
      <w:szCs w:val="20"/>
    </w:rPr>
  </w:style>
  <w:style w:type="paragraph" w:customStyle="1" w:styleId="Char5">
    <w:name w:val="Char5"/>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4">
    <w:name w:val="Char Char Char Char4"/>
    <w:basedOn w:val="Normal"/>
    <w:uiPriority w:val="99"/>
    <w:rsid w:val="00B71E8D"/>
    <w:pPr>
      <w:spacing w:after="160" w:line="240" w:lineRule="exact"/>
      <w:ind w:firstLine="0"/>
      <w:jc w:val="left"/>
    </w:pPr>
    <w:rPr>
      <w:rFonts w:ascii="Verdana" w:hAnsi="Verdana" w:cs="Verdana"/>
      <w:sz w:val="20"/>
      <w:szCs w:val="20"/>
    </w:rPr>
  </w:style>
  <w:style w:type="paragraph" w:customStyle="1" w:styleId="Char4">
    <w:name w:val="Char4"/>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3">
    <w:name w:val="Char Char Char Char3"/>
    <w:basedOn w:val="Normal"/>
    <w:uiPriority w:val="99"/>
    <w:rsid w:val="00B71E8D"/>
    <w:pPr>
      <w:spacing w:after="160" w:line="240" w:lineRule="exact"/>
      <w:ind w:firstLine="0"/>
      <w:jc w:val="left"/>
    </w:pPr>
    <w:rPr>
      <w:rFonts w:ascii="Verdana" w:hAnsi="Verdana" w:cs="Verdana"/>
      <w:sz w:val="20"/>
      <w:szCs w:val="20"/>
    </w:rPr>
  </w:style>
  <w:style w:type="paragraph" w:customStyle="1" w:styleId="Char3">
    <w:name w:val="Char3"/>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2">
    <w:name w:val="Char Char Char Char2"/>
    <w:basedOn w:val="Normal"/>
    <w:uiPriority w:val="99"/>
    <w:rsid w:val="00B71E8D"/>
    <w:pPr>
      <w:spacing w:after="160" w:line="240" w:lineRule="exact"/>
      <w:ind w:firstLine="0"/>
      <w:jc w:val="left"/>
    </w:pPr>
    <w:rPr>
      <w:rFonts w:ascii="Verdana" w:hAnsi="Verdana" w:cs="Verdana"/>
      <w:sz w:val="20"/>
      <w:szCs w:val="20"/>
    </w:rPr>
  </w:style>
  <w:style w:type="paragraph" w:customStyle="1" w:styleId="Char2">
    <w:name w:val="Char2"/>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1">
    <w:name w:val="Char Char Char Char1"/>
    <w:basedOn w:val="Normal"/>
    <w:uiPriority w:val="99"/>
    <w:rsid w:val="00B71E8D"/>
    <w:pPr>
      <w:spacing w:after="160" w:line="240" w:lineRule="exact"/>
      <w:ind w:firstLine="0"/>
      <w:jc w:val="left"/>
    </w:pPr>
    <w:rPr>
      <w:rFonts w:ascii="Verdana" w:hAnsi="Verdana" w:cs="Verdana"/>
      <w:sz w:val="20"/>
      <w:szCs w:val="20"/>
    </w:rPr>
  </w:style>
  <w:style w:type="paragraph" w:customStyle="1" w:styleId="Char1">
    <w:name w:val="Char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9">
    <w:name w:val="Char9"/>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character" w:customStyle="1" w:styleId="NormalWebChar">
    <w:name w:val="Normal (Web) Char"/>
    <w:basedOn w:val="DefaultParagraphFont"/>
    <w:link w:val="NormalWeb"/>
    <w:uiPriority w:val="99"/>
    <w:locked/>
    <w:rsid w:val="00B71E8D"/>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71E8D"/>
    <w:rPr>
      <w:rFonts w:cs="Times New Roman"/>
    </w:rPr>
  </w:style>
  <w:style w:type="character" w:customStyle="1" w:styleId="agri-box-news3-main-desc1">
    <w:name w:val="agri-box-news3-main-desc1"/>
    <w:basedOn w:val="DefaultParagraphFont"/>
    <w:uiPriority w:val="99"/>
    <w:rsid w:val="00B71E8D"/>
    <w:rPr>
      <w:rFonts w:ascii="Times New Roman" w:hAnsi="Times New Roman" w:cs="Times New Roman"/>
      <w:b/>
      <w:bCs/>
      <w:color w:val="5E5D5D"/>
      <w:sz w:val="21"/>
      <w:szCs w:val="21"/>
    </w:rPr>
  </w:style>
  <w:style w:type="paragraph" w:customStyle="1" w:styleId="titlenewdetail">
    <w:name w:val="titlenewdetail"/>
    <w:basedOn w:val="Normal"/>
    <w:uiPriority w:val="99"/>
    <w:rsid w:val="00B71E8D"/>
    <w:pPr>
      <w:spacing w:after="0" w:line="268" w:lineRule="atLeast"/>
      <w:ind w:firstLine="0"/>
      <w:jc w:val="left"/>
    </w:pPr>
    <w:rPr>
      <w:b/>
      <w:bCs/>
      <w:sz w:val="27"/>
      <w:szCs w:val="27"/>
    </w:rPr>
  </w:style>
  <w:style w:type="paragraph" w:customStyle="1" w:styleId="CharCharCharChar9">
    <w:name w:val="Char Char Char Char9"/>
    <w:basedOn w:val="Normal"/>
    <w:uiPriority w:val="99"/>
    <w:rsid w:val="00B71E8D"/>
    <w:pPr>
      <w:spacing w:after="160" w:line="240" w:lineRule="exact"/>
      <w:ind w:firstLine="0"/>
      <w:jc w:val="left"/>
    </w:pPr>
    <w:rPr>
      <w:rFonts w:ascii="Verdana" w:hAnsi="Verdana"/>
      <w:sz w:val="20"/>
      <w:szCs w:val="20"/>
    </w:rPr>
  </w:style>
  <w:style w:type="paragraph" w:customStyle="1" w:styleId="Char10">
    <w:name w:val="Char10"/>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11">
    <w:name w:val="Char1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71E8D"/>
    <w:pPr>
      <w:pageBreakBefore/>
      <w:spacing w:before="100" w:beforeAutospacing="1" w:after="100" w:afterAutospacing="1"/>
      <w:ind w:firstLine="0"/>
      <w:jc w:val="left"/>
    </w:pPr>
    <w:rPr>
      <w:rFonts w:ascii="Tahoma" w:hAnsi="Tahoma"/>
      <w:sz w:val="20"/>
      <w:szCs w:val="20"/>
    </w:rPr>
  </w:style>
  <w:style w:type="paragraph" w:styleId="BodyTextIndent">
    <w:name w:val="Body Text Indent"/>
    <w:basedOn w:val="Normal"/>
    <w:link w:val="BodyTextIndentChar"/>
    <w:uiPriority w:val="99"/>
    <w:semiHidden/>
    <w:rsid w:val="00B71E8D"/>
    <w:pPr>
      <w:ind w:left="360"/>
    </w:pPr>
  </w:style>
  <w:style w:type="character" w:customStyle="1" w:styleId="BodyTextIndentChar">
    <w:name w:val="Body Text Indent Char"/>
    <w:basedOn w:val="DefaultParagraphFont"/>
    <w:link w:val="BodyTextIndent"/>
    <w:uiPriority w:val="99"/>
    <w:semiHidden/>
    <w:rsid w:val="00B71E8D"/>
    <w:rPr>
      <w:rFonts w:ascii="Times New Roman" w:eastAsia="Times New Roman" w:hAnsi="Times New Roman" w:cs="Times New Roman"/>
      <w:sz w:val="24"/>
      <w:szCs w:val="24"/>
    </w:rPr>
  </w:style>
  <w:style w:type="paragraph" w:styleId="ListBullet">
    <w:name w:val="List Bullet"/>
    <w:basedOn w:val="Normal"/>
    <w:rsid w:val="00B71E8D"/>
    <w:pPr>
      <w:numPr>
        <w:numId w:val="8"/>
      </w:numPr>
    </w:pPr>
  </w:style>
  <w:style w:type="paragraph" w:styleId="Index1">
    <w:name w:val="index 1"/>
    <w:basedOn w:val="Normal"/>
    <w:next w:val="Normal"/>
    <w:autoRedefine/>
    <w:semiHidden/>
    <w:rsid w:val="00B71E8D"/>
    <w:pPr>
      <w:spacing w:after="0"/>
      <w:ind w:left="280" w:hanging="280"/>
      <w:jc w:val="left"/>
    </w:pPr>
    <w:rPr>
      <w:sz w:val="18"/>
      <w:szCs w:val="18"/>
    </w:rPr>
  </w:style>
  <w:style w:type="paragraph" w:styleId="Index2">
    <w:name w:val="index 2"/>
    <w:basedOn w:val="Normal"/>
    <w:next w:val="Normal"/>
    <w:autoRedefine/>
    <w:semiHidden/>
    <w:rsid w:val="00B71E8D"/>
    <w:pPr>
      <w:spacing w:after="0"/>
      <w:ind w:left="560" w:hanging="280"/>
      <w:jc w:val="left"/>
    </w:pPr>
    <w:rPr>
      <w:sz w:val="18"/>
      <w:szCs w:val="18"/>
    </w:rPr>
  </w:style>
  <w:style w:type="paragraph" w:styleId="Index3">
    <w:name w:val="index 3"/>
    <w:basedOn w:val="Normal"/>
    <w:next w:val="Normal"/>
    <w:autoRedefine/>
    <w:semiHidden/>
    <w:rsid w:val="00B71E8D"/>
    <w:pPr>
      <w:spacing w:after="0"/>
      <w:ind w:left="840" w:hanging="280"/>
      <w:jc w:val="left"/>
    </w:pPr>
    <w:rPr>
      <w:sz w:val="18"/>
      <w:szCs w:val="18"/>
    </w:rPr>
  </w:style>
  <w:style w:type="paragraph" w:styleId="Index4">
    <w:name w:val="index 4"/>
    <w:basedOn w:val="Normal"/>
    <w:next w:val="Normal"/>
    <w:autoRedefine/>
    <w:semiHidden/>
    <w:rsid w:val="00B71E8D"/>
    <w:pPr>
      <w:spacing w:after="0"/>
      <w:ind w:left="1120" w:hanging="280"/>
      <w:jc w:val="left"/>
    </w:pPr>
    <w:rPr>
      <w:sz w:val="18"/>
      <w:szCs w:val="18"/>
    </w:rPr>
  </w:style>
  <w:style w:type="paragraph" w:styleId="Index5">
    <w:name w:val="index 5"/>
    <w:basedOn w:val="Normal"/>
    <w:next w:val="Normal"/>
    <w:autoRedefine/>
    <w:semiHidden/>
    <w:rsid w:val="00B71E8D"/>
    <w:pPr>
      <w:spacing w:after="0"/>
      <w:ind w:left="1400" w:hanging="280"/>
      <w:jc w:val="left"/>
    </w:pPr>
    <w:rPr>
      <w:sz w:val="18"/>
      <w:szCs w:val="18"/>
    </w:rPr>
  </w:style>
  <w:style w:type="paragraph" w:styleId="Index6">
    <w:name w:val="index 6"/>
    <w:basedOn w:val="Normal"/>
    <w:next w:val="Normal"/>
    <w:autoRedefine/>
    <w:semiHidden/>
    <w:rsid w:val="00B71E8D"/>
    <w:pPr>
      <w:spacing w:after="0"/>
      <w:ind w:left="1680" w:hanging="280"/>
      <w:jc w:val="left"/>
    </w:pPr>
    <w:rPr>
      <w:sz w:val="18"/>
      <w:szCs w:val="18"/>
    </w:rPr>
  </w:style>
  <w:style w:type="paragraph" w:styleId="Index7">
    <w:name w:val="index 7"/>
    <w:basedOn w:val="Normal"/>
    <w:next w:val="Normal"/>
    <w:autoRedefine/>
    <w:semiHidden/>
    <w:rsid w:val="00B71E8D"/>
    <w:pPr>
      <w:spacing w:after="0"/>
      <w:ind w:left="1960" w:hanging="280"/>
      <w:jc w:val="left"/>
    </w:pPr>
    <w:rPr>
      <w:sz w:val="18"/>
      <w:szCs w:val="18"/>
    </w:rPr>
  </w:style>
  <w:style w:type="paragraph" w:styleId="Index8">
    <w:name w:val="index 8"/>
    <w:basedOn w:val="Normal"/>
    <w:next w:val="Normal"/>
    <w:autoRedefine/>
    <w:semiHidden/>
    <w:rsid w:val="00B71E8D"/>
    <w:pPr>
      <w:spacing w:after="0"/>
      <w:ind w:left="2240" w:hanging="280"/>
      <w:jc w:val="left"/>
    </w:pPr>
    <w:rPr>
      <w:sz w:val="18"/>
      <w:szCs w:val="18"/>
    </w:rPr>
  </w:style>
  <w:style w:type="paragraph" w:styleId="Index9">
    <w:name w:val="index 9"/>
    <w:basedOn w:val="Normal"/>
    <w:next w:val="Normal"/>
    <w:autoRedefine/>
    <w:semiHidden/>
    <w:rsid w:val="00B71E8D"/>
    <w:pPr>
      <w:spacing w:after="0"/>
      <w:ind w:left="2520" w:hanging="280"/>
      <w:jc w:val="left"/>
    </w:pPr>
    <w:rPr>
      <w:sz w:val="18"/>
      <w:szCs w:val="18"/>
    </w:rPr>
  </w:style>
  <w:style w:type="paragraph" w:styleId="IndexHeading">
    <w:name w:val="index heading"/>
    <w:basedOn w:val="Normal"/>
    <w:next w:val="Index1"/>
    <w:semiHidden/>
    <w:rsid w:val="00B71E8D"/>
    <w:pPr>
      <w:spacing w:before="240"/>
      <w:jc w:val="center"/>
    </w:pPr>
    <w:rPr>
      <w:b/>
      <w:bCs/>
      <w:sz w:val="26"/>
      <w:szCs w:val="26"/>
    </w:rPr>
  </w:style>
  <w:style w:type="numbering" w:customStyle="1" w:styleId="StyleBulletedSymbolsymbolLeft025Hanging0251">
    <w:name w:val="Style Bulleted Symbol (symbol) Left:  0.25&quot; Hanging:  0.25&quot;1"/>
    <w:basedOn w:val="NoList"/>
    <w:rsid w:val="00B71E8D"/>
    <w:pPr>
      <w:numPr>
        <w:numId w:val="9"/>
      </w:numPr>
    </w:pPr>
  </w:style>
  <w:style w:type="paragraph" w:customStyle="1" w:styleId="Style1">
    <w:name w:val="Style1"/>
    <w:basedOn w:val="Figure"/>
    <w:rsid w:val="00B71E8D"/>
    <w:pPr>
      <w:numPr>
        <w:numId w:val="0"/>
      </w:numPr>
      <w:tabs>
        <w:tab w:val="num" w:pos="1080"/>
      </w:tabs>
      <w:ind w:left="1080" w:hanging="360"/>
    </w:pPr>
  </w:style>
  <w:style w:type="paragraph" w:styleId="TOCHeading">
    <w:name w:val="TOC Heading"/>
    <w:basedOn w:val="Heading1"/>
    <w:next w:val="Normal"/>
    <w:uiPriority w:val="39"/>
    <w:unhideWhenUsed/>
    <w:qFormat/>
    <w:rsid w:val="00B71E8D"/>
    <w:pPr>
      <w:keepLines/>
      <w:numPr>
        <w:numId w:val="0"/>
      </w:numPr>
      <w:spacing w:before="480" w:after="0" w:line="276" w:lineRule="auto"/>
      <w:outlineLvl w:val="9"/>
    </w:pPr>
    <w:rPr>
      <w:rFonts w:ascii="Cambria" w:hAnsi="Cambria" w:cs="Times New Roman"/>
      <w:color w:val="365F91"/>
      <w:kern w:val="0"/>
      <w:szCs w:val="28"/>
    </w:rPr>
  </w:style>
  <w:style w:type="paragraph" w:styleId="NoSpacing">
    <w:name w:val="No Spacing"/>
    <w:link w:val="NoSpacingChar"/>
    <w:uiPriority w:val="1"/>
    <w:qFormat/>
    <w:rsid w:val="00B71E8D"/>
    <w:pPr>
      <w:spacing w:after="0" w:line="240" w:lineRule="auto"/>
    </w:pPr>
  </w:style>
  <w:style w:type="character" w:customStyle="1" w:styleId="NoSpacingChar">
    <w:name w:val="No Spacing Char"/>
    <w:basedOn w:val="DefaultParagraphFont"/>
    <w:link w:val="NoSpacing"/>
    <w:uiPriority w:val="1"/>
    <w:rsid w:val="00B71E8D"/>
  </w:style>
  <w:style w:type="character" w:styleId="PlaceholderText">
    <w:name w:val="Placeholder Text"/>
    <w:basedOn w:val="DefaultParagraphFont"/>
    <w:uiPriority w:val="99"/>
    <w:semiHidden/>
    <w:rsid w:val="00B71E8D"/>
    <w:rPr>
      <w:color w:val="808080"/>
    </w:rPr>
  </w:style>
  <w:style w:type="numbering" w:customStyle="1" w:styleId="Style2">
    <w:name w:val="Style2"/>
    <w:uiPriority w:val="99"/>
    <w:rsid w:val="00B71E8D"/>
    <w:pPr>
      <w:numPr>
        <w:numId w:val="10"/>
      </w:numPr>
    </w:pPr>
  </w:style>
  <w:style w:type="paragraph" w:customStyle="1" w:styleId="MTDisplayEquation">
    <w:name w:val="MTDisplayEquation"/>
    <w:basedOn w:val="Normal"/>
    <w:next w:val="Normal"/>
    <w:link w:val="MTDisplayEquationChar"/>
    <w:rsid w:val="00B71E8D"/>
    <w:pPr>
      <w:tabs>
        <w:tab w:val="center" w:pos="4520"/>
        <w:tab w:val="right" w:pos="9020"/>
      </w:tabs>
      <w:spacing w:after="0" w:line="336" w:lineRule="auto"/>
      <w:ind w:firstLine="0"/>
    </w:pPr>
  </w:style>
  <w:style w:type="character" w:customStyle="1" w:styleId="MTDisplayEquationChar">
    <w:name w:val="MTDisplayEquation Char"/>
    <w:basedOn w:val="DefaultParagraphFont"/>
    <w:link w:val="MTDisplayEquation"/>
    <w:rsid w:val="00B71E8D"/>
    <w:rPr>
      <w:rFonts w:ascii="Times New Roman" w:eastAsia="Times New Roman" w:hAnsi="Times New Roman" w:cs="Times New Roman"/>
      <w:sz w:val="24"/>
      <w:szCs w:val="24"/>
    </w:rPr>
  </w:style>
  <w:style w:type="paragraph" w:customStyle="1" w:styleId="sgtosupertitle">
    <w:name w:val="sgtosupertitle"/>
    <w:basedOn w:val="Normal"/>
    <w:rsid w:val="00B71E8D"/>
    <w:pPr>
      <w:spacing w:before="100" w:beforeAutospacing="1" w:after="100" w:afterAutospacing="1"/>
      <w:ind w:firstLine="0"/>
      <w:jc w:val="left"/>
    </w:pPr>
  </w:style>
  <w:style w:type="paragraph" w:customStyle="1" w:styleId="tim">
    <w:name w:val="tim"/>
    <w:basedOn w:val="NormalWeb"/>
    <w:rsid w:val="00386E01"/>
    <w:rPr>
      <w:sz w:val="24"/>
    </w:rPr>
  </w:style>
  <w:style w:type="table" w:styleId="LightGrid-Accent5">
    <w:name w:val="Light Grid Accent 5"/>
    <w:basedOn w:val="TableNormal"/>
    <w:uiPriority w:val="62"/>
    <w:rsid w:val="005926AC"/>
    <w:pPr>
      <w:spacing w:after="0" w:line="240" w:lineRule="auto"/>
    </w:pPr>
    <w:rPr>
      <w:rFonts w:ascii="Times New Roman" w:eastAsiaTheme="minorHAnsi" w:hAnsi="Times New Roman"/>
      <w:sz w:val="26"/>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A3F33"/>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1">
    <w:name w:val="Table Grid1"/>
    <w:basedOn w:val="TableNormal"/>
    <w:next w:val="TableGrid"/>
    <w:uiPriority w:val="59"/>
    <w:rsid w:val="00FF27B1"/>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91263"/>
    <w:rPr>
      <w:rFonts w:ascii="Times New Roman" w:eastAsia="Times New Roman" w:hAnsi="Times New Roman" w:cs="Times New Roman"/>
      <w:sz w:val="28"/>
      <w:szCs w:val="24"/>
    </w:rPr>
  </w:style>
  <w:style w:type="table" w:styleId="LightGrid-Accent6">
    <w:name w:val="Light Grid Accent 6"/>
    <w:basedOn w:val="TableNormal"/>
    <w:uiPriority w:val="62"/>
    <w:rsid w:val="00F17A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fftimenewsromanfs12pt1">
    <w:name w:val="ff_time_news_roman_fs_12pt1"/>
    <w:basedOn w:val="DefaultParagraphFont"/>
    <w:rsid w:val="00797469"/>
    <w:rPr>
      <w:rFonts w:ascii="Times New Roman" w:hAnsi="Times New Roman" w:cs="Times New Roman"/>
      <w:sz w:val="24"/>
      <w:szCs w:val="24"/>
      <w:shd w:val="clear" w:color="auto" w:fill="FFFFFF"/>
    </w:rPr>
  </w:style>
  <w:style w:type="table" w:customStyle="1" w:styleId="TableGrid2">
    <w:name w:val="Table Grid2"/>
    <w:basedOn w:val="TableNormal"/>
    <w:next w:val="TableGrid"/>
    <w:uiPriority w:val="59"/>
    <w:rsid w:val="00164B5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AF"/>
    <w:pPr>
      <w:spacing w:after="12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C55C2"/>
    <w:pPr>
      <w:keepNext/>
      <w:numPr>
        <w:numId w:val="7"/>
      </w:numPr>
      <w:spacing w:before="360" w:after="240"/>
      <w:jc w:val="left"/>
      <w:outlineLvl w:val="0"/>
    </w:pPr>
    <w:rPr>
      <w:rFonts w:cs="Arial"/>
      <w:b/>
      <w:bCs/>
      <w:kern w:val="32"/>
      <w:szCs w:val="32"/>
    </w:rPr>
  </w:style>
  <w:style w:type="paragraph" w:styleId="Heading2">
    <w:name w:val="heading 2"/>
    <w:basedOn w:val="Normal"/>
    <w:next w:val="Normal"/>
    <w:link w:val="Heading2Char"/>
    <w:qFormat/>
    <w:rsid w:val="00EC55C2"/>
    <w:pPr>
      <w:keepNext/>
      <w:numPr>
        <w:ilvl w:val="1"/>
        <w:numId w:val="7"/>
      </w:numPr>
      <w:spacing w:before="240" w:after="60"/>
      <w:outlineLvl w:val="1"/>
    </w:pPr>
    <w:rPr>
      <w:rFonts w:cs="Arial"/>
      <w:b/>
      <w:bCs/>
      <w:i/>
      <w:iCs/>
      <w:szCs w:val="28"/>
    </w:rPr>
  </w:style>
  <w:style w:type="paragraph" w:styleId="Heading3">
    <w:name w:val="heading 3"/>
    <w:basedOn w:val="Normal"/>
    <w:next w:val="Normal"/>
    <w:link w:val="Heading3Char"/>
    <w:qFormat/>
    <w:rsid w:val="00EC55C2"/>
    <w:pPr>
      <w:keepNext/>
      <w:numPr>
        <w:ilvl w:val="2"/>
        <w:numId w:val="7"/>
      </w:numPr>
      <w:tabs>
        <w:tab w:val="left" w:pos="360"/>
      </w:tabs>
      <w:spacing w:before="240" w:after="60"/>
      <w:outlineLvl w:val="2"/>
    </w:pPr>
    <w:rPr>
      <w:rFonts w:cs="Arial"/>
      <w:bCs/>
      <w:i/>
      <w:szCs w:val="26"/>
    </w:rPr>
  </w:style>
  <w:style w:type="paragraph" w:styleId="Heading4">
    <w:name w:val="heading 4"/>
    <w:basedOn w:val="Normal"/>
    <w:next w:val="Normal"/>
    <w:link w:val="Heading4Char"/>
    <w:rsid w:val="00EC55C2"/>
    <w:pPr>
      <w:keepNext/>
      <w:numPr>
        <w:ilvl w:val="3"/>
        <w:numId w:val="7"/>
      </w:numPr>
      <w:spacing w:before="240"/>
      <w:outlineLvl w:val="3"/>
    </w:pPr>
    <w:rPr>
      <w:bCs/>
      <w:i/>
      <w:szCs w:val="28"/>
    </w:rPr>
  </w:style>
  <w:style w:type="paragraph" w:styleId="Heading5">
    <w:name w:val="heading 5"/>
    <w:basedOn w:val="Normal"/>
    <w:next w:val="Normal"/>
    <w:link w:val="Heading5Char"/>
    <w:rsid w:val="00B71E8D"/>
    <w:pPr>
      <w:keepNext/>
      <w:numPr>
        <w:ilvl w:val="4"/>
        <w:numId w:val="11"/>
      </w:numPr>
      <w:tabs>
        <w:tab w:val="left" w:pos="360"/>
      </w:tabs>
      <w:spacing w:before="60" w:after="60"/>
      <w:jc w:val="left"/>
      <w:outlineLvl w:val="4"/>
    </w:pPr>
    <w:rPr>
      <w:rFonts w:eastAsia="Batang"/>
      <w:b/>
      <w:i/>
      <w:szCs w:val="20"/>
    </w:rPr>
  </w:style>
  <w:style w:type="paragraph" w:styleId="Heading6">
    <w:name w:val="heading 6"/>
    <w:basedOn w:val="Normal"/>
    <w:next w:val="Normal"/>
    <w:link w:val="Heading6Char"/>
    <w:rsid w:val="00B71E8D"/>
    <w:pPr>
      <w:keepNext/>
      <w:widowControl w:val="0"/>
      <w:numPr>
        <w:ilvl w:val="5"/>
        <w:numId w:val="11"/>
      </w:numPr>
      <w:spacing w:after="0"/>
      <w:jc w:val="center"/>
      <w:outlineLvl w:val="5"/>
    </w:pPr>
    <w:rPr>
      <w:rFonts w:eastAsia="Batang"/>
      <w:b/>
    </w:rPr>
  </w:style>
  <w:style w:type="paragraph" w:styleId="Heading7">
    <w:name w:val="heading 7"/>
    <w:basedOn w:val="Normal"/>
    <w:next w:val="Normal"/>
    <w:link w:val="Heading7Char"/>
    <w:rsid w:val="00B71E8D"/>
    <w:pPr>
      <w:keepNext/>
      <w:numPr>
        <w:ilvl w:val="6"/>
        <w:numId w:val="11"/>
      </w:numPr>
      <w:spacing w:after="0"/>
      <w:jc w:val="center"/>
      <w:outlineLvl w:val="6"/>
    </w:pPr>
    <w:rPr>
      <w:rFonts w:ascii=".VnTime" w:eastAsia="Batang" w:hAnsi=".VnTime"/>
      <w:b/>
      <w:sz w:val="20"/>
      <w:szCs w:val="20"/>
    </w:rPr>
  </w:style>
  <w:style w:type="paragraph" w:styleId="Heading8">
    <w:name w:val="heading 8"/>
    <w:basedOn w:val="Normal"/>
    <w:next w:val="Normal"/>
    <w:link w:val="Heading8Char"/>
    <w:rsid w:val="00B71E8D"/>
    <w:pPr>
      <w:keepNext/>
      <w:numPr>
        <w:ilvl w:val="7"/>
        <w:numId w:val="11"/>
      </w:numPr>
      <w:spacing w:after="0"/>
      <w:outlineLvl w:val="7"/>
    </w:pPr>
    <w:rPr>
      <w:rFonts w:ascii=".VnTime" w:hAnsi=".VnTime"/>
      <w:b/>
      <w:i/>
      <w:szCs w:val="20"/>
    </w:rPr>
  </w:style>
  <w:style w:type="paragraph" w:styleId="Heading9">
    <w:name w:val="heading 9"/>
    <w:basedOn w:val="Normal"/>
    <w:next w:val="Normal"/>
    <w:link w:val="Heading9Char"/>
    <w:rsid w:val="00B71E8D"/>
    <w:pPr>
      <w:numPr>
        <w:ilvl w:val="8"/>
        <w:numId w:val="11"/>
      </w:numPr>
      <w:spacing w:before="240" w:after="60"/>
      <w:jc w:val="left"/>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rsid w:val="00EC55C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rsid w:val="00EC55C2"/>
    <w:rPr>
      <w:rFonts w:ascii="Times New Roman" w:eastAsia="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 BVI fnr,footnote ref,BVI fnr,BearingPoint,Footnote Text1,Ref,de nota al pie,Footnote Text11"/>
    <w:basedOn w:val="DefaultParagraphFont"/>
    <w:uiPriority w:val="99"/>
    <w:rsid w:val="00EC55C2"/>
    <w:rPr>
      <w:vertAlign w:val="superscript"/>
    </w:rPr>
  </w:style>
  <w:style w:type="paragraph" w:styleId="BalloonText">
    <w:name w:val="Balloon Text"/>
    <w:basedOn w:val="Normal"/>
    <w:link w:val="BalloonTextChar"/>
    <w:semiHidden/>
    <w:rsid w:val="00EC55C2"/>
    <w:rPr>
      <w:rFonts w:ascii="Tahoma" w:hAnsi="Tahoma" w:cs="Tahoma"/>
      <w:sz w:val="16"/>
      <w:szCs w:val="16"/>
    </w:rPr>
  </w:style>
  <w:style w:type="character" w:customStyle="1" w:styleId="BalloonTextChar">
    <w:name w:val="Balloon Text Char"/>
    <w:basedOn w:val="DefaultParagraphFont"/>
    <w:link w:val="BalloonText"/>
    <w:semiHidden/>
    <w:rsid w:val="00EC55C2"/>
    <w:rPr>
      <w:rFonts w:ascii="Tahoma" w:eastAsia="Times New Roman" w:hAnsi="Tahoma" w:cs="Tahoma"/>
      <w:sz w:val="16"/>
      <w:szCs w:val="16"/>
    </w:rPr>
  </w:style>
  <w:style w:type="paragraph" w:styleId="ListParagraph">
    <w:name w:val="List Paragraph"/>
    <w:basedOn w:val="Normal"/>
    <w:link w:val="ListParagraphChar"/>
    <w:uiPriority w:val="34"/>
    <w:qFormat/>
    <w:rsid w:val="00EC55C2"/>
    <w:pPr>
      <w:ind w:left="720"/>
      <w:contextualSpacing/>
    </w:pPr>
  </w:style>
  <w:style w:type="paragraph" w:styleId="NormalWeb">
    <w:name w:val="Normal (Web)"/>
    <w:basedOn w:val="Normal"/>
    <w:link w:val="NormalWebChar"/>
    <w:uiPriority w:val="99"/>
    <w:unhideWhenUsed/>
    <w:rsid w:val="00B71E8D"/>
    <w:pPr>
      <w:spacing w:before="100" w:beforeAutospacing="1" w:after="100" w:afterAutospacing="1"/>
      <w:ind w:firstLine="0"/>
      <w:jc w:val="left"/>
    </w:pPr>
  </w:style>
  <w:style w:type="character" w:styleId="Strong">
    <w:name w:val="Strong"/>
    <w:basedOn w:val="DefaultParagraphFont"/>
    <w:uiPriority w:val="22"/>
    <w:qFormat/>
    <w:rsid w:val="00B71E8D"/>
    <w:rPr>
      <w:b/>
      <w:bCs/>
    </w:rPr>
  </w:style>
  <w:style w:type="character" w:customStyle="1" w:styleId="apple-converted-space">
    <w:name w:val="apple-converted-space"/>
    <w:basedOn w:val="DefaultParagraphFont"/>
    <w:rsid w:val="00B71E8D"/>
  </w:style>
  <w:style w:type="character" w:styleId="Hyperlink">
    <w:name w:val="Hyperlink"/>
    <w:basedOn w:val="DefaultParagraphFont"/>
    <w:rsid w:val="00EC55C2"/>
    <w:rPr>
      <w:color w:val="0000FF"/>
      <w:u w:val="single"/>
    </w:rPr>
  </w:style>
  <w:style w:type="table" w:styleId="TableGrid">
    <w:name w:val="Table Grid"/>
    <w:basedOn w:val="TableNormal"/>
    <w:uiPriority w:val="59"/>
    <w:rsid w:val="00EC55C2"/>
    <w:pPr>
      <w:spacing w:after="120" w:line="36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1E8D"/>
    <w:rPr>
      <w:i/>
      <w:iCs/>
    </w:rPr>
  </w:style>
  <w:style w:type="paragraph" w:styleId="Header">
    <w:name w:val="header"/>
    <w:basedOn w:val="Normal"/>
    <w:link w:val="HeaderChar"/>
    <w:rsid w:val="00EC55C2"/>
    <w:pPr>
      <w:tabs>
        <w:tab w:val="center" w:pos="4320"/>
        <w:tab w:val="right" w:pos="8640"/>
      </w:tabs>
    </w:pPr>
  </w:style>
  <w:style w:type="character" w:customStyle="1" w:styleId="HeaderChar">
    <w:name w:val="Header Char"/>
    <w:basedOn w:val="DefaultParagraphFont"/>
    <w:link w:val="Header"/>
    <w:rsid w:val="00EC55C2"/>
    <w:rPr>
      <w:rFonts w:ascii="Times New Roman" w:eastAsia="Times New Roman" w:hAnsi="Times New Roman" w:cs="Times New Roman"/>
      <w:sz w:val="28"/>
      <w:szCs w:val="24"/>
    </w:rPr>
  </w:style>
  <w:style w:type="paragraph" w:styleId="Footer">
    <w:name w:val="footer"/>
    <w:basedOn w:val="Normal"/>
    <w:link w:val="FooterChar"/>
    <w:rsid w:val="00EC55C2"/>
    <w:pPr>
      <w:tabs>
        <w:tab w:val="center" w:pos="4320"/>
        <w:tab w:val="right" w:pos="8640"/>
      </w:tabs>
    </w:pPr>
  </w:style>
  <w:style w:type="character" w:customStyle="1" w:styleId="FooterChar">
    <w:name w:val="Footer Char"/>
    <w:basedOn w:val="DefaultParagraphFont"/>
    <w:link w:val="Footer"/>
    <w:rsid w:val="00EC55C2"/>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EC55C2"/>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EC55C2"/>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EC55C2"/>
    <w:rPr>
      <w:rFonts w:ascii="Times New Roman" w:eastAsia="Times New Roman" w:hAnsi="Times New Roman" w:cs="Arial"/>
      <w:bCs/>
      <w:i/>
      <w:sz w:val="28"/>
      <w:szCs w:val="26"/>
    </w:rPr>
  </w:style>
  <w:style w:type="character" w:customStyle="1" w:styleId="Heading4Char">
    <w:name w:val="Heading 4 Char"/>
    <w:basedOn w:val="DefaultParagraphFont"/>
    <w:link w:val="Heading4"/>
    <w:rsid w:val="00EC55C2"/>
    <w:rPr>
      <w:rFonts w:ascii="Times New Roman" w:eastAsia="Times New Roman" w:hAnsi="Times New Roman" w:cs="Times New Roman"/>
      <w:bCs/>
      <w:i/>
      <w:sz w:val="28"/>
      <w:szCs w:val="28"/>
    </w:rPr>
  </w:style>
  <w:style w:type="paragraph" w:styleId="Title">
    <w:name w:val="Title"/>
    <w:basedOn w:val="Normal"/>
    <w:next w:val="Footer"/>
    <w:link w:val="TitleChar"/>
    <w:qFormat/>
    <w:rsid w:val="00EC55C2"/>
    <w:pPr>
      <w:pageBreakBefore/>
      <w:tabs>
        <w:tab w:val="left" w:pos="2160"/>
      </w:tabs>
      <w:spacing w:after="960"/>
      <w:ind w:firstLine="0"/>
      <w:jc w:val="center"/>
      <w:outlineLvl w:val="0"/>
    </w:pPr>
    <w:rPr>
      <w:rFonts w:cs="Arial"/>
      <w:b/>
      <w:bCs/>
      <w:kern w:val="28"/>
      <w:sz w:val="32"/>
      <w:szCs w:val="32"/>
    </w:rPr>
  </w:style>
  <w:style w:type="character" w:customStyle="1" w:styleId="TitleChar">
    <w:name w:val="Title Char"/>
    <w:basedOn w:val="DefaultParagraphFont"/>
    <w:link w:val="Title"/>
    <w:rsid w:val="00EC55C2"/>
    <w:rPr>
      <w:rFonts w:ascii="Times New Roman" w:eastAsia="Times New Roman" w:hAnsi="Times New Roman" w:cs="Arial"/>
      <w:b/>
      <w:bCs/>
      <w:kern w:val="28"/>
      <w:sz w:val="32"/>
      <w:szCs w:val="32"/>
    </w:rPr>
  </w:style>
  <w:style w:type="paragraph" w:styleId="BodyText">
    <w:name w:val="Body Text"/>
    <w:basedOn w:val="Normal"/>
    <w:link w:val="BodyTextChar"/>
    <w:rsid w:val="00EC55C2"/>
    <w:pPr>
      <w:spacing w:line="480" w:lineRule="auto"/>
      <w:ind w:firstLine="567"/>
    </w:pPr>
  </w:style>
  <w:style w:type="character" w:customStyle="1" w:styleId="BodyTextChar">
    <w:name w:val="Body Text Char"/>
    <w:basedOn w:val="DefaultParagraphFont"/>
    <w:link w:val="BodyText"/>
    <w:rsid w:val="00EC55C2"/>
    <w:rPr>
      <w:rFonts w:ascii="Times New Roman" w:eastAsia="Times New Roman" w:hAnsi="Times New Roman" w:cs="Times New Roman"/>
      <w:sz w:val="28"/>
      <w:szCs w:val="24"/>
    </w:rPr>
  </w:style>
  <w:style w:type="table" w:styleId="TableSimple1">
    <w:name w:val="Table Simple 1"/>
    <w:basedOn w:val="TableNormal"/>
    <w:rsid w:val="00EC55C2"/>
    <w:pPr>
      <w:spacing w:after="0" w:line="48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gure">
    <w:name w:val="Figure"/>
    <w:basedOn w:val="Normal"/>
    <w:rsid w:val="00EC55C2"/>
    <w:pPr>
      <w:numPr>
        <w:numId w:val="1"/>
      </w:numPr>
      <w:spacing w:before="360" w:after="240"/>
      <w:jc w:val="center"/>
    </w:pPr>
  </w:style>
  <w:style w:type="paragraph" w:styleId="Caption">
    <w:name w:val="caption"/>
    <w:basedOn w:val="Normal"/>
    <w:next w:val="Normal"/>
    <w:link w:val="CaptionChar"/>
    <w:qFormat/>
    <w:rsid w:val="00EC55C2"/>
    <w:pPr>
      <w:spacing w:before="240"/>
      <w:ind w:firstLine="0"/>
      <w:jc w:val="center"/>
    </w:pPr>
    <w:rPr>
      <w:b/>
      <w:bCs/>
      <w:sz w:val="24"/>
      <w:szCs w:val="20"/>
    </w:rPr>
  </w:style>
  <w:style w:type="paragraph" w:customStyle="1" w:styleId="Equation">
    <w:name w:val="Equation"/>
    <w:basedOn w:val="Normal"/>
    <w:rsid w:val="00EC55C2"/>
    <w:pPr>
      <w:numPr>
        <w:numId w:val="2"/>
      </w:numPr>
      <w:spacing w:before="240" w:after="240" w:line="480" w:lineRule="auto"/>
    </w:pPr>
  </w:style>
  <w:style w:type="numbering" w:customStyle="1" w:styleId="StyleBulleted">
    <w:name w:val="Style Bulleted"/>
    <w:basedOn w:val="NoList"/>
    <w:rsid w:val="00EC55C2"/>
    <w:pPr>
      <w:numPr>
        <w:numId w:val="3"/>
      </w:numPr>
    </w:pPr>
  </w:style>
  <w:style w:type="character" w:customStyle="1" w:styleId="apple-style-span">
    <w:name w:val="apple-style-span"/>
    <w:basedOn w:val="DefaultParagraphFont"/>
    <w:rsid w:val="00EC55C2"/>
  </w:style>
  <w:style w:type="paragraph" w:customStyle="1" w:styleId="CharCharCharChar">
    <w:name w:val="Char Char Char Char"/>
    <w:basedOn w:val="Normal"/>
    <w:rsid w:val="00EC55C2"/>
    <w:pPr>
      <w:spacing w:after="160" w:line="240" w:lineRule="exact"/>
      <w:ind w:firstLine="0"/>
      <w:jc w:val="left"/>
    </w:pPr>
    <w:rPr>
      <w:rFonts w:ascii="Verdana" w:hAnsi="Verdana"/>
      <w:sz w:val="20"/>
      <w:szCs w:val="20"/>
    </w:rPr>
  </w:style>
  <w:style w:type="numbering" w:customStyle="1" w:styleId="StyleBulletedSymbolsymbolLeft05Hanging0251">
    <w:name w:val="Style Bulleted Symbol (symbol) Left:  0.5&quot; Hanging:  0.25&quot;1"/>
    <w:basedOn w:val="NoList"/>
    <w:rsid w:val="00EC55C2"/>
    <w:pPr>
      <w:numPr>
        <w:numId w:val="4"/>
      </w:numPr>
    </w:pPr>
  </w:style>
  <w:style w:type="paragraph" w:styleId="DocumentMap">
    <w:name w:val="Document Map"/>
    <w:basedOn w:val="Normal"/>
    <w:link w:val="DocumentMapChar"/>
    <w:semiHidden/>
    <w:rsid w:val="00EC5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C55C2"/>
    <w:rPr>
      <w:rFonts w:ascii="Tahoma" w:eastAsia="Times New Roman" w:hAnsi="Tahoma" w:cs="Tahoma"/>
      <w:sz w:val="20"/>
      <w:szCs w:val="20"/>
      <w:shd w:val="clear" w:color="auto" w:fill="000080"/>
    </w:rPr>
  </w:style>
  <w:style w:type="paragraph" w:customStyle="1" w:styleId="StyleHeading3TimesNewRoman14ptAfter12pt">
    <w:name w:val="Style Heading 3 + Times New Roman 14 pt After:  12 pt"/>
    <w:basedOn w:val="Heading3"/>
    <w:rsid w:val="00EC55C2"/>
    <w:pPr>
      <w:numPr>
        <w:ilvl w:val="0"/>
        <w:numId w:val="0"/>
      </w:numPr>
      <w:tabs>
        <w:tab w:val="num" w:pos="1080"/>
      </w:tabs>
      <w:spacing w:after="240"/>
      <w:ind w:left="1080" w:hanging="360"/>
    </w:pPr>
    <w:rPr>
      <w:rFonts w:cs="Times New Roman"/>
      <w:szCs w:val="20"/>
    </w:rPr>
  </w:style>
  <w:style w:type="table" w:styleId="TableList3">
    <w:name w:val="Table List 3"/>
    <w:basedOn w:val="TableNormal"/>
    <w:rsid w:val="00EC55C2"/>
    <w:pPr>
      <w:spacing w:after="0" w:line="240" w:lineRule="auto"/>
      <w:jc w:val="both"/>
    </w:pPr>
    <w:rPr>
      <w:rFonts w:ascii="Times New Roman" w:eastAsia="Times New Roman" w:hAnsi="Times New Roman" w:cs="Times New Roman"/>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ageNumber">
    <w:name w:val="page number"/>
    <w:basedOn w:val="DefaultParagraphFont"/>
    <w:rsid w:val="00EC55C2"/>
  </w:style>
  <w:style w:type="paragraph" w:customStyle="1" w:styleId="Char">
    <w:name w:val="Char"/>
    <w:basedOn w:val="Normal"/>
    <w:rsid w:val="00EC55C2"/>
    <w:pPr>
      <w:pageBreakBefore/>
      <w:spacing w:before="100" w:beforeAutospacing="1" w:after="100" w:afterAutospacing="1"/>
      <w:ind w:firstLine="0"/>
      <w:jc w:val="left"/>
    </w:pPr>
    <w:rPr>
      <w:rFonts w:ascii="Tahoma" w:hAnsi="Tahoma" w:cs="Tahoma"/>
      <w:sz w:val="20"/>
      <w:szCs w:val="20"/>
    </w:rPr>
  </w:style>
  <w:style w:type="paragraph" w:styleId="EndnoteText">
    <w:name w:val="endnote text"/>
    <w:basedOn w:val="Normal"/>
    <w:link w:val="EndnoteTextChar"/>
    <w:semiHidden/>
    <w:rsid w:val="00EC55C2"/>
    <w:rPr>
      <w:sz w:val="20"/>
      <w:szCs w:val="20"/>
    </w:rPr>
  </w:style>
  <w:style w:type="character" w:customStyle="1" w:styleId="EndnoteTextChar">
    <w:name w:val="Endnote Text Char"/>
    <w:basedOn w:val="DefaultParagraphFont"/>
    <w:link w:val="EndnoteText"/>
    <w:semiHidden/>
    <w:rsid w:val="00EC55C2"/>
    <w:rPr>
      <w:rFonts w:ascii="Times New Roman" w:eastAsia="Times New Roman" w:hAnsi="Times New Roman" w:cs="Times New Roman"/>
      <w:sz w:val="20"/>
      <w:szCs w:val="20"/>
    </w:rPr>
  </w:style>
  <w:style w:type="character" w:styleId="EndnoteReference">
    <w:name w:val="endnote reference"/>
    <w:basedOn w:val="DefaultParagraphFont"/>
    <w:semiHidden/>
    <w:rsid w:val="00EC55C2"/>
    <w:rPr>
      <w:vertAlign w:val="superscript"/>
    </w:rPr>
  </w:style>
  <w:style w:type="numbering" w:customStyle="1" w:styleId="StyleBulletedSymbolsymbolLeft025Hanging025">
    <w:name w:val="Style Bulleted Symbol (symbol) Left:  0.25&quot; Hanging:  0.25&quot;"/>
    <w:basedOn w:val="NoList"/>
    <w:rsid w:val="00EC55C2"/>
    <w:pPr>
      <w:numPr>
        <w:numId w:val="5"/>
      </w:numPr>
    </w:pPr>
  </w:style>
  <w:style w:type="character" w:customStyle="1" w:styleId="CaptionChar">
    <w:name w:val="Caption Char"/>
    <w:basedOn w:val="DefaultParagraphFont"/>
    <w:link w:val="Caption"/>
    <w:rsid w:val="00EC55C2"/>
    <w:rPr>
      <w:rFonts w:ascii="Times New Roman" w:eastAsia="Times New Roman" w:hAnsi="Times New Roman" w:cs="Times New Roman"/>
      <w:b/>
      <w:bCs/>
      <w:sz w:val="24"/>
      <w:szCs w:val="20"/>
    </w:rPr>
  </w:style>
  <w:style w:type="paragraph" w:styleId="TOC1">
    <w:name w:val="toc 1"/>
    <w:basedOn w:val="Normal"/>
    <w:next w:val="Normal"/>
    <w:rsid w:val="00EC55C2"/>
    <w:pPr>
      <w:spacing w:after="0"/>
      <w:ind w:firstLine="0"/>
      <w:jc w:val="left"/>
    </w:pPr>
    <w:rPr>
      <w:bCs/>
      <w:caps/>
      <w:sz w:val="20"/>
      <w:szCs w:val="20"/>
    </w:rPr>
  </w:style>
  <w:style w:type="paragraph" w:styleId="TOC2">
    <w:name w:val="toc 2"/>
    <w:basedOn w:val="Normal"/>
    <w:next w:val="Normal"/>
    <w:autoRedefine/>
    <w:rsid w:val="00EC55C2"/>
    <w:pPr>
      <w:spacing w:after="0"/>
      <w:ind w:left="280"/>
      <w:jc w:val="left"/>
    </w:pPr>
    <w:rPr>
      <w:smallCaps/>
      <w:sz w:val="20"/>
      <w:szCs w:val="20"/>
    </w:rPr>
  </w:style>
  <w:style w:type="paragraph" w:styleId="TOC3">
    <w:name w:val="toc 3"/>
    <w:basedOn w:val="Normal"/>
    <w:next w:val="Normal"/>
    <w:autoRedefine/>
    <w:rsid w:val="00EC55C2"/>
    <w:pPr>
      <w:spacing w:after="0"/>
      <w:ind w:left="560"/>
      <w:jc w:val="left"/>
    </w:pPr>
    <w:rPr>
      <w:i/>
      <w:iCs/>
      <w:sz w:val="20"/>
      <w:szCs w:val="20"/>
    </w:rPr>
  </w:style>
  <w:style w:type="paragraph" w:styleId="TOC4">
    <w:name w:val="toc 4"/>
    <w:basedOn w:val="Normal"/>
    <w:next w:val="Normal"/>
    <w:autoRedefine/>
    <w:semiHidden/>
    <w:rsid w:val="00EC55C2"/>
    <w:pPr>
      <w:spacing w:after="0"/>
      <w:ind w:left="840"/>
      <w:jc w:val="left"/>
    </w:pPr>
    <w:rPr>
      <w:sz w:val="18"/>
      <w:szCs w:val="18"/>
    </w:rPr>
  </w:style>
  <w:style w:type="paragraph" w:styleId="TOC5">
    <w:name w:val="toc 5"/>
    <w:basedOn w:val="Normal"/>
    <w:next w:val="Normal"/>
    <w:autoRedefine/>
    <w:semiHidden/>
    <w:rsid w:val="00EC55C2"/>
    <w:pPr>
      <w:spacing w:after="0"/>
      <w:ind w:left="1120"/>
      <w:jc w:val="left"/>
    </w:pPr>
    <w:rPr>
      <w:sz w:val="18"/>
      <w:szCs w:val="18"/>
    </w:rPr>
  </w:style>
  <w:style w:type="paragraph" w:styleId="TOC6">
    <w:name w:val="toc 6"/>
    <w:basedOn w:val="Normal"/>
    <w:next w:val="Normal"/>
    <w:autoRedefine/>
    <w:semiHidden/>
    <w:rsid w:val="00EC55C2"/>
    <w:pPr>
      <w:spacing w:after="0"/>
      <w:ind w:left="1400"/>
      <w:jc w:val="left"/>
    </w:pPr>
    <w:rPr>
      <w:sz w:val="18"/>
      <w:szCs w:val="18"/>
    </w:rPr>
  </w:style>
  <w:style w:type="paragraph" w:styleId="TOC7">
    <w:name w:val="toc 7"/>
    <w:basedOn w:val="Normal"/>
    <w:next w:val="Normal"/>
    <w:autoRedefine/>
    <w:semiHidden/>
    <w:rsid w:val="00EC55C2"/>
    <w:pPr>
      <w:spacing w:after="0"/>
      <w:ind w:left="1680"/>
      <w:jc w:val="left"/>
    </w:pPr>
    <w:rPr>
      <w:sz w:val="18"/>
      <w:szCs w:val="18"/>
    </w:rPr>
  </w:style>
  <w:style w:type="paragraph" w:styleId="TOC8">
    <w:name w:val="toc 8"/>
    <w:basedOn w:val="Normal"/>
    <w:next w:val="Normal"/>
    <w:autoRedefine/>
    <w:semiHidden/>
    <w:rsid w:val="00EC55C2"/>
    <w:pPr>
      <w:spacing w:after="0"/>
      <w:ind w:left="1960"/>
      <w:jc w:val="left"/>
    </w:pPr>
    <w:rPr>
      <w:sz w:val="18"/>
      <w:szCs w:val="18"/>
    </w:rPr>
  </w:style>
  <w:style w:type="paragraph" w:styleId="TOC9">
    <w:name w:val="toc 9"/>
    <w:basedOn w:val="Normal"/>
    <w:next w:val="Normal"/>
    <w:autoRedefine/>
    <w:semiHidden/>
    <w:rsid w:val="00EC55C2"/>
    <w:pPr>
      <w:spacing w:after="0"/>
      <w:ind w:left="2240"/>
      <w:jc w:val="left"/>
    </w:pPr>
    <w:rPr>
      <w:sz w:val="18"/>
      <w:szCs w:val="18"/>
    </w:rPr>
  </w:style>
  <w:style w:type="numbering" w:customStyle="1" w:styleId="StyleOutlinenumberedCourierNewLeft075Hanging025">
    <w:name w:val="Style Outline numbered Courier New Left:  0.75&quot; Hanging:  0.25&quot;"/>
    <w:basedOn w:val="NoList"/>
    <w:rsid w:val="00EC55C2"/>
    <w:pPr>
      <w:numPr>
        <w:numId w:val="6"/>
      </w:numPr>
    </w:pPr>
  </w:style>
  <w:style w:type="character" w:customStyle="1" w:styleId="Heading5Char">
    <w:name w:val="Heading 5 Char"/>
    <w:basedOn w:val="DefaultParagraphFont"/>
    <w:link w:val="Heading5"/>
    <w:rsid w:val="00B71E8D"/>
    <w:rPr>
      <w:rFonts w:ascii="Times New Roman" w:eastAsia="Batang" w:hAnsi="Times New Roman" w:cs="Times New Roman"/>
      <w:b/>
      <w:i/>
      <w:sz w:val="28"/>
      <w:szCs w:val="20"/>
    </w:rPr>
  </w:style>
  <w:style w:type="character" w:customStyle="1" w:styleId="Heading6Char">
    <w:name w:val="Heading 6 Char"/>
    <w:basedOn w:val="DefaultParagraphFont"/>
    <w:link w:val="Heading6"/>
    <w:rsid w:val="00B71E8D"/>
    <w:rPr>
      <w:rFonts w:ascii="Times New Roman" w:eastAsia="Batang" w:hAnsi="Times New Roman" w:cs="Times New Roman"/>
      <w:b/>
      <w:sz w:val="28"/>
      <w:szCs w:val="24"/>
    </w:rPr>
  </w:style>
  <w:style w:type="character" w:customStyle="1" w:styleId="Heading7Char">
    <w:name w:val="Heading 7 Char"/>
    <w:basedOn w:val="DefaultParagraphFont"/>
    <w:link w:val="Heading7"/>
    <w:rsid w:val="00B71E8D"/>
    <w:rPr>
      <w:rFonts w:ascii=".VnTime" w:eastAsia="Batang" w:hAnsi=".VnTime" w:cs="Times New Roman"/>
      <w:b/>
      <w:sz w:val="20"/>
      <w:szCs w:val="20"/>
    </w:rPr>
  </w:style>
  <w:style w:type="character" w:customStyle="1" w:styleId="Heading8Char">
    <w:name w:val="Heading 8 Char"/>
    <w:basedOn w:val="DefaultParagraphFont"/>
    <w:link w:val="Heading8"/>
    <w:rsid w:val="00B71E8D"/>
    <w:rPr>
      <w:rFonts w:ascii=".VnTime" w:eastAsia="Times New Roman" w:hAnsi=".VnTime" w:cs="Times New Roman"/>
      <w:b/>
      <w:i/>
      <w:sz w:val="28"/>
      <w:szCs w:val="20"/>
    </w:rPr>
  </w:style>
  <w:style w:type="character" w:customStyle="1" w:styleId="Heading9Char">
    <w:name w:val="Heading 9 Char"/>
    <w:basedOn w:val="DefaultParagraphFont"/>
    <w:link w:val="Heading9"/>
    <w:rsid w:val="00B71E8D"/>
    <w:rPr>
      <w:rFonts w:ascii="Arial" w:eastAsia="Batang" w:hAnsi="Arial" w:cs="Arial"/>
    </w:rPr>
  </w:style>
  <w:style w:type="paragraph" w:customStyle="1" w:styleId="Style12ptBoldBlackAfter0pt">
    <w:name w:val="Style 12 pt Bold Black After:  0 pt"/>
    <w:basedOn w:val="Normal"/>
    <w:uiPriority w:val="99"/>
    <w:rsid w:val="00B71E8D"/>
    <w:pPr>
      <w:spacing w:after="0"/>
      <w:ind w:firstLine="0"/>
    </w:pPr>
    <w:rPr>
      <w:b/>
      <w:bCs/>
      <w:color w:val="000000"/>
    </w:rPr>
  </w:style>
  <w:style w:type="character" w:styleId="CommentReference">
    <w:name w:val="annotation reference"/>
    <w:basedOn w:val="DefaultParagraphFont"/>
    <w:semiHidden/>
    <w:rsid w:val="00B71E8D"/>
    <w:rPr>
      <w:sz w:val="16"/>
      <w:szCs w:val="16"/>
    </w:rPr>
  </w:style>
  <w:style w:type="paragraph" w:styleId="CommentText">
    <w:name w:val="annotation text"/>
    <w:basedOn w:val="Normal"/>
    <w:link w:val="CommentTextChar"/>
    <w:semiHidden/>
    <w:rsid w:val="00B71E8D"/>
    <w:pPr>
      <w:ind w:firstLine="360"/>
    </w:pPr>
    <w:rPr>
      <w:sz w:val="20"/>
      <w:szCs w:val="20"/>
    </w:rPr>
  </w:style>
  <w:style w:type="character" w:customStyle="1" w:styleId="CommentTextChar">
    <w:name w:val="Comment Text Char"/>
    <w:basedOn w:val="DefaultParagraphFont"/>
    <w:link w:val="CommentText"/>
    <w:semiHidden/>
    <w:rsid w:val="00B7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1E8D"/>
    <w:rPr>
      <w:b/>
      <w:bCs/>
    </w:rPr>
  </w:style>
  <w:style w:type="character" w:customStyle="1" w:styleId="CommentSubjectChar">
    <w:name w:val="Comment Subject Char"/>
    <w:basedOn w:val="CommentTextChar"/>
    <w:link w:val="CommentSubject"/>
    <w:uiPriority w:val="99"/>
    <w:semiHidden/>
    <w:rsid w:val="00B71E8D"/>
    <w:rPr>
      <w:rFonts w:ascii="Times New Roman" w:eastAsia="Times New Roman" w:hAnsi="Times New Roman" w:cs="Times New Roman"/>
      <w:b/>
      <w:bCs/>
      <w:sz w:val="20"/>
      <w:szCs w:val="20"/>
    </w:rPr>
  </w:style>
  <w:style w:type="paragraph" w:styleId="Revision">
    <w:name w:val="Revision"/>
    <w:hidden/>
    <w:uiPriority w:val="99"/>
    <w:semiHidden/>
    <w:rsid w:val="00B71E8D"/>
    <w:pPr>
      <w:spacing w:after="0" w:line="240" w:lineRule="auto"/>
    </w:pPr>
    <w:rPr>
      <w:rFonts w:ascii="Times New Roman" w:eastAsia="Times New Roman" w:hAnsi="Times New Roman" w:cs="Times New Roman"/>
      <w:sz w:val="28"/>
      <w:szCs w:val="28"/>
    </w:rPr>
  </w:style>
  <w:style w:type="paragraph" w:customStyle="1" w:styleId="CharCharCharChar8">
    <w:name w:val="Char Char Char Char8"/>
    <w:basedOn w:val="Normal"/>
    <w:uiPriority w:val="99"/>
    <w:rsid w:val="00B71E8D"/>
    <w:pPr>
      <w:spacing w:after="160" w:line="240" w:lineRule="exact"/>
      <w:ind w:firstLine="0"/>
      <w:jc w:val="left"/>
    </w:pPr>
    <w:rPr>
      <w:rFonts w:ascii="Verdana" w:hAnsi="Verdana" w:cs="Verdana"/>
      <w:sz w:val="20"/>
      <w:szCs w:val="20"/>
    </w:rPr>
  </w:style>
  <w:style w:type="paragraph" w:customStyle="1" w:styleId="Char8">
    <w:name w:val="Char8"/>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7">
    <w:name w:val="Char Char Char Char7"/>
    <w:basedOn w:val="Normal"/>
    <w:uiPriority w:val="99"/>
    <w:rsid w:val="00B71E8D"/>
    <w:pPr>
      <w:spacing w:after="160" w:line="240" w:lineRule="exact"/>
      <w:ind w:firstLine="0"/>
      <w:jc w:val="left"/>
    </w:pPr>
    <w:rPr>
      <w:rFonts w:ascii="Verdana" w:hAnsi="Verdana" w:cs="Verdana"/>
      <w:sz w:val="20"/>
      <w:szCs w:val="20"/>
    </w:rPr>
  </w:style>
  <w:style w:type="paragraph" w:customStyle="1" w:styleId="Char7">
    <w:name w:val="Char7"/>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6">
    <w:name w:val="Char Char Char Char6"/>
    <w:basedOn w:val="Normal"/>
    <w:uiPriority w:val="99"/>
    <w:rsid w:val="00B71E8D"/>
    <w:pPr>
      <w:spacing w:after="160" w:line="240" w:lineRule="exact"/>
      <w:ind w:firstLine="0"/>
      <w:jc w:val="left"/>
    </w:pPr>
    <w:rPr>
      <w:rFonts w:ascii="Verdana" w:hAnsi="Verdana" w:cs="Verdana"/>
      <w:sz w:val="20"/>
      <w:szCs w:val="20"/>
    </w:rPr>
  </w:style>
  <w:style w:type="paragraph" w:customStyle="1" w:styleId="Char6">
    <w:name w:val="Char6"/>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5">
    <w:name w:val="Char Char Char Char5"/>
    <w:basedOn w:val="Normal"/>
    <w:uiPriority w:val="99"/>
    <w:rsid w:val="00B71E8D"/>
    <w:pPr>
      <w:spacing w:after="160" w:line="240" w:lineRule="exact"/>
      <w:ind w:firstLine="0"/>
      <w:jc w:val="left"/>
    </w:pPr>
    <w:rPr>
      <w:rFonts w:ascii="Verdana" w:hAnsi="Verdana" w:cs="Verdana"/>
      <w:sz w:val="20"/>
      <w:szCs w:val="20"/>
    </w:rPr>
  </w:style>
  <w:style w:type="paragraph" w:customStyle="1" w:styleId="Char5">
    <w:name w:val="Char5"/>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4">
    <w:name w:val="Char Char Char Char4"/>
    <w:basedOn w:val="Normal"/>
    <w:uiPriority w:val="99"/>
    <w:rsid w:val="00B71E8D"/>
    <w:pPr>
      <w:spacing w:after="160" w:line="240" w:lineRule="exact"/>
      <w:ind w:firstLine="0"/>
      <w:jc w:val="left"/>
    </w:pPr>
    <w:rPr>
      <w:rFonts w:ascii="Verdana" w:hAnsi="Verdana" w:cs="Verdana"/>
      <w:sz w:val="20"/>
      <w:szCs w:val="20"/>
    </w:rPr>
  </w:style>
  <w:style w:type="paragraph" w:customStyle="1" w:styleId="Char4">
    <w:name w:val="Char4"/>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3">
    <w:name w:val="Char Char Char Char3"/>
    <w:basedOn w:val="Normal"/>
    <w:uiPriority w:val="99"/>
    <w:rsid w:val="00B71E8D"/>
    <w:pPr>
      <w:spacing w:after="160" w:line="240" w:lineRule="exact"/>
      <w:ind w:firstLine="0"/>
      <w:jc w:val="left"/>
    </w:pPr>
    <w:rPr>
      <w:rFonts w:ascii="Verdana" w:hAnsi="Verdana" w:cs="Verdana"/>
      <w:sz w:val="20"/>
      <w:szCs w:val="20"/>
    </w:rPr>
  </w:style>
  <w:style w:type="paragraph" w:customStyle="1" w:styleId="Char3">
    <w:name w:val="Char3"/>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2">
    <w:name w:val="Char Char Char Char2"/>
    <w:basedOn w:val="Normal"/>
    <w:uiPriority w:val="99"/>
    <w:rsid w:val="00B71E8D"/>
    <w:pPr>
      <w:spacing w:after="160" w:line="240" w:lineRule="exact"/>
      <w:ind w:firstLine="0"/>
      <w:jc w:val="left"/>
    </w:pPr>
    <w:rPr>
      <w:rFonts w:ascii="Verdana" w:hAnsi="Verdana" w:cs="Verdana"/>
      <w:sz w:val="20"/>
      <w:szCs w:val="20"/>
    </w:rPr>
  </w:style>
  <w:style w:type="paragraph" w:customStyle="1" w:styleId="Char2">
    <w:name w:val="Char2"/>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1">
    <w:name w:val="Char Char Char Char1"/>
    <w:basedOn w:val="Normal"/>
    <w:uiPriority w:val="99"/>
    <w:rsid w:val="00B71E8D"/>
    <w:pPr>
      <w:spacing w:after="160" w:line="240" w:lineRule="exact"/>
      <w:ind w:firstLine="0"/>
      <w:jc w:val="left"/>
    </w:pPr>
    <w:rPr>
      <w:rFonts w:ascii="Verdana" w:hAnsi="Verdana" w:cs="Verdana"/>
      <w:sz w:val="20"/>
      <w:szCs w:val="20"/>
    </w:rPr>
  </w:style>
  <w:style w:type="paragraph" w:customStyle="1" w:styleId="Char1">
    <w:name w:val="Char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9">
    <w:name w:val="Char9"/>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character" w:customStyle="1" w:styleId="NormalWebChar">
    <w:name w:val="Normal (Web) Char"/>
    <w:basedOn w:val="DefaultParagraphFont"/>
    <w:link w:val="NormalWeb"/>
    <w:uiPriority w:val="99"/>
    <w:locked/>
    <w:rsid w:val="00B71E8D"/>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71E8D"/>
    <w:rPr>
      <w:rFonts w:cs="Times New Roman"/>
    </w:rPr>
  </w:style>
  <w:style w:type="character" w:customStyle="1" w:styleId="agri-box-news3-main-desc1">
    <w:name w:val="agri-box-news3-main-desc1"/>
    <w:basedOn w:val="DefaultParagraphFont"/>
    <w:uiPriority w:val="99"/>
    <w:rsid w:val="00B71E8D"/>
    <w:rPr>
      <w:rFonts w:ascii="Times New Roman" w:hAnsi="Times New Roman" w:cs="Times New Roman"/>
      <w:b/>
      <w:bCs/>
      <w:color w:val="5E5D5D"/>
      <w:sz w:val="21"/>
      <w:szCs w:val="21"/>
    </w:rPr>
  </w:style>
  <w:style w:type="paragraph" w:customStyle="1" w:styleId="titlenewdetail">
    <w:name w:val="titlenewdetail"/>
    <w:basedOn w:val="Normal"/>
    <w:uiPriority w:val="99"/>
    <w:rsid w:val="00B71E8D"/>
    <w:pPr>
      <w:spacing w:after="0" w:line="268" w:lineRule="atLeast"/>
      <w:ind w:firstLine="0"/>
      <w:jc w:val="left"/>
    </w:pPr>
    <w:rPr>
      <w:b/>
      <w:bCs/>
      <w:sz w:val="27"/>
      <w:szCs w:val="27"/>
    </w:rPr>
  </w:style>
  <w:style w:type="paragraph" w:customStyle="1" w:styleId="CharCharCharChar9">
    <w:name w:val="Char Char Char Char9"/>
    <w:basedOn w:val="Normal"/>
    <w:uiPriority w:val="99"/>
    <w:rsid w:val="00B71E8D"/>
    <w:pPr>
      <w:spacing w:after="160" w:line="240" w:lineRule="exact"/>
      <w:ind w:firstLine="0"/>
      <w:jc w:val="left"/>
    </w:pPr>
    <w:rPr>
      <w:rFonts w:ascii="Verdana" w:hAnsi="Verdana"/>
      <w:sz w:val="20"/>
      <w:szCs w:val="20"/>
    </w:rPr>
  </w:style>
  <w:style w:type="paragraph" w:customStyle="1" w:styleId="Char10">
    <w:name w:val="Char10"/>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11">
    <w:name w:val="Char1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71E8D"/>
    <w:pPr>
      <w:pageBreakBefore/>
      <w:spacing w:before="100" w:beforeAutospacing="1" w:after="100" w:afterAutospacing="1"/>
      <w:ind w:firstLine="0"/>
      <w:jc w:val="left"/>
    </w:pPr>
    <w:rPr>
      <w:rFonts w:ascii="Tahoma" w:hAnsi="Tahoma"/>
      <w:sz w:val="20"/>
      <w:szCs w:val="20"/>
    </w:rPr>
  </w:style>
  <w:style w:type="paragraph" w:styleId="BodyTextIndent">
    <w:name w:val="Body Text Indent"/>
    <w:basedOn w:val="Normal"/>
    <w:link w:val="BodyTextIndentChar"/>
    <w:uiPriority w:val="99"/>
    <w:semiHidden/>
    <w:rsid w:val="00B71E8D"/>
    <w:pPr>
      <w:ind w:left="360"/>
    </w:pPr>
  </w:style>
  <w:style w:type="character" w:customStyle="1" w:styleId="BodyTextIndentChar">
    <w:name w:val="Body Text Indent Char"/>
    <w:basedOn w:val="DefaultParagraphFont"/>
    <w:link w:val="BodyTextIndent"/>
    <w:uiPriority w:val="99"/>
    <w:semiHidden/>
    <w:rsid w:val="00B71E8D"/>
    <w:rPr>
      <w:rFonts w:ascii="Times New Roman" w:eastAsia="Times New Roman" w:hAnsi="Times New Roman" w:cs="Times New Roman"/>
      <w:sz w:val="24"/>
      <w:szCs w:val="24"/>
    </w:rPr>
  </w:style>
  <w:style w:type="paragraph" w:styleId="ListBullet">
    <w:name w:val="List Bullet"/>
    <w:basedOn w:val="Normal"/>
    <w:rsid w:val="00B71E8D"/>
    <w:pPr>
      <w:numPr>
        <w:numId w:val="8"/>
      </w:numPr>
    </w:pPr>
  </w:style>
  <w:style w:type="paragraph" w:styleId="Index1">
    <w:name w:val="index 1"/>
    <w:basedOn w:val="Normal"/>
    <w:next w:val="Normal"/>
    <w:autoRedefine/>
    <w:semiHidden/>
    <w:rsid w:val="00B71E8D"/>
    <w:pPr>
      <w:spacing w:after="0"/>
      <w:ind w:left="280" w:hanging="280"/>
      <w:jc w:val="left"/>
    </w:pPr>
    <w:rPr>
      <w:sz w:val="18"/>
      <w:szCs w:val="18"/>
    </w:rPr>
  </w:style>
  <w:style w:type="paragraph" w:styleId="Index2">
    <w:name w:val="index 2"/>
    <w:basedOn w:val="Normal"/>
    <w:next w:val="Normal"/>
    <w:autoRedefine/>
    <w:semiHidden/>
    <w:rsid w:val="00B71E8D"/>
    <w:pPr>
      <w:spacing w:after="0"/>
      <w:ind w:left="560" w:hanging="280"/>
      <w:jc w:val="left"/>
    </w:pPr>
    <w:rPr>
      <w:sz w:val="18"/>
      <w:szCs w:val="18"/>
    </w:rPr>
  </w:style>
  <w:style w:type="paragraph" w:styleId="Index3">
    <w:name w:val="index 3"/>
    <w:basedOn w:val="Normal"/>
    <w:next w:val="Normal"/>
    <w:autoRedefine/>
    <w:semiHidden/>
    <w:rsid w:val="00B71E8D"/>
    <w:pPr>
      <w:spacing w:after="0"/>
      <w:ind w:left="840" w:hanging="280"/>
      <w:jc w:val="left"/>
    </w:pPr>
    <w:rPr>
      <w:sz w:val="18"/>
      <w:szCs w:val="18"/>
    </w:rPr>
  </w:style>
  <w:style w:type="paragraph" w:styleId="Index4">
    <w:name w:val="index 4"/>
    <w:basedOn w:val="Normal"/>
    <w:next w:val="Normal"/>
    <w:autoRedefine/>
    <w:semiHidden/>
    <w:rsid w:val="00B71E8D"/>
    <w:pPr>
      <w:spacing w:after="0"/>
      <w:ind w:left="1120" w:hanging="280"/>
      <w:jc w:val="left"/>
    </w:pPr>
    <w:rPr>
      <w:sz w:val="18"/>
      <w:szCs w:val="18"/>
    </w:rPr>
  </w:style>
  <w:style w:type="paragraph" w:styleId="Index5">
    <w:name w:val="index 5"/>
    <w:basedOn w:val="Normal"/>
    <w:next w:val="Normal"/>
    <w:autoRedefine/>
    <w:semiHidden/>
    <w:rsid w:val="00B71E8D"/>
    <w:pPr>
      <w:spacing w:after="0"/>
      <w:ind w:left="1400" w:hanging="280"/>
      <w:jc w:val="left"/>
    </w:pPr>
    <w:rPr>
      <w:sz w:val="18"/>
      <w:szCs w:val="18"/>
    </w:rPr>
  </w:style>
  <w:style w:type="paragraph" w:styleId="Index6">
    <w:name w:val="index 6"/>
    <w:basedOn w:val="Normal"/>
    <w:next w:val="Normal"/>
    <w:autoRedefine/>
    <w:semiHidden/>
    <w:rsid w:val="00B71E8D"/>
    <w:pPr>
      <w:spacing w:after="0"/>
      <w:ind w:left="1680" w:hanging="280"/>
      <w:jc w:val="left"/>
    </w:pPr>
    <w:rPr>
      <w:sz w:val="18"/>
      <w:szCs w:val="18"/>
    </w:rPr>
  </w:style>
  <w:style w:type="paragraph" w:styleId="Index7">
    <w:name w:val="index 7"/>
    <w:basedOn w:val="Normal"/>
    <w:next w:val="Normal"/>
    <w:autoRedefine/>
    <w:semiHidden/>
    <w:rsid w:val="00B71E8D"/>
    <w:pPr>
      <w:spacing w:after="0"/>
      <w:ind w:left="1960" w:hanging="280"/>
      <w:jc w:val="left"/>
    </w:pPr>
    <w:rPr>
      <w:sz w:val="18"/>
      <w:szCs w:val="18"/>
    </w:rPr>
  </w:style>
  <w:style w:type="paragraph" w:styleId="Index8">
    <w:name w:val="index 8"/>
    <w:basedOn w:val="Normal"/>
    <w:next w:val="Normal"/>
    <w:autoRedefine/>
    <w:semiHidden/>
    <w:rsid w:val="00B71E8D"/>
    <w:pPr>
      <w:spacing w:after="0"/>
      <w:ind w:left="2240" w:hanging="280"/>
      <w:jc w:val="left"/>
    </w:pPr>
    <w:rPr>
      <w:sz w:val="18"/>
      <w:szCs w:val="18"/>
    </w:rPr>
  </w:style>
  <w:style w:type="paragraph" w:styleId="Index9">
    <w:name w:val="index 9"/>
    <w:basedOn w:val="Normal"/>
    <w:next w:val="Normal"/>
    <w:autoRedefine/>
    <w:semiHidden/>
    <w:rsid w:val="00B71E8D"/>
    <w:pPr>
      <w:spacing w:after="0"/>
      <w:ind w:left="2520" w:hanging="280"/>
      <w:jc w:val="left"/>
    </w:pPr>
    <w:rPr>
      <w:sz w:val="18"/>
      <w:szCs w:val="18"/>
    </w:rPr>
  </w:style>
  <w:style w:type="paragraph" w:styleId="IndexHeading">
    <w:name w:val="index heading"/>
    <w:basedOn w:val="Normal"/>
    <w:next w:val="Index1"/>
    <w:semiHidden/>
    <w:rsid w:val="00B71E8D"/>
    <w:pPr>
      <w:spacing w:before="240"/>
      <w:jc w:val="center"/>
    </w:pPr>
    <w:rPr>
      <w:b/>
      <w:bCs/>
      <w:sz w:val="26"/>
      <w:szCs w:val="26"/>
    </w:rPr>
  </w:style>
  <w:style w:type="numbering" w:customStyle="1" w:styleId="StyleBulletedSymbolsymbolLeft025Hanging0251">
    <w:name w:val="Style Bulleted Symbol (symbol) Left:  0.25&quot; Hanging:  0.25&quot;1"/>
    <w:basedOn w:val="NoList"/>
    <w:rsid w:val="00B71E8D"/>
    <w:pPr>
      <w:numPr>
        <w:numId w:val="9"/>
      </w:numPr>
    </w:pPr>
  </w:style>
  <w:style w:type="paragraph" w:customStyle="1" w:styleId="Style1">
    <w:name w:val="Style1"/>
    <w:basedOn w:val="Figure"/>
    <w:rsid w:val="00B71E8D"/>
    <w:pPr>
      <w:numPr>
        <w:numId w:val="0"/>
      </w:numPr>
      <w:tabs>
        <w:tab w:val="num" w:pos="1080"/>
      </w:tabs>
      <w:ind w:left="1080" w:hanging="360"/>
    </w:pPr>
  </w:style>
  <w:style w:type="paragraph" w:styleId="TOCHeading">
    <w:name w:val="TOC Heading"/>
    <w:basedOn w:val="Heading1"/>
    <w:next w:val="Normal"/>
    <w:uiPriority w:val="39"/>
    <w:unhideWhenUsed/>
    <w:qFormat/>
    <w:rsid w:val="00B71E8D"/>
    <w:pPr>
      <w:keepLines/>
      <w:numPr>
        <w:numId w:val="0"/>
      </w:numPr>
      <w:spacing w:before="480" w:after="0" w:line="276" w:lineRule="auto"/>
      <w:outlineLvl w:val="9"/>
    </w:pPr>
    <w:rPr>
      <w:rFonts w:ascii="Cambria" w:hAnsi="Cambria" w:cs="Times New Roman"/>
      <w:color w:val="365F91"/>
      <w:kern w:val="0"/>
      <w:szCs w:val="28"/>
    </w:rPr>
  </w:style>
  <w:style w:type="paragraph" w:styleId="NoSpacing">
    <w:name w:val="No Spacing"/>
    <w:link w:val="NoSpacingChar"/>
    <w:uiPriority w:val="1"/>
    <w:qFormat/>
    <w:rsid w:val="00B71E8D"/>
    <w:pPr>
      <w:spacing w:after="0" w:line="240" w:lineRule="auto"/>
    </w:pPr>
  </w:style>
  <w:style w:type="character" w:customStyle="1" w:styleId="NoSpacingChar">
    <w:name w:val="No Spacing Char"/>
    <w:basedOn w:val="DefaultParagraphFont"/>
    <w:link w:val="NoSpacing"/>
    <w:uiPriority w:val="1"/>
    <w:rsid w:val="00B71E8D"/>
  </w:style>
  <w:style w:type="character" w:styleId="PlaceholderText">
    <w:name w:val="Placeholder Text"/>
    <w:basedOn w:val="DefaultParagraphFont"/>
    <w:uiPriority w:val="99"/>
    <w:semiHidden/>
    <w:rsid w:val="00B71E8D"/>
    <w:rPr>
      <w:color w:val="808080"/>
    </w:rPr>
  </w:style>
  <w:style w:type="numbering" w:customStyle="1" w:styleId="Style2">
    <w:name w:val="Style2"/>
    <w:uiPriority w:val="99"/>
    <w:rsid w:val="00B71E8D"/>
    <w:pPr>
      <w:numPr>
        <w:numId w:val="10"/>
      </w:numPr>
    </w:pPr>
  </w:style>
  <w:style w:type="paragraph" w:customStyle="1" w:styleId="MTDisplayEquation">
    <w:name w:val="MTDisplayEquation"/>
    <w:basedOn w:val="Normal"/>
    <w:next w:val="Normal"/>
    <w:link w:val="MTDisplayEquationChar"/>
    <w:rsid w:val="00B71E8D"/>
    <w:pPr>
      <w:tabs>
        <w:tab w:val="center" w:pos="4520"/>
        <w:tab w:val="right" w:pos="9020"/>
      </w:tabs>
      <w:spacing w:after="0" w:line="336" w:lineRule="auto"/>
      <w:ind w:firstLine="0"/>
    </w:pPr>
  </w:style>
  <w:style w:type="character" w:customStyle="1" w:styleId="MTDisplayEquationChar">
    <w:name w:val="MTDisplayEquation Char"/>
    <w:basedOn w:val="DefaultParagraphFont"/>
    <w:link w:val="MTDisplayEquation"/>
    <w:rsid w:val="00B71E8D"/>
    <w:rPr>
      <w:rFonts w:ascii="Times New Roman" w:eastAsia="Times New Roman" w:hAnsi="Times New Roman" w:cs="Times New Roman"/>
      <w:sz w:val="24"/>
      <w:szCs w:val="24"/>
    </w:rPr>
  </w:style>
  <w:style w:type="paragraph" w:customStyle="1" w:styleId="sgtosupertitle">
    <w:name w:val="sgtosupertitle"/>
    <w:basedOn w:val="Normal"/>
    <w:rsid w:val="00B71E8D"/>
    <w:pPr>
      <w:spacing w:before="100" w:beforeAutospacing="1" w:after="100" w:afterAutospacing="1"/>
      <w:ind w:firstLine="0"/>
      <w:jc w:val="left"/>
    </w:pPr>
  </w:style>
  <w:style w:type="paragraph" w:customStyle="1" w:styleId="tim">
    <w:name w:val="tim"/>
    <w:basedOn w:val="NormalWeb"/>
    <w:rsid w:val="00386E01"/>
    <w:rPr>
      <w:sz w:val="24"/>
    </w:rPr>
  </w:style>
  <w:style w:type="table" w:styleId="LightGrid-Accent5">
    <w:name w:val="Light Grid Accent 5"/>
    <w:basedOn w:val="TableNormal"/>
    <w:uiPriority w:val="62"/>
    <w:rsid w:val="005926AC"/>
    <w:pPr>
      <w:spacing w:after="0" w:line="240" w:lineRule="auto"/>
    </w:pPr>
    <w:rPr>
      <w:rFonts w:ascii="Times New Roman" w:eastAsiaTheme="minorHAnsi" w:hAnsi="Times New Roman"/>
      <w:sz w:val="26"/>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A3F33"/>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1">
    <w:name w:val="Table Grid1"/>
    <w:basedOn w:val="TableNormal"/>
    <w:next w:val="TableGrid"/>
    <w:uiPriority w:val="59"/>
    <w:rsid w:val="00FF27B1"/>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91263"/>
    <w:rPr>
      <w:rFonts w:ascii="Times New Roman" w:eastAsia="Times New Roman" w:hAnsi="Times New Roman" w:cs="Times New Roman"/>
      <w:sz w:val="28"/>
      <w:szCs w:val="24"/>
    </w:rPr>
  </w:style>
  <w:style w:type="table" w:styleId="LightGrid-Accent6">
    <w:name w:val="Light Grid Accent 6"/>
    <w:basedOn w:val="TableNormal"/>
    <w:uiPriority w:val="62"/>
    <w:rsid w:val="00F17A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fftimenewsromanfs12pt1">
    <w:name w:val="ff_time_news_roman_fs_12pt1"/>
    <w:basedOn w:val="DefaultParagraphFont"/>
    <w:rsid w:val="00797469"/>
    <w:rPr>
      <w:rFonts w:ascii="Times New Roman" w:hAnsi="Times New Roman" w:cs="Times New Roman"/>
      <w:sz w:val="24"/>
      <w:szCs w:val="24"/>
      <w:shd w:val="clear" w:color="auto" w:fill="FFFFFF"/>
    </w:rPr>
  </w:style>
  <w:style w:type="table" w:customStyle="1" w:styleId="TableGrid2">
    <w:name w:val="Table Grid2"/>
    <w:basedOn w:val="TableNormal"/>
    <w:next w:val="TableGrid"/>
    <w:uiPriority w:val="59"/>
    <w:rsid w:val="00164B5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3158">
      <w:bodyDiv w:val="1"/>
      <w:marLeft w:val="0"/>
      <w:marRight w:val="0"/>
      <w:marTop w:val="0"/>
      <w:marBottom w:val="0"/>
      <w:divBdr>
        <w:top w:val="none" w:sz="0" w:space="0" w:color="auto"/>
        <w:left w:val="none" w:sz="0" w:space="0" w:color="auto"/>
        <w:bottom w:val="none" w:sz="0" w:space="0" w:color="auto"/>
        <w:right w:val="none" w:sz="0" w:space="0" w:color="auto"/>
      </w:divBdr>
    </w:div>
    <w:div w:id="114495061">
      <w:bodyDiv w:val="1"/>
      <w:marLeft w:val="0"/>
      <w:marRight w:val="0"/>
      <w:marTop w:val="0"/>
      <w:marBottom w:val="0"/>
      <w:divBdr>
        <w:top w:val="none" w:sz="0" w:space="0" w:color="auto"/>
        <w:left w:val="none" w:sz="0" w:space="0" w:color="auto"/>
        <w:bottom w:val="none" w:sz="0" w:space="0" w:color="auto"/>
        <w:right w:val="none" w:sz="0" w:space="0" w:color="auto"/>
      </w:divBdr>
    </w:div>
    <w:div w:id="787048127">
      <w:bodyDiv w:val="1"/>
      <w:marLeft w:val="0"/>
      <w:marRight w:val="0"/>
      <w:marTop w:val="0"/>
      <w:marBottom w:val="0"/>
      <w:divBdr>
        <w:top w:val="none" w:sz="0" w:space="0" w:color="auto"/>
        <w:left w:val="none" w:sz="0" w:space="0" w:color="auto"/>
        <w:bottom w:val="none" w:sz="0" w:space="0" w:color="auto"/>
        <w:right w:val="none" w:sz="0" w:space="0" w:color="auto"/>
      </w:divBdr>
    </w:div>
    <w:div w:id="940603352">
      <w:bodyDiv w:val="1"/>
      <w:marLeft w:val="0"/>
      <w:marRight w:val="0"/>
      <w:marTop w:val="0"/>
      <w:marBottom w:val="0"/>
      <w:divBdr>
        <w:top w:val="none" w:sz="0" w:space="0" w:color="auto"/>
        <w:left w:val="none" w:sz="0" w:space="0" w:color="auto"/>
        <w:bottom w:val="none" w:sz="0" w:space="0" w:color="auto"/>
        <w:right w:val="none" w:sz="0" w:space="0" w:color="auto"/>
      </w:divBdr>
      <w:divsChild>
        <w:div w:id="281809793">
          <w:marLeft w:val="0"/>
          <w:marRight w:val="0"/>
          <w:marTop w:val="0"/>
          <w:marBottom w:val="0"/>
          <w:divBdr>
            <w:top w:val="none" w:sz="0" w:space="0" w:color="auto"/>
            <w:left w:val="none" w:sz="0" w:space="0" w:color="auto"/>
            <w:bottom w:val="none" w:sz="0" w:space="0" w:color="auto"/>
            <w:right w:val="none" w:sz="0" w:space="0" w:color="auto"/>
          </w:divBdr>
        </w:div>
      </w:divsChild>
    </w:div>
    <w:div w:id="1287466393">
      <w:bodyDiv w:val="1"/>
      <w:marLeft w:val="0"/>
      <w:marRight w:val="0"/>
      <w:marTop w:val="0"/>
      <w:marBottom w:val="0"/>
      <w:divBdr>
        <w:top w:val="none" w:sz="0" w:space="0" w:color="auto"/>
        <w:left w:val="none" w:sz="0" w:space="0" w:color="auto"/>
        <w:bottom w:val="none" w:sz="0" w:space="0" w:color="auto"/>
        <w:right w:val="none" w:sz="0" w:space="0" w:color="auto"/>
      </w:divBdr>
      <w:divsChild>
        <w:div w:id="602608737">
          <w:marLeft w:val="0"/>
          <w:marRight w:val="0"/>
          <w:marTop w:val="0"/>
          <w:marBottom w:val="0"/>
          <w:divBdr>
            <w:top w:val="none" w:sz="0" w:space="0" w:color="auto"/>
            <w:left w:val="none" w:sz="0" w:space="0" w:color="auto"/>
            <w:bottom w:val="none" w:sz="0" w:space="0" w:color="auto"/>
            <w:right w:val="none" w:sz="0" w:space="0" w:color="auto"/>
          </w:divBdr>
        </w:div>
      </w:divsChild>
    </w:div>
    <w:div w:id="1437670482">
      <w:bodyDiv w:val="1"/>
      <w:marLeft w:val="0"/>
      <w:marRight w:val="0"/>
      <w:marTop w:val="0"/>
      <w:marBottom w:val="0"/>
      <w:divBdr>
        <w:top w:val="none" w:sz="0" w:space="0" w:color="auto"/>
        <w:left w:val="none" w:sz="0" w:space="0" w:color="auto"/>
        <w:bottom w:val="none" w:sz="0" w:space="0" w:color="auto"/>
        <w:right w:val="none" w:sz="0" w:space="0" w:color="auto"/>
      </w:divBdr>
    </w:div>
    <w:div w:id="19902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My%20Templates\Paper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TRANG\BC%20T&#7892;NG%20QUAN\Bao%20cao%202015\CACIS_input_ref_tang%20truong.xlsx"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3.xml.rels><?xml version="1.0" encoding="UTF-8" standalone="yes"?>
<Relationships xmlns="http://schemas.openxmlformats.org/package/2006/relationships"><Relationship Id="rId1" Type="http://schemas.openxmlformats.org/officeDocument/2006/relationships/oleObject" Target="file:///E:\TPCP%20th&#225;ng%203.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t\Desktop\S&#7889;%20li&#7879;u%20v&#297;%20m&#244;%2023.02.2016\So%20lieu\S&#7889;%20li&#7879;u%20ph&#7909;c%20v&#7909;%20vi&#7871;t%20b&#225;o%20c&#225;o%20th&#432;&#7901;ng%20xuy&#234;n\S&#7889;%20li&#7879;u%20h&#224;ng%20th&#225;ng%2024.02.2016\so%20lieu%20vi%20mo%20theo%20thang.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Det\Desktop\S&#7889;%20li&#7879;u%20v&#297;%20m&#244;%2023.02.2016\So%20lieu\S&#7889;%20li&#7879;u%20ph&#7909;c%20v&#7909;%20vi&#7871;t%20b&#225;o%20c&#225;o%20th&#432;&#7901;ng%20xuy&#234;n\S&#7889;%20li&#7879;u%20h&#224;ng%20th&#225;ng%2024.02.2016\Nh&#243;m%20ch&#7881;%20ti&#234;u%20CPI%20update%2008.14\T&#237;nh%20to&#225;n%20l&#7841;m%20ph&#225;t%20c&#417;%20b&#7843;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LUU%20O%20E\Bieu%20d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Dropbox\BCTC%20tu&#7847;n\Data\Data%20v&#7869;%20bi&#7875;u%20&#273;&#7891;\D&#7919;%20li&#7879;u%20v&#7869;%20bi&#7875;u%20&#273;&#7891;%20-%20chu&#7849;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486458872571698E-2"/>
          <c:y val="6.3449702069184877E-2"/>
          <c:w val="0.86023792333051841"/>
          <c:h val="0.47213953417531279"/>
        </c:manualLayout>
      </c:layout>
      <c:barChart>
        <c:barDir val="col"/>
        <c:grouping val="clustered"/>
        <c:varyColors val="0"/>
        <c:ser>
          <c:idx val="0"/>
          <c:order val="0"/>
          <c:tx>
            <c:v>Tăng trưởng</c:v>
          </c:tx>
          <c:spPr>
            <a:solidFill>
              <a:schemeClr val="accent5">
                <a:lumMod val="75000"/>
              </a:schemeClr>
            </a:solidFill>
          </c:spPr>
          <c:invertIfNegative val="0"/>
          <c:cat>
            <c:strRef>
              <c:f>Sheet1!$A$46:$A$65</c:f>
              <c:strCache>
                <c:ptCount val="20"/>
                <c:pt idx="0">
                  <c:v>Q1-2011</c:v>
                </c:pt>
                <c:pt idx="1">
                  <c:v>Q2-2011</c:v>
                </c:pt>
                <c:pt idx="2">
                  <c:v>Q3-2011</c:v>
                </c:pt>
                <c:pt idx="3">
                  <c:v>Q4-2011</c:v>
                </c:pt>
                <c:pt idx="4">
                  <c:v>Q1-2012</c:v>
                </c:pt>
                <c:pt idx="5">
                  <c:v>Q2-2012</c:v>
                </c:pt>
                <c:pt idx="6">
                  <c:v>Q3-2012</c:v>
                </c:pt>
                <c:pt idx="7">
                  <c:v>Q4-2012</c:v>
                </c:pt>
                <c:pt idx="8">
                  <c:v>Q1-2013</c:v>
                </c:pt>
                <c:pt idx="9">
                  <c:v>Q2-2013</c:v>
                </c:pt>
                <c:pt idx="10">
                  <c:v>Q3-2013</c:v>
                </c:pt>
                <c:pt idx="11">
                  <c:v>Q4-2013</c:v>
                </c:pt>
                <c:pt idx="12">
                  <c:v>Q1-2014</c:v>
                </c:pt>
                <c:pt idx="13">
                  <c:v>Q2-2014</c:v>
                </c:pt>
                <c:pt idx="14">
                  <c:v>Q3-2014</c:v>
                </c:pt>
                <c:pt idx="15">
                  <c:v>Q4-2014</c:v>
                </c:pt>
                <c:pt idx="16">
                  <c:v>Q1-2015</c:v>
                </c:pt>
                <c:pt idx="17">
                  <c:v>Q2-2015</c:v>
                </c:pt>
                <c:pt idx="18">
                  <c:v>Q3-2015</c:v>
                </c:pt>
                <c:pt idx="19">
                  <c:v>Q4-2015</c:v>
                </c:pt>
              </c:strCache>
            </c:strRef>
          </c:cat>
          <c:val>
            <c:numRef>
              <c:f>Sheet1!$C$46:$C$65</c:f>
              <c:numCache>
                <c:formatCode>0.00</c:formatCode>
                <c:ptCount val="20"/>
                <c:pt idx="0">
                  <c:v>5.9</c:v>
                </c:pt>
                <c:pt idx="1">
                  <c:v>5.9300000000000024</c:v>
                </c:pt>
                <c:pt idx="2">
                  <c:v>6.21</c:v>
                </c:pt>
                <c:pt idx="3">
                  <c:v>6.71</c:v>
                </c:pt>
                <c:pt idx="4">
                  <c:v>4.75</c:v>
                </c:pt>
                <c:pt idx="5">
                  <c:v>5.08</c:v>
                </c:pt>
                <c:pt idx="6">
                  <c:v>5.3899999999999899</c:v>
                </c:pt>
                <c:pt idx="7">
                  <c:v>5.57</c:v>
                </c:pt>
                <c:pt idx="8">
                  <c:v>4.76</c:v>
                </c:pt>
                <c:pt idx="9">
                  <c:v>5</c:v>
                </c:pt>
                <c:pt idx="10">
                  <c:v>5.54</c:v>
                </c:pt>
                <c:pt idx="11">
                  <c:v>6.04</c:v>
                </c:pt>
                <c:pt idx="12">
                  <c:v>5.0599999999999996</c:v>
                </c:pt>
                <c:pt idx="13">
                  <c:v>5.34</c:v>
                </c:pt>
                <c:pt idx="14">
                  <c:v>6.07</c:v>
                </c:pt>
                <c:pt idx="15">
                  <c:v>6.96</c:v>
                </c:pt>
                <c:pt idx="16">
                  <c:v>6.1199999999999966</c:v>
                </c:pt>
                <c:pt idx="17">
                  <c:v>6.4700000000000024</c:v>
                </c:pt>
                <c:pt idx="18">
                  <c:v>6.87</c:v>
                </c:pt>
                <c:pt idx="19">
                  <c:v>7.01</c:v>
                </c:pt>
              </c:numCache>
            </c:numRef>
          </c:val>
        </c:ser>
        <c:dLbls>
          <c:showLegendKey val="0"/>
          <c:showVal val="0"/>
          <c:showCatName val="0"/>
          <c:showSerName val="0"/>
          <c:showPercent val="0"/>
          <c:showBubbleSize val="0"/>
        </c:dLbls>
        <c:gapWidth val="150"/>
        <c:axId val="143446400"/>
        <c:axId val="143447936"/>
      </c:barChart>
      <c:lineChart>
        <c:grouping val="standard"/>
        <c:varyColors val="0"/>
        <c:ser>
          <c:idx val="1"/>
          <c:order val="1"/>
          <c:tx>
            <c:v>Tăng trưởng loại bỏ yếu tố mùa vụ</c:v>
          </c:tx>
          <c:marker>
            <c:symbol val="none"/>
          </c:marker>
          <c:cat>
            <c:strRef>
              <c:f>Sheet1!$A$46:$A$65</c:f>
              <c:strCache>
                <c:ptCount val="20"/>
                <c:pt idx="0">
                  <c:v>Q1-2011</c:v>
                </c:pt>
                <c:pt idx="1">
                  <c:v>Q2-2011</c:v>
                </c:pt>
                <c:pt idx="2">
                  <c:v>Q3-2011</c:v>
                </c:pt>
                <c:pt idx="3">
                  <c:v>Q4-2011</c:v>
                </c:pt>
                <c:pt idx="4">
                  <c:v>Q1-2012</c:v>
                </c:pt>
                <c:pt idx="5">
                  <c:v>Q2-2012</c:v>
                </c:pt>
                <c:pt idx="6">
                  <c:v>Q3-2012</c:v>
                </c:pt>
                <c:pt idx="7">
                  <c:v>Q4-2012</c:v>
                </c:pt>
                <c:pt idx="8">
                  <c:v>Q1-2013</c:v>
                </c:pt>
                <c:pt idx="9">
                  <c:v>Q2-2013</c:v>
                </c:pt>
                <c:pt idx="10">
                  <c:v>Q3-2013</c:v>
                </c:pt>
                <c:pt idx="11">
                  <c:v>Q4-2013</c:v>
                </c:pt>
                <c:pt idx="12">
                  <c:v>Q1-2014</c:v>
                </c:pt>
                <c:pt idx="13">
                  <c:v>Q2-2014</c:v>
                </c:pt>
                <c:pt idx="14">
                  <c:v>Q3-2014</c:v>
                </c:pt>
                <c:pt idx="15">
                  <c:v>Q4-2014</c:v>
                </c:pt>
                <c:pt idx="16">
                  <c:v>Q1-2015</c:v>
                </c:pt>
                <c:pt idx="17">
                  <c:v>Q2-2015</c:v>
                </c:pt>
                <c:pt idx="18">
                  <c:v>Q3-2015</c:v>
                </c:pt>
                <c:pt idx="19">
                  <c:v>Q4-2015</c:v>
                </c:pt>
              </c:strCache>
            </c:strRef>
          </c:cat>
          <c:val>
            <c:numRef>
              <c:f>Sheet1!$D$46:$D$65</c:f>
              <c:numCache>
                <c:formatCode>0.00</c:formatCode>
                <c:ptCount val="20"/>
                <c:pt idx="0">
                  <c:v>6.5784698035053637</c:v>
                </c:pt>
                <c:pt idx="1">
                  <c:v>6.2722991032072759</c:v>
                </c:pt>
                <c:pt idx="2">
                  <c:v>6.0534801415313204</c:v>
                </c:pt>
                <c:pt idx="3">
                  <c:v>5.95898608825292</c:v>
                </c:pt>
                <c:pt idx="4">
                  <c:v>5.2659158092752323</c:v>
                </c:pt>
                <c:pt idx="5">
                  <c:v>5.3504882076838385</c:v>
                </c:pt>
                <c:pt idx="6">
                  <c:v>5.2558291251506661</c:v>
                </c:pt>
                <c:pt idx="7">
                  <c:v>4.9839494091675238</c:v>
                </c:pt>
                <c:pt idx="8">
                  <c:v>5.2437159356322303</c:v>
                </c:pt>
                <c:pt idx="9">
                  <c:v>5.2643333904369385</c:v>
                </c:pt>
                <c:pt idx="10">
                  <c:v>5.3764428499967396</c:v>
                </c:pt>
                <c:pt idx="11">
                  <c:v>5.4574835063060059</c:v>
                </c:pt>
                <c:pt idx="12">
                  <c:v>5.5419495087543424</c:v>
                </c:pt>
                <c:pt idx="13">
                  <c:v>5.6169659534268375</c:v>
                </c:pt>
                <c:pt idx="14">
                  <c:v>5.8858044448268885</c:v>
                </c:pt>
                <c:pt idx="15">
                  <c:v>6.308271793004276</c:v>
                </c:pt>
                <c:pt idx="16">
                  <c:v>6.6924514098662762</c:v>
                </c:pt>
                <c:pt idx="17">
                  <c:v>6.8006629137996359</c:v>
                </c:pt>
                <c:pt idx="18">
                  <c:v>6.6577723584372661</c:v>
                </c:pt>
                <c:pt idx="19">
                  <c:v>6.3695963242123899</c:v>
                </c:pt>
              </c:numCache>
            </c:numRef>
          </c:val>
          <c:smooth val="0"/>
        </c:ser>
        <c:dLbls>
          <c:showLegendKey val="0"/>
          <c:showVal val="0"/>
          <c:showCatName val="0"/>
          <c:showSerName val="0"/>
          <c:showPercent val="0"/>
          <c:showBubbleSize val="0"/>
        </c:dLbls>
        <c:marker val="1"/>
        <c:smooth val="0"/>
        <c:axId val="143446400"/>
        <c:axId val="143447936"/>
      </c:lineChart>
      <c:catAx>
        <c:axId val="143446400"/>
        <c:scaling>
          <c:orientation val="minMax"/>
        </c:scaling>
        <c:delete val="0"/>
        <c:axPos val="b"/>
        <c:majorTickMark val="none"/>
        <c:minorTickMark val="none"/>
        <c:tickLblPos val="nextTo"/>
        <c:txPr>
          <a:bodyPr/>
          <a:lstStyle/>
          <a:p>
            <a:pPr>
              <a:defRPr sz="600"/>
            </a:pPr>
            <a:endParaRPr lang="en-US"/>
          </a:p>
        </c:txPr>
        <c:crossAx val="143447936"/>
        <c:crosses val="autoZero"/>
        <c:auto val="1"/>
        <c:lblAlgn val="ctr"/>
        <c:lblOffset val="100"/>
        <c:noMultiLvlLbl val="0"/>
      </c:catAx>
      <c:valAx>
        <c:axId val="143447936"/>
        <c:scaling>
          <c:orientation val="minMax"/>
          <c:max val="7"/>
          <c:min val="0"/>
        </c:scaling>
        <c:delete val="0"/>
        <c:axPos val="l"/>
        <c:majorGridlines>
          <c:spPr>
            <a:ln>
              <a:solidFill>
                <a:schemeClr val="accent1"/>
              </a:solidFill>
              <a:prstDash val="sysDot"/>
            </a:ln>
          </c:spPr>
        </c:majorGridlines>
        <c:numFmt formatCode="0" sourceLinked="0"/>
        <c:majorTickMark val="none"/>
        <c:minorTickMark val="none"/>
        <c:tickLblPos val="nextTo"/>
        <c:spPr>
          <a:ln>
            <a:noFill/>
          </a:ln>
        </c:spPr>
        <c:crossAx val="143446400"/>
        <c:crosses val="autoZero"/>
        <c:crossBetween val="between"/>
        <c:majorUnit val="2"/>
      </c:valAx>
    </c:plotArea>
    <c:legend>
      <c:legendPos val="b"/>
      <c:layout>
        <c:manualLayout>
          <c:xMode val="edge"/>
          <c:yMode val="edge"/>
          <c:x val="4.1474926253687323E-2"/>
          <c:y val="0.77582889976590752"/>
          <c:w val="0.88704573432745704"/>
          <c:h val="0.17820974234369208"/>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NDF.1m</c:v>
                </c:pt>
              </c:strCache>
            </c:strRef>
          </c:tx>
          <c:marker>
            <c:symbol val="none"/>
          </c:marker>
          <c:cat>
            <c:numRef>
              <c:f>Sheet1!$A$2:$A$50</c:f>
              <c:numCache>
                <c:formatCode>m/d/yyyy</c:formatCode>
                <c:ptCount val="49"/>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42415</c:v>
                </c:pt>
                <c:pt idx="26">
                  <c:v>42416</c:v>
                </c:pt>
                <c:pt idx="27">
                  <c:v>42417</c:v>
                </c:pt>
                <c:pt idx="28">
                  <c:v>42418</c:v>
                </c:pt>
                <c:pt idx="29">
                  <c:v>42422</c:v>
                </c:pt>
                <c:pt idx="30">
                  <c:v>42423</c:v>
                </c:pt>
                <c:pt idx="31">
                  <c:v>42424</c:v>
                </c:pt>
                <c:pt idx="32">
                  <c:v>42425</c:v>
                </c:pt>
                <c:pt idx="33">
                  <c:v>42426</c:v>
                </c:pt>
                <c:pt idx="34">
                  <c:v>42429</c:v>
                </c:pt>
                <c:pt idx="35">
                  <c:v>42430</c:v>
                </c:pt>
                <c:pt idx="36">
                  <c:v>42431</c:v>
                </c:pt>
                <c:pt idx="37">
                  <c:v>42432</c:v>
                </c:pt>
                <c:pt idx="38">
                  <c:v>42433</c:v>
                </c:pt>
                <c:pt idx="39">
                  <c:v>42436</c:v>
                </c:pt>
                <c:pt idx="40">
                  <c:v>42437</c:v>
                </c:pt>
                <c:pt idx="41">
                  <c:v>42438</c:v>
                </c:pt>
                <c:pt idx="42">
                  <c:v>42439</c:v>
                </c:pt>
                <c:pt idx="43">
                  <c:v>42440</c:v>
                </c:pt>
                <c:pt idx="44">
                  <c:v>42443</c:v>
                </c:pt>
                <c:pt idx="45">
                  <c:v>42444</c:v>
                </c:pt>
                <c:pt idx="46">
                  <c:v>42445</c:v>
                </c:pt>
                <c:pt idx="47">
                  <c:v>42446</c:v>
                </c:pt>
                <c:pt idx="48">
                  <c:v>42447</c:v>
                </c:pt>
              </c:numCache>
            </c:numRef>
          </c:cat>
          <c:val>
            <c:numRef>
              <c:f>Sheet1!$B$2:$B$50</c:f>
              <c:numCache>
                <c:formatCode>General</c:formatCode>
                <c:ptCount val="49"/>
                <c:pt idx="0">
                  <c:v>23000</c:v>
                </c:pt>
                <c:pt idx="1">
                  <c:v>23000</c:v>
                </c:pt>
                <c:pt idx="2">
                  <c:v>23000</c:v>
                </c:pt>
                <c:pt idx="3">
                  <c:v>23000</c:v>
                </c:pt>
                <c:pt idx="4">
                  <c:v>23000</c:v>
                </c:pt>
                <c:pt idx="5">
                  <c:v>23000</c:v>
                </c:pt>
                <c:pt idx="6">
                  <c:v>23000</c:v>
                </c:pt>
                <c:pt idx="7">
                  <c:v>23000</c:v>
                </c:pt>
                <c:pt idx="8">
                  <c:v>23000</c:v>
                </c:pt>
                <c:pt idx="9">
                  <c:v>23000</c:v>
                </c:pt>
                <c:pt idx="10">
                  <c:v>23000</c:v>
                </c:pt>
                <c:pt idx="11">
                  <c:v>23000</c:v>
                </c:pt>
                <c:pt idx="12">
                  <c:v>23000</c:v>
                </c:pt>
                <c:pt idx="13">
                  <c:v>23000</c:v>
                </c:pt>
                <c:pt idx="14">
                  <c:v>23000</c:v>
                </c:pt>
                <c:pt idx="15">
                  <c:v>23000</c:v>
                </c:pt>
                <c:pt idx="16">
                  <c:v>23000</c:v>
                </c:pt>
                <c:pt idx="17">
                  <c:v>23000</c:v>
                </c:pt>
                <c:pt idx="18">
                  <c:v>23000</c:v>
                </c:pt>
                <c:pt idx="19">
                  <c:v>23000</c:v>
                </c:pt>
                <c:pt idx="20">
                  <c:v>23000</c:v>
                </c:pt>
                <c:pt idx="21">
                  <c:v>23000</c:v>
                </c:pt>
                <c:pt idx="22">
                  <c:v>23000</c:v>
                </c:pt>
                <c:pt idx="23">
                  <c:v>23000</c:v>
                </c:pt>
                <c:pt idx="24">
                  <c:v>22800</c:v>
                </c:pt>
                <c:pt idx="25">
                  <c:v>22800</c:v>
                </c:pt>
                <c:pt idx="26">
                  <c:v>22800</c:v>
                </c:pt>
                <c:pt idx="27">
                  <c:v>22800</c:v>
                </c:pt>
                <c:pt idx="28">
                  <c:v>22800</c:v>
                </c:pt>
                <c:pt idx="29">
                  <c:v>22800</c:v>
                </c:pt>
                <c:pt idx="30">
                  <c:v>22800</c:v>
                </c:pt>
                <c:pt idx="31">
                  <c:v>22800</c:v>
                </c:pt>
                <c:pt idx="32">
                  <c:v>22800</c:v>
                </c:pt>
                <c:pt idx="33">
                  <c:v>22800</c:v>
                </c:pt>
                <c:pt idx="34">
                  <c:v>22800</c:v>
                </c:pt>
                <c:pt idx="35">
                  <c:v>22800</c:v>
                </c:pt>
                <c:pt idx="36">
                  <c:v>22800</c:v>
                </c:pt>
                <c:pt idx="37">
                  <c:v>22800</c:v>
                </c:pt>
                <c:pt idx="38">
                  <c:v>22800</c:v>
                </c:pt>
                <c:pt idx="39">
                  <c:v>22800</c:v>
                </c:pt>
                <c:pt idx="40">
                  <c:v>22800</c:v>
                </c:pt>
                <c:pt idx="41">
                  <c:v>22800</c:v>
                </c:pt>
                <c:pt idx="42">
                  <c:v>22800</c:v>
                </c:pt>
                <c:pt idx="43">
                  <c:v>22800</c:v>
                </c:pt>
                <c:pt idx="44">
                  <c:v>22800</c:v>
                </c:pt>
                <c:pt idx="45">
                  <c:v>22800</c:v>
                </c:pt>
                <c:pt idx="46">
                  <c:v>22800</c:v>
                </c:pt>
                <c:pt idx="47">
                  <c:v>22800</c:v>
                </c:pt>
                <c:pt idx="48">
                  <c:v>22800</c:v>
                </c:pt>
              </c:numCache>
            </c:numRef>
          </c:val>
          <c:smooth val="0"/>
        </c:ser>
        <c:ser>
          <c:idx val="1"/>
          <c:order val="1"/>
          <c:tx>
            <c:strRef>
              <c:f>Sheet1!$C$1</c:f>
              <c:strCache>
                <c:ptCount val="1"/>
                <c:pt idx="0">
                  <c:v>NDF.3m</c:v>
                </c:pt>
              </c:strCache>
            </c:strRef>
          </c:tx>
          <c:spPr>
            <a:ln>
              <a:prstDash val="dashDot"/>
            </a:ln>
          </c:spPr>
          <c:marker>
            <c:symbol val="none"/>
          </c:marker>
          <c:cat>
            <c:numRef>
              <c:f>Sheet1!$A$2:$A$50</c:f>
              <c:numCache>
                <c:formatCode>m/d/yyyy</c:formatCode>
                <c:ptCount val="49"/>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42415</c:v>
                </c:pt>
                <c:pt idx="26">
                  <c:v>42416</c:v>
                </c:pt>
                <c:pt idx="27">
                  <c:v>42417</c:v>
                </c:pt>
                <c:pt idx="28">
                  <c:v>42418</c:v>
                </c:pt>
                <c:pt idx="29">
                  <c:v>42422</c:v>
                </c:pt>
                <c:pt idx="30">
                  <c:v>42423</c:v>
                </c:pt>
                <c:pt idx="31">
                  <c:v>42424</c:v>
                </c:pt>
                <c:pt idx="32">
                  <c:v>42425</c:v>
                </c:pt>
                <c:pt idx="33">
                  <c:v>42426</c:v>
                </c:pt>
                <c:pt idx="34">
                  <c:v>42429</c:v>
                </c:pt>
                <c:pt idx="35">
                  <c:v>42430</c:v>
                </c:pt>
                <c:pt idx="36">
                  <c:v>42431</c:v>
                </c:pt>
                <c:pt idx="37">
                  <c:v>42432</c:v>
                </c:pt>
                <c:pt idx="38">
                  <c:v>42433</c:v>
                </c:pt>
                <c:pt idx="39">
                  <c:v>42436</c:v>
                </c:pt>
                <c:pt idx="40">
                  <c:v>42437</c:v>
                </c:pt>
                <c:pt idx="41">
                  <c:v>42438</c:v>
                </c:pt>
                <c:pt idx="42">
                  <c:v>42439</c:v>
                </c:pt>
                <c:pt idx="43">
                  <c:v>42440</c:v>
                </c:pt>
                <c:pt idx="44">
                  <c:v>42443</c:v>
                </c:pt>
                <c:pt idx="45">
                  <c:v>42444</c:v>
                </c:pt>
                <c:pt idx="46">
                  <c:v>42445</c:v>
                </c:pt>
                <c:pt idx="47">
                  <c:v>42446</c:v>
                </c:pt>
                <c:pt idx="48">
                  <c:v>42447</c:v>
                </c:pt>
              </c:numCache>
            </c:numRef>
          </c:cat>
          <c:val>
            <c:numRef>
              <c:f>Sheet1!$C$2:$C$50</c:f>
              <c:numCache>
                <c:formatCode>General</c:formatCode>
                <c:ptCount val="49"/>
                <c:pt idx="0">
                  <c:v>23600</c:v>
                </c:pt>
                <c:pt idx="1">
                  <c:v>23600</c:v>
                </c:pt>
                <c:pt idx="2">
                  <c:v>23600</c:v>
                </c:pt>
                <c:pt idx="3">
                  <c:v>23600</c:v>
                </c:pt>
                <c:pt idx="4">
                  <c:v>23600</c:v>
                </c:pt>
                <c:pt idx="5">
                  <c:v>23600</c:v>
                </c:pt>
                <c:pt idx="6">
                  <c:v>23600</c:v>
                </c:pt>
                <c:pt idx="7">
                  <c:v>23600</c:v>
                </c:pt>
                <c:pt idx="8">
                  <c:v>23600</c:v>
                </c:pt>
                <c:pt idx="9">
                  <c:v>23600</c:v>
                </c:pt>
                <c:pt idx="10">
                  <c:v>23600</c:v>
                </c:pt>
                <c:pt idx="11">
                  <c:v>23600</c:v>
                </c:pt>
                <c:pt idx="12">
                  <c:v>23600</c:v>
                </c:pt>
                <c:pt idx="13">
                  <c:v>23600</c:v>
                </c:pt>
                <c:pt idx="14">
                  <c:v>23600</c:v>
                </c:pt>
                <c:pt idx="15">
                  <c:v>23600</c:v>
                </c:pt>
                <c:pt idx="16">
                  <c:v>23600</c:v>
                </c:pt>
                <c:pt idx="17">
                  <c:v>23600</c:v>
                </c:pt>
                <c:pt idx="18">
                  <c:v>23600</c:v>
                </c:pt>
                <c:pt idx="19">
                  <c:v>23600</c:v>
                </c:pt>
                <c:pt idx="20">
                  <c:v>23600</c:v>
                </c:pt>
                <c:pt idx="21">
                  <c:v>23600</c:v>
                </c:pt>
                <c:pt idx="22">
                  <c:v>23600</c:v>
                </c:pt>
                <c:pt idx="23">
                  <c:v>23600</c:v>
                </c:pt>
                <c:pt idx="24">
                  <c:v>23400</c:v>
                </c:pt>
                <c:pt idx="25">
                  <c:v>23400</c:v>
                </c:pt>
                <c:pt idx="26">
                  <c:v>23400</c:v>
                </c:pt>
                <c:pt idx="27">
                  <c:v>23400</c:v>
                </c:pt>
                <c:pt idx="28">
                  <c:v>23400</c:v>
                </c:pt>
                <c:pt idx="29">
                  <c:v>23400</c:v>
                </c:pt>
                <c:pt idx="30">
                  <c:v>23400</c:v>
                </c:pt>
                <c:pt idx="31">
                  <c:v>23400</c:v>
                </c:pt>
                <c:pt idx="32">
                  <c:v>23400</c:v>
                </c:pt>
                <c:pt idx="33">
                  <c:v>23400</c:v>
                </c:pt>
                <c:pt idx="34">
                  <c:v>23400</c:v>
                </c:pt>
                <c:pt idx="35">
                  <c:v>23400</c:v>
                </c:pt>
                <c:pt idx="36">
                  <c:v>23400</c:v>
                </c:pt>
                <c:pt idx="37">
                  <c:v>23400</c:v>
                </c:pt>
                <c:pt idx="38">
                  <c:v>23400</c:v>
                </c:pt>
                <c:pt idx="39">
                  <c:v>23400</c:v>
                </c:pt>
                <c:pt idx="40">
                  <c:v>23400</c:v>
                </c:pt>
                <c:pt idx="41">
                  <c:v>23400</c:v>
                </c:pt>
                <c:pt idx="42">
                  <c:v>23400</c:v>
                </c:pt>
                <c:pt idx="43">
                  <c:v>23400</c:v>
                </c:pt>
                <c:pt idx="44">
                  <c:v>23400</c:v>
                </c:pt>
                <c:pt idx="45">
                  <c:v>23400</c:v>
                </c:pt>
                <c:pt idx="46">
                  <c:v>23400</c:v>
                </c:pt>
                <c:pt idx="47">
                  <c:v>23400</c:v>
                </c:pt>
                <c:pt idx="48">
                  <c:v>23400</c:v>
                </c:pt>
              </c:numCache>
            </c:numRef>
          </c:val>
          <c:smooth val="0"/>
        </c:ser>
        <c:ser>
          <c:idx val="2"/>
          <c:order val="2"/>
          <c:tx>
            <c:strRef>
              <c:f>Sheet1!$D$1</c:f>
              <c:strCache>
                <c:ptCount val="1"/>
                <c:pt idx="0">
                  <c:v>NDF.6m</c:v>
                </c:pt>
              </c:strCache>
            </c:strRef>
          </c:tx>
          <c:spPr>
            <a:ln>
              <a:prstDash val="dash"/>
            </a:ln>
          </c:spPr>
          <c:marker>
            <c:symbol val="none"/>
          </c:marker>
          <c:cat>
            <c:numRef>
              <c:f>Sheet1!$A$2:$A$50</c:f>
              <c:numCache>
                <c:formatCode>m/d/yyyy</c:formatCode>
                <c:ptCount val="49"/>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42415</c:v>
                </c:pt>
                <c:pt idx="26">
                  <c:v>42416</c:v>
                </c:pt>
                <c:pt idx="27">
                  <c:v>42417</c:v>
                </c:pt>
                <c:pt idx="28">
                  <c:v>42418</c:v>
                </c:pt>
                <c:pt idx="29">
                  <c:v>42422</c:v>
                </c:pt>
                <c:pt idx="30">
                  <c:v>42423</c:v>
                </c:pt>
                <c:pt idx="31">
                  <c:v>42424</c:v>
                </c:pt>
                <c:pt idx="32">
                  <c:v>42425</c:v>
                </c:pt>
                <c:pt idx="33">
                  <c:v>42426</c:v>
                </c:pt>
                <c:pt idx="34">
                  <c:v>42429</c:v>
                </c:pt>
                <c:pt idx="35">
                  <c:v>42430</c:v>
                </c:pt>
                <c:pt idx="36">
                  <c:v>42431</c:v>
                </c:pt>
                <c:pt idx="37">
                  <c:v>42432</c:v>
                </c:pt>
                <c:pt idx="38">
                  <c:v>42433</c:v>
                </c:pt>
                <c:pt idx="39">
                  <c:v>42436</c:v>
                </c:pt>
                <c:pt idx="40">
                  <c:v>42437</c:v>
                </c:pt>
                <c:pt idx="41">
                  <c:v>42438</c:v>
                </c:pt>
                <c:pt idx="42">
                  <c:v>42439</c:v>
                </c:pt>
                <c:pt idx="43">
                  <c:v>42440</c:v>
                </c:pt>
                <c:pt idx="44">
                  <c:v>42443</c:v>
                </c:pt>
                <c:pt idx="45">
                  <c:v>42444</c:v>
                </c:pt>
                <c:pt idx="46">
                  <c:v>42445</c:v>
                </c:pt>
                <c:pt idx="47">
                  <c:v>42446</c:v>
                </c:pt>
                <c:pt idx="48">
                  <c:v>42447</c:v>
                </c:pt>
              </c:numCache>
            </c:numRef>
          </c:cat>
          <c:val>
            <c:numRef>
              <c:f>Sheet1!$D$2:$D$50</c:f>
              <c:numCache>
                <c:formatCode>General</c:formatCode>
                <c:ptCount val="49"/>
                <c:pt idx="0">
                  <c:v>23900</c:v>
                </c:pt>
                <c:pt idx="1">
                  <c:v>23900</c:v>
                </c:pt>
                <c:pt idx="2">
                  <c:v>23900</c:v>
                </c:pt>
                <c:pt idx="3">
                  <c:v>23900</c:v>
                </c:pt>
                <c:pt idx="4">
                  <c:v>23900</c:v>
                </c:pt>
                <c:pt idx="5">
                  <c:v>23900</c:v>
                </c:pt>
                <c:pt idx="6">
                  <c:v>23900</c:v>
                </c:pt>
                <c:pt idx="7">
                  <c:v>23900</c:v>
                </c:pt>
                <c:pt idx="8">
                  <c:v>23900</c:v>
                </c:pt>
                <c:pt idx="9">
                  <c:v>23900</c:v>
                </c:pt>
                <c:pt idx="10">
                  <c:v>23900</c:v>
                </c:pt>
                <c:pt idx="11">
                  <c:v>23900</c:v>
                </c:pt>
                <c:pt idx="12">
                  <c:v>23900</c:v>
                </c:pt>
                <c:pt idx="13">
                  <c:v>23900</c:v>
                </c:pt>
                <c:pt idx="14">
                  <c:v>23900</c:v>
                </c:pt>
                <c:pt idx="15">
                  <c:v>23900</c:v>
                </c:pt>
                <c:pt idx="16">
                  <c:v>23900</c:v>
                </c:pt>
                <c:pt idx="17">
                  <c:v>23900</c:v>
                </c:pt>
                <c:pt idx="18">
                  <c:v>23900</c:v>
                </c:pt>
                <c:pt idx="19">
                  <c:v>23900</c:v>
                </c:pt>
                <c:pt idx="20">
                  <c:v>23900</c:v>
                </c:pt>
                <c:pt idx="21">
                  <c:v>23900</c:v>
                </c:pt>
                <c:pt idx="22">
                  <c:v>23900</c:v>
                </c:pt>
                <c:pt idx="23">
                  <c:v>23900</c:v>
                </c:pt>
                <c:pt idx="24">
                  <c:v>23800</c:v>
                </c:pt>
                <c:pt idx="25">
                  <c:v>23800</c:v>
                </c:pt>
                <c:pt idx="26">
                  <c:v>23800</c:v>
                </c:pt>
                <c:pt idx="27">
                  <c:v>23800</c:v>
                </c:pt>
                <c:pt idx="28">
                  <c:v>23800</c:v>
                </c:pt>
                <c:pt idx="29">
                  <c:v>23800</c:v>
                </c:pt>
                <c:pt idx="30">
                  <c:v>23800</c:v>
                </c:pt>
                <c:pt idx="31">
                  <c:v>23800</c:v>
                </c:pt>
                <c:pt idx="32">
                  <c:v>23800</c:v>
                </c:pt>
                <c:pt idx="33">
                  <c:v>23800</c:v>
                </c:pt>
                <c:pt idx="34">
                  <c:v>23800</c:v>
                </c:pt>
                <c:pt idx="35">
                  <c:v>23800</c:v>
                </c:pt>
                <c:pt idx="36">
                  <c:v>23800</c:v>
                </c:pt>
                <c:pt idx="37">
                  <c:v>23800</c:v>
                </c:pt>
                <c:pt idx="38">
                  <c:v>23800</c:v>
                </c:pt>
                <c:pt idx="39">
                  <c:v>23800</c:v>
                </c:pt>
                <c:pt idx="40">
                  <c:v>23800</c:v>
                </c:pt>
                <c:pt idx="41">
                  <c:v>23800</c:v>
                </c:pt>
                <c:pt idx="42">
                  <c:v>23800</c:v>
                </c:pt>
                <c:pt idx="43">
                  <c:v>23800</c:v>
                </c:pt>
                <c:pt idx="44">
                  <c:v>23800</c:v>
                </c:pt>
                <c:pt idx="45">
                  <c:v>23800</c:v>
                </c:pt>
                <c:pt idx="46">
                  <c:v>23800</c:v>
                </c:pt>
                <c:pt idx="47">
                  <c:v>23800</c:v>
                </c:pt>
                <c:pt idx="48">
                  <c:v>23800</c:v>
                </c:pt>
              </c:numCache>
            </c:numRef>
          </c:val>
          <c:smooth val="0"/>
        </c:ser>
        <c:ser>
          <c:idx val="3"/>
          <c:order val="3"/>
          <c:tx>
            <c:strRef>
              <c:f>Sheet1!$E$1</c:f>
              <c:strCache>
                <c:ptCount val="1"/>
                <c:pt idx="0">
                  <c:v>NDF.12m</c:v>
                </c:pt>
              </c:strCache>
            </c:strRef>
          </c:tx>
          <c:spPr>
            <a:ln>
              <a:prstDash val="lgDash"/>
            </a:ln>
          </c:spPr>
          <c:marker>
            <c:symbol val="none"/>
          </c:marker>
          <c:cat>
            <c:numRef>
              <c:f>Sheet1!$A$2:$A$50</c:f>
              <c:numCache>
                <c:formatCode>m/d/yyyy</c:formatCode>
                <c:ptCount val="49"/>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42415</c:v>
                </c:pt>
                <c:pt idx="26">
                  <c:v>42416</c:v>
                </c:pt>
                <c:pt idx="27">
                  <c:v>42417</c:v>
                </c:pt>
                <c:pt idx="28">
                  <c:v>42418</c:v>
                </c:pt>
                <c:pt idx="29">
                  <c:v>42422</c:v>
                </c:pt>
                <c:pt idx="30">
                  <c:v>42423</c:v>
                </c:pt>
                <c:pt idx="31">
                  <c:v>42424</c:v>
                </c:pt>
                <c:pt idx="32">
                  <c:v>42425</c:v>
                </c:pt>
                <c:pt idx="33">
                  <c:v>42426</c:v>
                </c:pt>
                <c:pt idx="34">
                  <c:v>42429</c:v>
                </c:pt>
                <c:pt idx="35">
                  <c:v>42430</c:v>
                </c:pt>
                <c:pt idx="36">
                  <c:v>42431</c:v>
                </c:pt>
                <c:pt idx="37">
                  <c:v>42432</c:v>
                </c:pt>
                <c:pt idx="38">
                  <c:v>42433</c:v>
                </c:pt>
                <c:pt idx="39">
                  <c:v>42436</c:v>
                </c:pt>
                <c:pt idx="40">
                  <c:v>42437</c:v>
                </c:pt>
                <c:pt idx="41">
                  <c:v>42438</c:v>
                </c:pt>
                <c:pt idx="42">
                  <c:v>42439</c:v>
                </c:pt>
                <c:pt idx="43">
                  <c:v>42440</c:v>
                </c:pt>
                <c:pt idx="44">
                  <c:v>42443</c:v>
                </c:pt>
                <c:pt idx="45">
                  <c:v>42444</c:v>
                </c:pt>
                <c:pt idx="46">
                  <c:v>42445</c:v>
                </c:pt>
                <c:pt idx="47">
                  <c:v>42446</c:v>
                </c:pt>
                <c:pt idx="48">
                  <c:v>42447</c:v>
                </c:pt>
              </c:numCache>
            </c:numRef>
          </c:cat>
          <c:val>
            <c:numRef>
              <c:f>Sheet1!$E$2:$E$50</c:f>
              <c:numCache>
                <c:formatCode>General</c:formatCode>
                <c:ptCount val="49"/>
                <c:pt idx="0">
                  <c:v>24700</c:v>
                </c:pt>
                <c:pt idx="1">
                  <c:v>24700</c:v>
                </c:pt>
                <c:pt idx="2">
                  <c:v>24700</c:v>
                </c:pt>
                <c:pt idx="3">
                  <c:v>24700</c:v>
                </c:pt>
                <c:pt idx="4">
                  <c:v>24700</c:v>
                </c:pt>
                <c:pt idx="5">
                  <c:v>24700</c:v>
                </c:pt>
                <c:pt idx="6">
                  <c:v>24700</c:v>
                </c:pt>
                <c:pt idx="7">
                  <c:v>24700</c:v>
                </c:pt>
                <c:pt idx="8">
                  <c:v>24700</c:v>
                </c:pt>
                <c:pt idx="9">
                  <c:v>24700</c:v>
                </c:pt>
                <c:pt idx="10">
                  <c:v>24700</c:v>
                </c:pt>
                <c:pt idx="11">
                  <c:v>24700</c:v>
                </c:pt>
                <c:pt idx="12">
                  <c:v>24700</c:v>
                </c:pt>
                <c:pt idx="13">
                  <c:v>24700</c:v>
                </c:pt>
                <c:pt idx="14">
                  <c:v>24700</c:v>
                </c:pt>
                <c:pt idx="15">
                  <c:v>24700</c:v>
                </c:pt>
                <c:pt idx="16">
                  <c:v>24700</c:v>
                </c:pt>
                <c:pt idx="17">
                  <c:v>24700</c:v>
                </c:pt>
                <c:pt idx="18">
                  <c:v>24700</c:v>
                </c:pt>
                <c:pt idx="19">
                  <c:v>24700</c:v>
                </c:pt>
                <c:pt idx="20">
                  <c:v>24700</c:v>
                </c:pt>
                <c:pt idx="21">
                  <c:v>24700</c:v>
                </c:pt>
                <c:pt idx="22">
                  <c:v>24700</c:v>
                </c:pt>
                <c:pt idx="23">
                  <c:v>24700</c:v>
                </c:pt>
                <c:pt idx="24">
                  <c:v>24500</c:v>
                </c:pt>
                <c:pt idx="25">
                  <c:v>24500</c:v>
                </c:pt>
                <c:pt idx="26">
                  <c:v>24500</c:v>
                </c:pt>
                <c:pt idx="27">
                  <c:v>24500</c:v>
                </c:pt>
                <c:pt idx="28">
                  <c:v>24500</c:v>
                </c:pt>
                <c:pt idx="29">
                  <c:v>24500</c:v>
                </c:pt>
                <c:pt idx="30">
                  <c:v>24500</c:v>
                </c:pt>
                <c:pt idx="31">
                  <c:v>24500</c:v>
                </c:pt>
                <c:pt idx="32">
                  <c:v>24500</c:v>
                </c:pt>
                <c:pt idx="33">
                  <c:v>24500</c:v>
                </c:pt>
                <c:pt idx="34">
                  <c:v>24500</c:v>
                </c:pt>
                <c:pt idx="35">
                  <c:v>24500</c:v>
                </c:pt>
                <c:pt idx="36">
                  <c:v>24500</c:v>
                </c:pt>
                <c:pt idx="37">
                  <c:v>24500</c:v>
                </c:pt>
                <c:pt idx="38">
                  <c:v>24500</c:v>
                </c:pt>
                <c:pt idx="39">
                  <c:v>24500</c:v>
                </c:pt>
                <c:pt idx="40">
                  <c:v>24500</c:v>
                </c:pt>
                <c:pt idx="41">
                  <c:v>24500</c:v>
                </c:pt>
                <c:pt idx="42">
                  <c:v>24500</c:v>
                </c:pt>
                <c:pt idx="43">
                  <c:v>24500</c:v>
                </c:pt>
                <c:pt idx="44">
                  <c:v>24500</c:v>
                </c:pt>
                <c:pt idx="45">
                  <c:v>24500</c:v>
                </c:pt>
                <c:pt idx="46">
                  <c:v>24500</c:v>
                </c:pt>
                <c:pt idx="47">
                  <c:v>24500</c:v>
                </c:pt>
                <c:pt idx="48">
                  <c:v>24500</c:v>
                </c:pt>
              </c:numCache>
            </c:numRef>
          </c:val>
          <c:smooth val="0"/>
        </c:ser>
        <c:dLbls>
          <c:showLegendKey val="0"/>
          <c:showVal val="0"/>
          <c:showCatName val="0"/>
          <c:showSerName val="0"/>
          <c:showPercent val="0"/>
          <c:showBubbleSize val="0"/>
        </c:dLbls>
        <c:marker val="1"/>
        <c:smooth val="0"/>
        <c:axId val="137165824"/>
        <c:axId val="138220288"/>
      </c:lineChart>
      <c:dateAx>
        <c:axId val="137165824"/>
        <c:scaling>
          <c:orientation val="minMax"/>
        </c:scaling>
        <c:delete val="0"/>
        <c:axPos val="b"/>
        <c:numFmt formatCode="m/d/yyyy" sourceLinked="1"/>
        <c:majorTickMark val="out"/>
        <c:minorTickMark val="none"/>
        <c:tickLblPos val="nextTo"/>
        <c:crossAx val="138220288"/>
        <c:crosses val="autoZero"/>
        <c:auto val="1"/>
        <c:lblOffset val="100"/>
        <c:baseTimeUnit val="days"/>
      </c:dateAx>
      <c:valAx>
        <c:axId val="138220288"/>
        <c:scaling>
          <c:orientation val="minMax"/>
          <c:min val="22500"/>
        </c:scaling>
        <c:delete val="0"/>
        <c:axPos val="l"/>
        <c:majorGridlines>
          <c:spPr>
            <a:ln>
              <a:prstDash val="dash"/>
            </a:ln>
          </c:spPr>
        </c:majorGridlines>
        <c:numFmt formatCode="General" sourceLinked="1"/>
        <c:majorTickMark val="out"/>
        <c:minorTickMark val="none"/>
        <c:tickLblPos val="nextTo"/>
        <c:crossAx val="137165824"/>
        <c:crosses val="autoZero"/>
        <c:crossBetween val="between"/>
      </c:valAx>
    </c:plotArea>
    <c:legend>
      <c:legendPos val="b"/>
      <c:overlay val="0"/>
    </c:legend>
    <c:plotVisOnly val="1"/>
    <c:dispBlanksAs val="gap"/>
    <c:showDLblsOverMax val="0"/>
  </c:chart>
  <c:spPr>
    <a:noFill/>
    <a:ln>
      <a:noFill/>
    </a:ln>
  </c:spPr>
  <c:txPr>
    <a:bodyPr/>
    <a:lstStyle/>
    <a:p>
      <a:pPr>
        <a:defRPr sz="700">
          <a:latin typeface="Times New Roman" pitchFamily="18" charset="0"/>
          <a:cs typeface="Times New Roman" pitchFamily="18"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54769095989521"/>
          <c:y val="2.6067122841316407E-2"/>
          <c:w val="0.82738940133098771"/>
          <c:h val="0.56169091418550776"/>
        </c:manualLayout>
      </c:layout>
      <c:lineChart>
        <c:grouping val="standard"/>
        <c:varyColors val="0"/>
        <c:ser>
          <c:idx val="0"/>
          <c:order val="0"/>
          <c:tx>
            <c:strRef>
              <c:f>Sheet1!$B$1</c:f>
              <c:strCache>
                <c:ptCount val="1"/>
                <c:pt idx="0">
                  <c:v>CDS 2 năm</c:v>
                </c:pt>
              </c:strCache>
            </c:strRef>
          </c:tx>
          <c:spPr>
            <a:ln w="22225"/>
          </c:spPr>
          <c:marker>
            <c:symbol val="none"/>
          </c:marker>
          <c:cat>
            <c:numRef>
              <c:f>Sheet1!$A$2:$A$49</c:f>
              <c:numCache>
                <c:formatCode>m/d/yyyy</c:formatCode>
                <c:ptCount val="48"/>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42415</c:v>
                </c:pt>
                <c:pt idx="26">
                  <c:v>42416</c:v>
                </c:pt>
                <c:pt idx="27">
                  <c:v>42417</c:v>
                </c:pt>
                <c:pt idx="28">
                  <c:v>42418</c:v>
                </c:pt>
                <c:pt idx="29">
                  <c:v>42422</c:v>
                </c:pt>
                <c:pt idx="30">
                  <c:v>42423</c:v>
                </c:pt>
                <c:pt idx="31">
                  <c:v>42424</c:v>
                </c:pt>
                <c:pt idx="32">
                  <c:v>42425</c:v>
                </c:pt>
                <c:pt idx="33">
                  <c:v>42426</c:v>
                </c:pt>
                <c:pt idx="34">
                  <c:v>42429</c:v>
                </c:pt>
                <c:pt idx="35">
                  <c:v>42430</c:v>
                </c:pt>
                <c:pt idx="36">
                  <c:v>42431</c:v>
                </c:pt>
                <c:pt idx="37">
                  <c:v>42432</c:v>
                </c:pt>
                <c:pt idx="38">
                  <c:v>42433</c:v>
                </c:pt>
                <c:pt idx="39">
                  <c:v>42436</c:v>
                </c:pt>
                <c:pt idx="40">
                  <c:v>42437</c:v>
                </c:pt>
                <c:pt idx="41">
                  <c:v>42438</c:v>
                </c:pt>
                <c:pt idx="42">
                  <c:v>42439</c:v>
                </c:pt>
                <c:pt idx="43">
                  <c:v>42440</c:v>
                </c:pt>
                <c:pt idx="44">
                  <c:v>42443</c:v>
                </c:pt>
                <c:pt idx="45">
                  <c:v>42444</c:v>
                </c:pt>
                <c:pt idx="46">
                  <c:v>42445</c:v>
                </c:pt>
                <c:pt idx="47">
                  <c:v>42446</c:v>
                </c:pt>
              </c:numCache>
            </c:numRef>
          </c:cat>
          <c:val>
            <c:numRef>
              <c:f>Sheet1!$B$2:$B$49</c:f>
              <c:numCache>
                <c:formatCode>0.0</c:formatCode>
                <c:ptCount val="48"/>
                <c:pt idx="0">
                  <c:v>114.9</c:v>
                </c:pt>
                <c:pt idx="1">
                  <c:v>114.91000000000005</c:v>
                </c:pt>
                <c:pt idx="2">
                  <c:v>115.4</c:v>
                </c:pt>
                <c:pt idx="3">
                  <c:v>121.35000000000001</c:v>
                </c:pt>
                <c:pt idx="4">
                  <c:v>114.91000000000005</c:v>
                </c:pt>
                <c:pt idx="5">
                  <c:v>117.39</c:v>
                </c:pt>
                <c:pt idx="6">
                  <c:v>125.84</c:v>
                </c:pt>
                <c:pt idx="7">
                  <c:v>130.80000000000001</c:v>
                </c:pt>
                <c:pt idx="8">
                  <c:v>125.33</c:v>
                </c:pt>
                <c:pt idx="9">
                  <c:v>125.82000000000001</c:v>
                </c:pt>
                <c:pt idx="10">
                  <c:v>125.82000000000001</c:v>
                </c:pt>
                <c:pt idx="11">
                  <c:v>123.34</c:v>
                </c:pt>
                <c:pt idx="12">
                  <c:v>131.26999999999998</c:v>
                </c:pt>
                <c:pt idx="13">
                  <c:v>133.26999999999998</c:v>
                </c:pt>
                <c:pt idx="14">
                  <c:v>128.31</c:v>
                </c:pt>
                <c:pt idx="15">
                  <c:v>125.33</c:v>
                </c:pt>
                <c:pt idx="16">
                  <c:v>126.82000000000001</c:v>
                </c:pt>
                <c:pt idx="17">
                  <c:v>121.51</c:v>
                </c:pt>
                <c:pt idx="18">
                  <c:v>121</c:v>
                </c:pt>
                <c:pt idx="19">
                  <c:v>118.98</c:v>
                </c:pt>
                <c:pt idx="20">
                  <c:v>119.43</c:v>
                </c:pt>
                <c:pt idx="21">
                  <c:v>120.49000000000002</c:v>
                </c:pt>
                <c:pt idx="22">
                  <c:v>121.01</c:v>
                </c:pt>
                <c:pt idx="23">
                  <c:v>121.26</c:v>
                </c:pt>
                <c:pt idx="24">
                  <c:v>130.22999999999999</c:v>
                </c:pt>
                <c:pt idx="25">
                  <c:v>117.52</c:v>
                </c:pt>
                <c:pt idx="26">
                  <c:v>118.51</c:v>
                </c:pt>
                <c:pt idx="27">
                  <c:v>118.51</c:v>
                </c:pt>
                <c:pt idx="28">
                  <c:v>113.71000000000002</c:v>
                </c:pt>
                <c:pt idx="29">
                  <c:v>111.57000000000001</c:v>
                </c:pt>
                <c:pt idx="30">
                  <c:v>108.46000000000002</c:v>
                </c:pt>
                <c:pt idx="31">
                  <c:v>114.79</c:v>
                </c:pt>
                <c:pt idx="32">
                  <c:v>115.31</c:v>
                </c:pt>
                <c:pt idx="33">
                  <c:v>113.74000000000002</c:v>
                </c:pt>
                <c:pt idx="34">
                  <c:v>110.57000000000001</c:v>
                </c:pt>
                <c:pt idx="35">
                  <c:v>107.09</c:v>
                </c:pt>
                <c:pt idx="36">
                  <c:v>96.649999999999991</c:v>
                </c:pt>
                <c:pt idx="37">
                  <c:v>91.93</c:v>
                </c:pt>
                <c:pt idx="38">
                  <c:v>89.69</c:v>
                </c:pt>
                <c:pt idx="39">
                  <c:v>104.02</c:v>
                </c:pt>
                <c:pt idx="40">
                  <c:v>105.78</c:v>
                </c:pt>
                <c:pt idx="41">
                  <c:v>108.92</c:v>
                </c:pt>
                <c:pt idx="42">
                  <c:v>106.95</c:v>
                </c:pt>
                <c:pt idx="43">
                  <c:v>104.16</c:v>
                </c:pt>
                <c:pt idx="44">
                  <c:v>98.07</c:v>
                </c:pt>
                <c:pt idx="45">
                  <c:v>102.5</c:v>
                </c:pt>
                <c:pt idx="46">
                  <c:v>104.53</c:v>
                </c:pt>
                <c:pt idx="47">
                  <c:v>98.25</c:v>
                </c:pt>
              </c:numCache>
            </c:numRef>
          </c:val>
          <c:smooth val="0"/>
        </c:ser>
        <c:ser>
          <c:idx val="1"/>
          <c:order val="1"/>
          <c:tx>
            <c:strRef>
              <c:f>Sheet1!$C$1</c:f>
              <c:strCache>
                <c:ptCount val="1"/>
                <c:pt idx="0">
                  <c:v>CDS 5 năm</c:v>
                </c:pt>
              </c:strCache>
            </c:strRef>
          </c:tx>
          <c:spPr>
            <a:ln w="25400">
              <a:solidFill>
                <a:srgbClr val="FF0000"/>
              </a:solidFill>
              <a:prstDash val="dash"/>
            </a:ln>
          </c:spPr>
          <c:marker>
            <c:symbol val="none"/>
          </c:marker>
          <c:cat>
            <c:numRef>
              <c:f>Sheet1!$A$2:$A$49</c:f>
              <c:numCache>
                <c:formatCode>m/d/yyyy</c:formatCode>
                <c:ptCount val="48"/>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42415</c:v>
                </c:pt>
                <c:pt idx="26">
                  <c:v>42416</c:v>
                </c:pt>
                <c:pt idx="27">
                  <c:v>42417</c:v>
                </c:pt>
                <c:pt idx="28">
                  <c:v>42418</c:v>
                </c:pt>
                <c:pt idx="29">
                  <c:v>42422</c:v>
                </c:pt>
                <c:pt idx="30">
                  <c:v>42423</c:v>
                </c:pt>
                <c:pt idx="31">
                  <c:v>42424</c:v>
                </c:pt>
                <c:pt idx="32">
                  <c:v>42425</c:v>
                </c:pt>
                <c:pt idx="33">
                  <c:v>42426</c:v>
                </c:pt>
                <c:pt idx="34">
                  <c:v>42429</c:v>
                </c:pt>
                <c:pt idx="35">
                  <c:v>42430</c:v>
                </c:pt>
                <c:pt idx="36">
                  <c:v>42431</c:v>
                </c:pt>
                <c:pt idx="37">
                  <c:v>42432</c:v>
                </c:pt>
                <c:pt idx="38">
                  <c:v>42433</c:v>
                </c:pt>
                <c:pt idx="39">
                  <c:v>42436</c:v>
                </c:pt>
                <c:pt idx="40">
                  <c:v>42437</c:v>
                </c:pt>
                <c:pt idx="41">
                  <c:v>42438</c:v>
                </c:pt>
                <c:pt idx="42">
                  <c:v>42439</c:v>
                </c:pt>
                <c:pt idx="43">
                  <c:v>42440</c:v>
                </c:pt>
                <c:pt idx="44">
                  <c:v>42443</c:v>
                </c:pt>
                <c:pt idx="45">
                  <c:v>42444</c:v>
                </c:pt>
                <c:pt idx="46">
                  <c:v>42445</c:v>
                </c:pt>
                <c:pt idx="47">
                  <c:v>42446</c:v>
                </c:pt>
              </c:numCache>
            </c:numRef>
          </c:cat>
          <c:val>
            <c:numRef>
              <c:f>Sheet1!$C$2:$C$49</c:f>
              <c:numCache>
                <c:formatCode>General</c:formatCode>
                <c:ptCount val="48"/>
                <c:pt idx="0">
                  <c:v>276.18</c:v>
                </c:pt>
                <c:pt idx="1">
                  <c:v>276.68</c:v>
                </c:pt>
                <c:pt idx="2">
                  <c:v>277.04000000000002</c:v>
                </c:pt>
                <c:pt idx="3">
                  <c:v>285.15000000000026</c:v>
                </c:pt>
                <c:pt idx="4">
                  <c:v>279.01</c:v>
                </c:pt>
                <c:pt idx="5">
                  <c:v>280.08</c:v>
                </c:pt>
                <c:pt idx="6">
                  <c:v>281.68</c:v>
                </c:pt>
                <c:pt idx="7">
                  <c:v>280.42999999999978</c:v>
                </c:pt>
                <c:pt idx="8">
                  <c:v>284.33</c:v>
                </c:pt>
                <c:pt idx="9">
                  <c:v>286.11</c:v>
                </c:pt>
                <c:pt idx="10">
                  <c:v>286.11</c:v>
                </c:pt>
                <c:pt idx="11">
                  <c:v>285.19</c:v>
                </c:pt>
                <c:pt idx="12">
                  <c:v>293.12</c:v>
                </c:pt>
                <c:pt idx="13">
                  <c:v>295.64000000000021</c:v>
                </c:pt>
                <c:pt idx="14">
                  <c:v>288.57</c:v>
                </c:pt>
                <c:pt idx="15">
                  <c:v>285.64000000000021</c:v>
                </c:pt>
                <c:pt idx="16">
                  <c:v>287.03000000000003</c:v>
                </c:pt>
                <c:pt idx="17">
                  <c:v>283.48999999999978</c:v>
                </c:pt>
                <c:pt idx="18">
                  <c:v>279.85000000000002</c:v>
                </c:pt>
                <c:pt idx="19">
                  <c:v>278.76</c:v>
                </c:pt>
                <c:pt idx="20">
                  <c:v>281.19</c:v>
                </c:pt>
                <c:pt idx="21">
                  <c:v>282.19</c:v>
                </c:pt>
                <c:pt idx="22">
                  <c:v>284.95999999999975</c:v>
                </c:pt>
                <c:pt idx="23">
                  <c:v>279.72999999999979</c:v>
                </c:pt>
                <c:pt idx="24">
                  <c:v>288.32</c:v>
                </c:pt>
                <c:pt idx="25">
                  <c:v>276.47999999999979</c:v>
                </c:pt>
                <c:pt idx="26">
                  <c:v>275.55</c:v>
                </c:pt>
                <c:pt idx="27">
                  <c:v>275.55</c:v>
                </c:pt>
                <c:pt idx="28">
                  <c:v>271.88</c:v>
                </c:pt>
                <c:pt idx="29">
                  <c:v>269.8</c:v>
                </c:pt>
                <c:pt idx="30">
                  <c:v>269.2</c:v>
                </c:pt>
                <c:pt idx="31">
                  <c:v>271.03000000000003</c:v>
                </c:pt>
                <c:pt idx="32">
                  <c:v>271.55</c:v>
                </c:pt>
                <c:pt idx="33">
                  <c:v>270.09000000000003</c:v>
                </c:pt>
                <c:pt idx="34">
                  <c:v>266.59000000000003</c:v>
                </c:pt>
                <c:pt idx="35">
                  <c:v>264.14000000000021</c:v>
                </c:pt>
                <c:pt idx="36">
                  <c:v>254.06</c:v>
                </c:pt>
                <c:pt idx="37">
                  <c:v>245.78</c:v>
                </c:pt>
                <c:pt idx="38">
                  <c:v>243.53</c:v>
                </c:pt>
                <c:pt idx="39">
                  <c:v>243.49</c:v>
                </c:pt>
                <c:pt idx="40">
                  <c:v>246.08</c:v>
                </c:pt>
                <c:pt idx="41">
                  <c:v>244.65</c:v>
                </c:pt>
                <c:pt idx="42">
                  <c:v>241.73999999999998</c:v>
                </c:pt>
                <c:pt idx="43">
                  <c:v>237.12</c:v>
                </c:pt>
                <c:pt idx="44">
                  <c:v>222.62</c:v>
                </c:pt>
                <c:pt idx="45">
                  <c:v>228.35000000000011</c:v>
                </c:pt>
                <c:pt idx="46">
                  <c:v>235.28</c:v>
                </c:pt>
                <c:pt idx="47">
                  <c:v>223.92000000000004</c:v>
                </c:pt>
              </c:numCache>
            </c:numRef>
          </c:val>
          <c:smooth val="0"/>
        </c:ser>
        <c:ser>
          <c:idx val="2"/>
          <c:order val="2"/>
          <c:tx>
            <c:strRef>
              <c:f>Sheet1!$D$1</c:f>
              <c:strCache>
                <c:ptCount val="1"/>
                <c:pt idx="0">
                  <c:v>CDS 10 năm</c:v>
                </c:pt>
              </c:strCache>
            </c:strRef>
          </c:tx>
          <c:spPr>
            <a:ln w="25400">
              <a:solidFill>
                <a:srgbClr val="00B050"/>
              </a:solidFill>
              <a:prstDash val="sysDash"/>
            </a:ln>
          </c:spPr>
          <c:marker>
            <c:symbol val="none"/>
          </c:marker>
          <c:cat>
            <c:numRef>
              <c:f>Sheet1!$A$2:$A$49</c:f>
              <c:numCache>
                <c:formatCode>m/d/yyyy</c:formatCode>
                <c:ptCount val="48"/>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42415</c:v>
                </c:pt>
                <c:pt idx="26">
                  <c:v>42416</c:v>
                </c:pt>
                <c:pt idx="27">
                  <c:v>42417</c:v>
                </c:pt>
                <c:pt idx="28">
                  <c:v>42418</c:v>
                </c:pt>
                <c:pt idx="29">
                  <c:v>42422</c:v>
                </c:pt>
                <c:pt idx="30">
                  <c:v>42423</c:v>
                </c:pt>
                <c:pt idx="31">
                  <c:v>42424</c:v>
                </c:pt>
                <c:pt idx="32">
                  <c:v>42425</c:v>
                </c:pt>
                <c:pt idx="33">
                  <c:v>42426</c:v>
                </c:pt>
                <c:pt idx="34">
                  <c:v>42429</c:v>
                </c:pt>
                <c:pt idx="35">
                  <c:v>42430</c:v>
                </c:pt>
                <c:pt idx="36">
                  <c:v>42431</c:v>
                </c:pt>
                <c:pt idx="37">
                  <c:v>42432</c:v>
                </c:pt>
                <c:pt idx="38">
                  <c:v>42433</c:v>
                </c:pt>
                <c:pt idx="39">
                  <c:v>42436</c:v>
                </c:pt>
                <c:pt idx="40">
                  <c:v>42437</c:v>
                </c:pt>
                <c:pt idx="41">
                  <c:v>42438</c:v>
                </c:pt>
                <c:pt idx="42">
                  <c:v>42439</c:v>
                </c:pt>
                <c:pt idx="43">
                  <c:v>42440</c:v>
                </c:pt>
                <c:pt idx="44">
                  <c:v>42443</c:v>
                </c:pt>
                <c:pt idx="45">
                  <c:v>42444</c:v>
                </c:pt>
                <c:pt idx="46">
                  <c:v>42445</c:v>
                </c:pt>
                <c:pt idx="47">
                  <c:v>42446</c:v>
                </c:pt>
              </c:numCache>
            </c:numRef>
          </c:cat>
          <c:val>
            <c:numRef>
              <c:f>Sheet1!$D$2:$D$49</c:f>
              <c:numCache>
                <c:formatCode>General</c:formatCode>
                <c:ptCount val="48"/>
                <c:pt idx="0">
                  <c:v>336.54</c:v>
                </c:pt>
                <c:pt idx="1">
                  <c:v>337.11</c:v>
                </c:pt>
                <c:pt idx="2">
                  <c:v>337.08</c:v>
                </c:pt>
                <c:pt idx="3">
                  <c:v>344.75</c:v>
                </c:pt>
                <c:pt idx="4">
                  <c:v>338.88</c:v>
                </c:pt>
                <c:pt idx="5">
                  <c:v>340.61</c:v>
                </c:pt>
                <c:pt idx="6">
                  <c:v>343.7</c:v>
                </c:pt>
                <c:pt idx="7">
                  <c:v>343.78999999999979</c:v>
                </c:pt>
                <c:pt idx="8">
                  <c:v>346.74</c:v>
                </c:pt>
                <c:pt idx="9">
                  <c:v>348.39</c:v>
                </c:pt>
                <c:pt idx="10">
                  <c:v>348.39</c:v>
                </c:pt>
                <c:pt idx="11">
                  <c:v>346.82</c:v>
                </c:pt>
                <c:pt idx="12">
                  <c:v>354.2</c:v>
                </c:pt>
                <c:pt idx="13">
                  <c:v>357.03000000000003</c:v>
                </c:pt>
                <c:pt idx="14">
                  <c:v>351.4099999999998</c:v>
                </c:pt>
                <c:pt idx="15">
                  <c:v>348.46</c:v>
                </c:pt>
                <c:pt idx="16">
                  <c:v>349.74</c:v>
                </c:pt>
                <c:pt idx="17">
                  <c:v>345.06</c:v>
                </c:pt>
                <c:pt idx="18">
                  <c:v>341.54</c:v>
                </c:pt>
                <c:pt idx="19">
                  <c:v>340.32</c:v>
                </c:pt>
                <c:pt idx="20">
                  <c:v>342.98999999999978</c:v>
                </c:pt>
                <c:pt idx="21">
                  <c:v>343.87</c:v>
                </c:pt>
                <c:pt idx="22">
                  <c:v>346.57</c:v>
                </c:pt>
                <c:pt idx="23">
                  <c:v>341.41999999999979</c:v>
                </c:pt>
                <c:pt idx="24">
                  <c:v>349.86</c:v>
                </c:pt>
                <c:pt idx="25">
                  <c:v>338.08</c:v>
                </c:pt>
                <c:pt idx="26">
                  <c:v>337.05</c:v>
                </c:pt>
                <c:pt idx="27">
                  <c:v>337.05</c:v>
                </c:pt>
                <c:pt idx="28">
                  <c:v>333.41999999999979</c:v>
                </c:pt>
                <c:pt idx="29">
                  <c:v>331.38</c:v>
                </c:pt>
                <c:pt idx="30">
                  <c:v>330.89</c:v>
                </c:pt>
                <c:pt idx="31">
                  <c:v>332.54</c:v>
                </c:pt>
                <c:pt idx="32">
                  <c:v>333.03000000000003</c:v>
                </c:pt>
                <c:pt idx="33">
                  <c:v>331.7</c:v>
                </c:pt>
                <c:pt idx="34">
                  <c:v>328.22999999999979</c:v>
                </c:pt>
                <c:pt idx="35">
                  <c:v>325.75</c:v>
                </c:pt>
                <c:pt idx="36">
                  <c:v>315.97000000000003</c:v>
                </c:pt>
                <c:pt idx="37">
                  <c:v>307.86</c:v>
                </c:pt>
                <c:pt idx="38">
                  <c:v>305.5</c:v>
                </c:pt>
                <c:pt idx="39">
                  <c:v>302.39</c:v>
                </c:pt>
                <c:pt idx="40">
                  <c:v>305.3</c:v>
                </c:pt>
                <c:pt idx="41">
                  <c:v>304.06</c:v>
                </c:pt>
                <c:pt idx="42">
                  <c:v>300.95</c:v>
                </c:pt>
                <c:pt idx="43">
                  <c:v>295.89</c:v>
                </c:pt>
                <c:pt idx="44">
                  <c:v>279.41000000000003</c:v>
                </c:pt>
                <c:pt idx="45">
                  <c:v>285.20999999999975</c:v>
                </c:pt>
                <c:pt idx="46">
                  <c:v>293.59000000000003</c:v>
                </c:pt>
                <c:pt idx="47">
                  <c:v>280.75</c:v>
                </c:pt>
              </c:numCache>
            </c:numRef>
          </c:val>
          <c:smooth val="0"/>
        </c:ser>
        <c:dLbls>
          <c:showLegendKey val="0"/>
          <c:showVal val="0"/>
          <c:showCatName val="0"/>
          <c:showSerName val="0"/>
          <c:showPercent val="0"/>
          <c:showBubbleSize val="0"/>
        </c:dLbls>
        <c:marker val="1"/>
        <c:smooth val="0"/>
        <c:axId val="138244480"/>
        <c:axId val="138246016"/>
      </c:lineChart>
      <c:dateAx>
        <c:axId val="138244480"/>
        <c:scaling>
          <c:orientation val="minMax"/>
        </c:scaling>
        <c:delete val="0"/>
        <c:axPos val="b"/>
        <c:numFmt formatCode="m/d/yyyy" sourceLinked="1"/>
        <c:majorTickMark val="out"/>
        <c:minorTickMark val="none"/>
        <c:tickLblPos val="nextTo"/>
        <c:txPr>
          <a:bodyPr/>
          <a:lstStyle/>
          <a:p>
            <a:pPr>
              <a:defRPr sz="600"/>
            </a:pPr>
            <a:endParaRPr lang="en-US"/>
          </a:p>
        </c:txPr>
        <c:crossAx val="138246016"/>
        <c:crosses val="autoZero"/>
        <c:auto val="1"/>
        <c:lblOffset val="100"/>
        <c:baseTimeUnit val="days"/>
      </c:dateAx>
      <c:valAx>
        <c:axId val="138246016"/>
        <c:scaling>
          <c:orientation val="minMax"/>
          <c:max val="400"/>
          <c:min val="50"/>
        </c:scaling>
        <c:delete val="0"/>
        <c:axPos val="l"/>
        <c:majorGridlines>
          <c:spPr>
            <a:ln>
              <a:prstDash val="sysDot"/>
            </a:ln>
          </c:spPr>
        </c:majorGridlines>
        <c:numFmt formatCode="0" sourceLinked="0"/>
        <c:majorTickMark val="out"/>
        <c:minorTickMark val="none"/>
        <c:tickLblPos val="nextTo"/>
        <c:crossAx val="138244480"/>
        <c:crosses val="autoZero"/>
        <c:crossBetween val="between"/>
        <c:majorUnit val="100"/>
      </c:valAx>
    </c:plotArea>
    <c:legend>
      <c:legendPos val="b"/>
      <c:layout>
        <c:manualLayout>
          <c:xMode val="edge"/>
          <c:yMode val="edge"/>
          <c:x val="1.5798032904569697E-2"/>
          <c:y val="0.84122886278559494"/>
          <c:w val="0.94974102067715693"/>
          <c:h val="0.11079306471355679"/>
        </c:manualLayout>
      </c:layout>
      <c:overlay val="0"/>
    </c:legend>
    <c:plotVisOnly val="1"/>
    <c:dispBlanksAs val="gap"/>
    <c:showDLblsOverMax val="0"/>
  </c:chart>
  <c:spPr>
    <a:noFill/>
    <a:ln>
      <a:noFill/>
    </a:ln>
  </c:spPr>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5">
                <a:lumMod val="50000"/>
              </a:schemeClr>
            </a:solidFill>
            <a:ln>
              <a:solidFill>
                <a:srgbClr val="0070C0"/>
              </a:solidFill>
            </a:ln>
          </c:spPr>
          <c:invertIfNegative val="0"/>
          <c:dLbls>
            <c:dLbl>
              <c:idx val="8"/>
              <c:layout>
                <c:manualLayout>
                  <c:x val="4.0650406504065054E-3"/>
                  <c:y val="-7.3059360730593603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082516296345234E-2"/>
                  <c:y val="1.2217612024439061E-2"/>
                </c:manualLayout>
              </c:layout>
              <c:showLegendKey val="0"/>
              <c:showVal val="1"/>
              <c:showCatName val="0"/>
              <c:showSerName val="0"/>
              <c:showPercent val="0"/>
              <c:showBubbleSize val="0"/>
            </c:dLbl>
            <c:dLbl>
              <c:idx val="17"/>
              <c:layout>
                <c:manualLayout>
                  <c:x val="1.219512195121952E-2"/>
                  <c:y val="-1.8264840182648397E-2"/>
                </c:manualLayout>
              </c:layout>
              <c:showLegendKey val="0"/>
              <c:showVal val="1"/>
              <c:showCatName val="0"/>
              <c:showSerName val="0"/>
              <c:showPercent val="0"/>
              <c:showBubbleSize val="0"/>
              <c:extLst>
                <c:ext xmlns:c15="http://schemas.microsoft.com/office/drawing/2012/chart" uri="{CE6537A1-D6FC-4f65-9D91-7224C49458BB}"/>
              </c:extLst>
            </c:dLbl>
            <c:numFmt formatCode="#,##0_);[Red]\(#,##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Sheet1!$A$2:$A$28</c:f>
              <c:strCache>
                <c:ptCount val="27"/>
                <c:pt idx="0">
                  <c:v>T1.14</c:v>
                </c:pt>
                <c:pt idx="1">
                  <c:v>T2.14</c:v>
                </c:pt>
                <c:pt idx="2">
                  <c:v>T3.14</c:v>
                </c:pt>
                <c:pt idx="3">
                  <c:v>T4.14</c:v>
                </c:pt>
                <c:pt idx="4">
                  <c:v>T5.14</c:v>
                </c:pt>
                <c:pt idx="5">
                  <c:v>T6.14</c:v>
                </c:pt>
                <c:pt idx="6">
                  <c:v>T7.14</c:v>
                </c:pt>
                <c:pt idx="7">
                  <c:v>T8.14</c:v>
                </c:pt>
                <c:pt idx="8">
                  <c:v>T9.14</c:v>
                </c:pt>
                <c:pt idx="9">
                  <c:v>T10.14</c:v>
                </c:pt>
                <c:pt idx="10">
                  <c:v>T11.14</c:v>
                </c:pt>
                <c:pt idx="11">
                  <c:v>T12.14</c:v>
                </c:pt>
                <c:pt idx="12">
                  <c:v>T1.15</c:v>
                </c:pt>
                <c:pt idx="13">
                  <c:v>T2.15</c:v>
                </c:pt>
                <c:pt idx="14">
                  <c:v>T3.15</c:v>
                </c:pt>
                <c:pt idx="15">
                  <c:v>T4.15</c:v>
                </c:pt>
                <c:pt idx="16">
                  <c:v>T5.15</c:v>
                </c:pt>
                <c:pt idx="17">
                  <c:v>T6.15</c:v>
                </c:pt>
                <c:pt idx="18">
                  <c:v>T7.15</c:v>
                </c:pt>
                <c:pt idx="19">
                  <c:v>T8.15</c:v>
                </c:pt>
                <c:pt idx="20">
                  <c:v>T9.15</c:v>
                </c:pt>
                <c:pt idx="21">
                  <c:v>T10.15</c:v>
                </c:pt>
                <c:pt idx="22">
                  <c:v>T11.15</c:v>
                </c:pt>
                <c:pt idx="23">
                  <c:v>T12.15</c:v>
                </c:pt>
                <c:pt idx="24">
                  <c:v>T1.16 </c:v>
                </c:pt>
                <c:pt idx="25">
                  <c:v>T2.16</c:v>
                </c:pt>
                <c:pt idx="26">
                  <c:v>T3.16</c:v>
                </c:pt>
              </c:strCache>
            </c:strRef>
          </c:cat>
          <c:val>
            <c:numRef>
              <c:f>Sheet1!$B$2:$B$28</c:f>
              <c:numCache>
                <c:formatCode>General</c:formatCode>
                <c:ptCount val="27"/>
                <c:pt idx="0">
                  <c:v>1729.6083031000001</c:v>
                </c:pt>
                <c:pt idx="1">
                  <c:v>1207.6733591999998</c:v>
                </c:pt>
                <c:pt idx="2">
                  <c:v>-2136.2198143999999</c:v>
                </c:pt>
                <c:pt idx="3">
                  <c:v>1747.9157595000015</c:v>
                </c:pt>
                <c:pt idx="4">
                  <c:v>2582.6406432999997</c:v>
                </c:pt>
                <c:pt idx="5">
                  <c:v>1952.8508684000001</c:v>
                </c:pt>
                <c:pt idx="6">
                  <c:v>266.19191409999979</c:v>
                </c:pt>
                <c:pt idx="7">
                  <c:v>-322.08579250000003</c:v>
                </c:pt>
                <c:pt idx="8">
                  <c:v>-1129.9355867000013</c:v>
                </c:pt>
                <c:pt idx="9">
                  <c:v>-1168.0029936999999</c:v>
                </c:pt>
                <c:pt idx="10">
                  <c:v>-943.03500829999996</c:v>
                </c:pt>
                <c:pt idx="11">
                  <c:v>22.510803599999999</c:v>
                </c:pt>
                <c:pt idx="12">
                  <c:v>-180</c:v>
                </c:pt>
                <c:pt idx="13">
                  <c:v>1164</c:v>
                </c:pt>
                <c:pt idx="14">
                  <c:v>-939</c:v>
                </c:pt>
                <c:pt idx="15">
                  <c:v>1844</c:v>
                </c:pt>
                <c:pt idx="16">
                  <c:v>1394</c:v>
                </c:pt>
                <c:pt idx="17">
                  <c:v>1529</c:v>
                </c:pt>
                <c:pt idx="18">
                  <c:v>754</c:v>
                </c:pt>
                <c:pt idx="19">
                  <c:v>-435</c:v>
                </c:pt>
                <c:pt idx="20">
                  <c:v>-1021</c:v>
                </c:pt>
                <c:pt idx="21">
                  <c:v>1156</c:v>
                </c:pt>
                <c:pt idx="22">
                  <c:v>-381.42999999999978</c:v>
                </c:pt>
                <c:pt idx="23">
                  <c:v>-2126.2799999999997</c:v>
                </c:pt>
                <c:pt idx="24">
                  <c:v>-1282</c:v>
                </c:pt>
                <c:pt idx="25">
                  <c:v>-180</c:v>
                </c:pt>
                <c:pt idx="26">
                  <c:v>622</c:v>
                </c:pt>
              </c:numCache>
            </c:numRef>
          </c:val>
        </c:ser>
        <c:dLbls>
          <c:showLegendKey val="0"/>
          <c:showVal val="0"/>
          <c:showCatName val="0"/>
          <c:showSerName val="0"/>
          <c:showPercent val="0"/>
          <c:showBubbleSize val="0"/>
        </c:dLbls>
        <c:gapWidth val="150"/>
        <c:axId val="140142848"/>
        <c:axId val="140144640"/>
      </c:barChart>
      <c:catAx>
        <c:axId val="140142848"/>
        <c:scaling>
          <c:orientation val="minMax"/>
        </c:scaling>
        <c:delete val="0"/>
        <c:axPos val="b"/>
        <c:numFmt formatCode="General" sourceLinked="0"/>
        <c:majorTickMark val="out"/>
        <c:minorTickMark val="none"/>
        <c:tickLblPos val="low"/>
        <c:txPr>
          <a:bodyPr rot="-5400000" vert="horz"/>
          <a:lstStyle/>
          <a:p>
            <a:pPr>
              <a:defRPr/>
            </a:pPr>
            <a:endParaRPr lang="en-US"/>
          </a:p>
        </c:txPr>
        <c:crossAx val="140144640"/>
        <c:crosses val="autoZero"/>
        <c:auto val="1"/>
        <c:lblAlgn val="ctr"/>
        <c:lblOffset val="100"/>
        <c:noMultiLvlLbl val="0"/>
      </c:catAx>
      <c:valAx>
        <c:axId val="140144640"/>
        <c:scaling>
          <c:orientation val="minMax"/>
        </c:scaling>
        <c:delete val="1"/>
        <c:axPos val="l"/>
        <c:numFmt formatCode="General" sourceLinked="1"/>
        <c:majorTickMark val="out"/>
        <c:minorTickMark val="none"/>
        <c:tickLblPos val="none"/>
        <c:crossAx val="140142848"/>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012102653834945E-2"/>
          <c:y val="6.6280081182951575E-2"/>
          <c:w val="0.89630927384076986"/>
          <c:h val="0.80402013339355083"/>
        </c:manualLayout>
      </c:layout>
      <c:lineChart>
        <c:grouping val="standard"/>
        <c:varyColors val="0"/>
        <c:ser>
          <c:idx val="0"/>
          <c:order val="0"/>
          <c:tx>
            <c:strRef>
              <c:f>Sheet1!$B$3</c:f>
              <c:strCache>
                <c:ptCount val="1"/>
                <c:pt idx="0">
                  <c:v>Tỷ lệ trúng thầu/ gọi thầu</c:v>
                </c:pt>
              </c:strCache>
            </c:strRef>
          </c:tx>
          <c:spPr>
            <a:ln cap="sq">
              <a:solidFill>
                <a:schemeClr val="accent5">
                  <a:lumMod val="75000"/>
                </a:schemeClr>
              </a:solidFill>
            </a:ln>
          </c:spPr>
          <c:marker>
            <c:symbol val="diamond"/>
            <c:size val="5"/>
            <c:spPr>
              <a:solidFill>
                <a:schemeClr val="accent5">
                  <a:lumMod val="75000"/>
                </a:schemeClr>
              </a:solidFill>
              <a:ln>
                <a:solidFill>
                  <a:schemeClr val="accent5">
                    <a:lumMod val="75000"/>
                  </a:schemeClr>
                </a:solidFill>
              </a:ln>
            </c:spPr>
          </c:marker>
          <c:dLbls>
            <c:dLbl>
              <c:idx val="0"/>
              <c:layout>
                <c:manualLayout>
                  <c:x val="-4.1666666666666692E-2"/>
                  <c:y val="-6.2663168201539679E-2"/>
                </c:manualLayout>
              </c:layout>
              <c:showLegendKey val="0"/>
              <c:showVal val="1"/>
              <c:showCatName val="0"/>
              <c:showSerName val="0"/>
              <c:showPercent val="0"/>
              <c:showBubbleSize val="0"/>
            </c:dLbl>
            <c:dLbl>
              <c:idx val="1"/>
              <c:layout>
                <c:manualLayout>
                  <c:x val="-2.7777777777777811E-2"/>
                  <c:y val="-6.9625742446155159E-2"/>
                </c:manualLayout>
              </c:layout>
              <c:showLegendKey val="0"/>
              <c:showVal val="1"/>
              <c:showCatName val="0"/>
              <c:showSerName val="0"/>
              <c:showPercent val="0"/>
              <c:showBubbleSize val="0"/>
            </c:dLbl>
            <c:dLbl>
              <c:idx val="2"/>
              <c:layout>
                <c:manualLayout>
                  <c:x val="-1.6666666666666677E-2"/>
                  <c:y val="-6.2663168201539679E-2"/>
                </c:manualLayout>
              </c:layout>
              <c:showLegendKey val="0"/>
              <c:showVal val="1"/>
              <c:showCatName val="0"/>
              <c:showSerName val="0"/>
              <c:showPercent val="0"/>
              <c:showBubbleSize val="0"/>
            </c:dLbl>
            <c:dLbl>
              <c:idx val="3"/>
              <c:layout>
                <c:manualLayout>
                  <c:x val="-2.5000000000000001E-2"/>
                  <c:y val="-6.9625742446155159E-2"/>
                </c:manualLayout>
              </c:layout>
              <c:showLegendKey val="0"/>
              <c:showVal val="1"/>
              <c:showCatName val="0"/>
              <c:showSerName val="0"/>
              <c:showPercent val="0"/>
              <c:showBubbleSize val="0"/>
            </c:dLbl>
            <c:dLbl>
              <c:idx val="5"/>
              <c:layout>
                <c:manualLayout>
                  <c:x val="-7.5000000000000011E-2"/>
                  <c:y val="-7.658831669077075E-2"/>
                </c:manualLayout>
              </c:layout>
              <c:showLegendKey val="0"/>
              <c:showVal val="1"/>
              <c:showCatName val="0"/>
              <c:showSerName val="0"/>
              <c:showPercent val="0"/>
              <c:showBubbleSize val="0"/>
            </c:dLbl>
            <c:dLbl>
              <c:idx val="6"/>
              <c:layout>
                <c:manualLayout>
                  <c:x val="-4.1666666666666664E-2"/>
                  <c:y val="-9.0513465180001806E-2"/>
                </c:manualLayout>
              </c:layout>
              <c:showLegendKey val="0"/>
              <c:showVal val="1"/>
              <c:showCatName val="0"/>
              <c:showSerName val="0"/>
              <c:showPercent val="0"/>
              <c:showBubbleSize val="0"/>
            </c:dLbl>
            <c:dLbl>
              <c:idx val="7"/>
              <c:layout>
                <c:manualLayout>
                  <c:x val="-1.111111111111112E-2"/>
                  <c:y val="-7.6588316690770639E-2"/>
                </c:manualLayout>
              </c:layout>
              <c:showLegendKey val="0"/>
              <c:showVal val="1"/>
              <c:showCatName val="0"/>
              <c:showSerName val="0"/>
              <c:showPercent val="0"/>
              <c:showBubbleSize val="0"/>
            </c:dLbl>
            <c:dLbl>
              <c:idx val="9"/>
              <c:layout>
                <c:manualLayout>
                  <c:x val="-8.055555555555563E-2"/>
                  <c:y val="-3.48128712230776E-2"/>
                </c:manualLayout>
              </c:layout>
              <c:showLegendKey val="0"/>
              <c:showVal val="1"/>
              <c:showCatName val="0"/>
              <c:showSerName val="0"/>
              <c:showPercent val="0"/>
              <c:showBubbleSize val="0"/>
            </c:dLbl>
            <c:dLbl>
              <c:idx val="11"/>
              <c:layout>
                <c:manualLayout>
                  <c:x val="-5.5555555555556555E-3"/>
                  <c:y val="-4.177544546769308E-2"/>
                </c:manualLayout>
              </c:layout>
              <c:showLegendKey val="0"/>
              <c:showVal val="1"/>
              <c:showCatName val="0"/>
              <c:showSerName val="0"/>
              <c:showPercent val="0"/>
              <c:showBubbleSize val="0"/>
            </c:dLbl>
            <c:dLbl>
              <c:idx val="13"/>
              <c:layout>
                <c:manualLayout>
                  <c:x val="-8.3333333333333367E-3"/>
                  <c:y val="-4.177544546769308E-2"/>
                </c:manualLayout>
              </c:layout>
              <c:showLegendKey val="0"/>
              <c:showVal val="1"/>
              <c:showCatName val="0"/>
              <c:showSerName val="0"/>
              <c:showPercent val="0"/>
              <c:showBubbleSize val="0"/>
            </c:dLbl>
            <c:dLbl>
              <c:idx val="14"/>
              <c:layout>
                <c:manualLayout>
                  <c:x val="0"/>
                  <c:y val="-5.570059395692419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Sheet1!$A$4:$A$18</c:f>
              <c:strCache>
                <c:ptCount val="15"/>
                <c:pt idx="0">
                  <c:v>T1/15</c:v>
                </c:pt>
                <c:pt idx="1">
                  <c:v>T2/15</c:v>
                </c:pt>
                <c:pt idx="2">
                  <c:v>T3/15</c:v>
                </c:pt>
                <c:pt idx="3">
                  <c:v>T4/15</c:v>
                </c:pt>
                <c:pt idx="4">
                  <c:v>T5/15</c:v>
                </c:pt>
                <c:pt idx="5">
                  <c:v>T615</c:v>
                </c:pt>
                <c:pt idx="6">
                  <c:v>T7/15</c:v>
                </c:pt>
                <c:pt idx="7">
                  <c:v>T8/15</c:v>
                </c:pt>
                <c:pt idx="8">
                  <c:v>T9/15</c:v>
                </c:pt>
                <c:pt idx="9">
                  <c:v>T10/15</c:v>
                </c:pt>
                <c:pt idx="10">
                  <c:v>T11/15</c:v>
                </c:pt>
                <c:pt idx="11">
                  <c:v>T12/15</c:v>
                </c:pt>
                <c:pt idx="12">
                  <c:v>T1/16</c:v>
                </c:pt>
                <c:pt idx="13">
                  <c:v>T2/16</c:v>
                </c:pt>
                <c:pt idx="14">
                  <c:v>T3/16</c:v>
                </c:pt>
              </c:strCache>
            </c:strRef>
          </c:cat>
          <c:val>
            <c:numRef>
              <c:f>Sheet1!$B$4:$B$18</c:f>
              <c:numCache>
                <c:formatCode>0</c:formatCode>
                <c:ptCount val="15"/>
                <c:pt idx="0">
                  <c:v>92</c:v>
                </c:pt>
                <c:pt idx="1">
                  <c:v>92</c:v>
                </c:pt>
                <c:pt idx="2">
                  <c:v>51.2</c:v>
                </c:pt>
                <c:pt idx="3">
                  <c:v>41.6</c:v>
                </c:pt>
                <c:pt idx="4" formatCode="0.0">
                  <c:v>18.399999999999999</c:v>
                </c:pt>
                <c:pt idx="5" formatCode="0.0">
                  <c:v>43.4</c:v>
                </c:pt>
                <c:pt idx="6" formatCode="0.0">
                  <c:v>60.2</c:v>
                </c:pt>
                <c:pt idx="7">
                  <c:v>30</c:v>
                </c:pt>
                <c:pt idx="8" formatCode="0.0">
                  <c:v>16.7</c:v>
                </c:pt>
                <c:pt idx="9" formatCode="0.0">
                  <c:v>81.5</c:v>
                </c:pt>
                <c:pt idx="10" formatCode="0.0">
                  <c:v>80.2</c:v>
                </c:pt>
                <c:pt idx="11" formatCode="General">
                  <c:v>98.4</c:v>
                </c:pt>
                <c:pt idx="12" formatCode="General">
                  <c:v>65.599999999999994</c:v>
                </c:pt>
                <c:pt idx="13" formatCode="General">
                  <c:v>96.6</c:v>
                </c:pt>
                <c:pt idx="14" formatCode="General">
                  <c:v>76.2</c:v>
                </c:pt>
              </c:numCache>
            </c:numRef>
          </c:val>
          <c:smooth val="1"/>
        </c:ser>
        <c:dLbls>
          <c:showLegendKey val="0"/>
          <c:showVal val="0"/>
          <c:showCatName val="0"/>
          <c:showSerName val="0"/>
          <c:showPercent val="0"/>
          <c:showBubbleSize val="0"/>
        </c:dLbls>
        <c:marker val="1"/>
        <c:smooth val="0"/>
        <c:axId val="140160000"/>
        <c:axId val="138412800"/>
      </c:lineChart>
      <c:catAx>
        <c:axId val="140160000"/>
        <c:scaling>
          <c:orientation val="minMax"/>
        </c:scaling>
        <c:delete val="0"/>
        <c:axPos val="b"/>
        <c:majorTickMark val="none"/>
        <c:minorTickMark val="none"/>
        <c:tickLblPos val="nextTo"/>
        <c:crossAx val="138412800"/>
        <c:crosses val="autoZero"/>
        <c:auto val="1"/>
        <c:lblAlgn val="ctr"/>
        <c:lblOffset val="100"/>
        <c:tickLblSkip val="2"/>
        <c:noMultiLvlLbl val="0"/>
      </c:catAx>
      <c:valAx>
        <c:axId val="138412800"/>
        <c:scaling>
          <c:orientation val="minMax"/>
          <c:max val="110"/>
          <c:min val="10"/>
        </c:scaling>
        <c:delete val="0"/>
        <c:axPos val="l"/>
        <c:majorGridlines>
          <c:spPr>
            <a:ln>
              <a:solidFill>
                <a:schemeClr val="bg1">
                  <a:lumMod val="65000"/>
                </a:schemeClr>
              </a:solidFill>
              <a:prstDash val="sysDot"/>
            </a:ln>
          </c:spPr>
        </c:majorGridlines>
        <c:numFmt formatCode="0" sourceLinked="0"/>
        <c:majorTickMark val="none"/>
        <c:minorTickMark val="none"/>
        <c:tickLblPos val="nextTo"/>
        <c:spPr>
          <a:ln w="9525">
            <a:solidFill>
              <a:schemeClr val="tx1"/>
            </a:solidFill>
          </a:ln>
        </c:spPr>
        <c:crossAx val="140160000"/>
        <c:crosses val="autoZero"/>
        <c:crossBetween val="between"/>
        <c:majorUnit val="20"/>
      </c:valAx>
      <c:spPr>
        <a:ln>
          <a:noFill/>
        </a:ln>
      </c:spPr>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556156921626561E-2"/>
          <c:y val="5.6737574570447424E-2"/>
          <c:w val="0.88425511112662991"/>
          <c:h val="0.80188112609441964"/>
        </c:manualLayout>
      </c:layout>
      <c:barChart>
        <c:barDir val="col"/>
        <c:grouping val="clustered"/>
        <c:varyColors val="0"/>
        <c:ser>
          <c:idx val="0"/>
          <c:order val="0"/>
          <c:spPr>
            <a:solidFill>
              <a:schemeClr val="accent5">
                <a:lumMod val="75000"/>
              </a:schemeClr>
            </a:solidFill>
          </c:spPr>
          <c:invertIfNegative val="0"/>
          <c:cat>
            <c:strRef>
              <c:f>'Tong muc ban le'!$A$69:$A$74</c:f>
              <c:strCache>
                <c:ptCount val="6"/>
                <c:pt idx="0">
                  <c:v>T2/11</c:v>
                </c:pt>
                <c:pt idx="1">
                  <c:v>T2/12</c:v>
                </c:pt>
                <c:pt idx="2">
                  <c:v>T2/13</c:v>
                </c:pt>
                <c:pt idx="3">
                  <c:v>T2/14</c:v>
                </c:pt>
                <c:pt idx="4">
                  <c:v>T2/15</c:v>
                </c:pt>
                <c:pt idx="5">
                  <c:v>T2/16</c:v>
                </c:pt>
              </c:strCache>
            </c:strRef>
          </c:cat>
          <c:val>
            <c:numRef>
              <c:f>'Tong muc ban le'!$B$69:$B$74</c:f>
              <c:numCache>
                <c:formatCode>General</c:formatCode>
                <c:ptCount val="6"/>
                <c:pt idx="0">
                  <c:v>10.200000000000001</c:v>
                </c:pt>
                <c:pt idx="1">
                  <c:v>4.4000000000000004</c:v>
                </c:pt>
                <c:pt idx="2">
                  <c:v>3.6</c:v>
                </c:pt>
                <c:pt idx="3">
                  <c:v>6.2</c:v>
                </c:pt>
                <c:pt idx="4">
                  <c:v>10.7</c:v>
                </c:pt>
                <c:pt idx="5">
                  <c:v>8.3000000000000007</c:v>
                </c:pt>
              </c:numCache>
            </c:numRef>
          </c:val>
        </c:ser>
        <c:dLbls>
          <c:showLegendKey val="0"/>
          <c:showVal val="0"/>
          <c:showCatName val="0"/>
          <c:showSerName val="0"/>
          <c:showPercent val="0"/>
          <c:showBubbleSize val="0"/>
        </c:dLbls>
        <c:gapWidth val="150"/>
        <c:axId val="127731200"/>
        <c:axId val="127732736"/>
      </c:barChart>
      <c:catAx>
        <c:axId val="127731200"/>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en-US"/>
          </a:p>
        </c:txPr>
        <c:crossAx val="127732736"/>
        <c:crosses val="autoZero"/>
        <c:auto val="1"/>
        <c:lblAlgn val="ctr"/>
        <c:lblOffset val="100"/>
        <c:noMultiLvlLbl val="0"/>
      </c:catAx>
      <c:valAx>
        <c:axId val="127732736"/>
        <c:scaling>
          <c:orientation val="minMax"/>
          <c:max val="12"/>
          <c:min val="0"/>
        </c:scaling>
        <c:delete val="0"/>
        <c:axPos val="l"/>
        <c:majorGridlines>
          <c:spPr>
            <a:ln>
              <a:prstDash val="sysDot"/>
            </a:ln>
          </c:spPr>
        </c:majorGridlines>
        <c:numFmt formatCode="General" sourceLinked="1"/>
        <c:majorTickMark val="out"/>
        <c:minorTickMark val="none"/>
        <c:tickLblPos val="nextTo"/>
        <c:crossAx val="127731200"/>
        <c:crosses val="autoZero"/>
        <c:crossBetween val="between"/>
        <c:majorUnit val="3"/>
      </c:valAx>
    </c:plotArea>
    <c:plotVisOnly val="1"/>
    <c:dispBlanksAs val="gap"/>
    <c:showDLblsOverMax val="0"/>
  </c:chart>
  <c:spPr>
    <a:ln>
      <a:noFill/>
    </a:ln>
  </c:spPr>
  <c:txPr>
    <a:bodyPr/>
    <a:lstStyle/>
    <a:p>
      <a:pPr>
        <a:defRPr sz="800">
          <a:latin typeface="+mj-lt"/>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17934520875102E-2"/>
          <c:y val="0"/>
          <c:w val="0.52361522663372595"/>
          <c:h val="0.7235272743219795"/>
        </c:manualLayout>
      </c:layout>
      <c:barChart>
        <c:barDir val="bar"/>
        <c:grouping val="clustered"/>
        <c:varyColors val="0"/>
        <c:ser>
          <c:idx val="0"/>
          <c:order val="0"/>
          <c:tx>
            <c:strRef>
              <c:f>Sheet1!$B$1</c:f>
              <c:strCache>
                <c:ptCount val="1"/>
                <c:pt idx="0">
                  <c:v>Xuất khẩu</c:v>
                </c:pt>
              </c:strCache>
            </c:strRef>
          </c:tx>
          <c:spPr>
            <a:solidFill>
              <a:schemeClr val="accent5">
                <a:lumMod val="75000"/>
              </a:schemeClr>
            </a:solidFill>
          </c:spPr>
          <c:invertIfNegative val="0"/>
          <c:dLbls>
            <c:txPr>
              <a:bodyPr/>
              <a:lstStyle/>
              <a:p>
                <a:pPr>
                  <a:defRPr b="1"/>
                </a:pPr>
                <a:endParaRPr lang="en-US"/>
              </a:p>
            </c:txPr>
            <c:showLegendKey val="0"/>
            <c:showVal val="1"/>
            <c:showCatName val="0"/>
            <c:showSerName val="0"/>
            <c:showPercent val="0"/>
            <c:showBubbleSize val="0"/>
            <c:showLeaderLines val="0"/>
          </c:dLbls>
          <c:cat>
            <c:strRef>
              <c:f>Sheet1!$A$2:$A$11</c:f>
              <c:strCache>
                <c:ptCount val="10"/>
                <c:pt idx="0">
                  <c:v>Dầu thô</c:v>
                </c:pt>
                <c:pt idx="1">
                  <c:v>Than đá</c:v>
                </c:pt>
                <c:pt idx="2">
                  <c:v>Cao su</c:v>
                </c:pt>
                <c:pt idx="3">
                  <c:v>Hạt tiêu</c:v>
                </c:pt>
                <c:pt idx="4">
                  <c:v>Sắt thép</c:v>
                </c:pt>
                <c:pt idx="5">
                  <c:v>Máy móc thiết bị</c:v>
                </c:pt>
                <c:pt idx="6">
                  <c:v>NPL dệt, may, giày dép</c:v>
                </c:pt>
                <c:pt idx="7">
                  <c:v>Phương tiện vận tải khác</c:v>
                </c:pt>
                <c:pt idx="8">
                  <c:v>Thức ăn gia súc</c:v>
                </c:pt>
                <c:pt idx="9">
                  <c:v>Xăng dầu</c:v>
                </c:pt>
              </c:strCache>
            </c:strRef>
          </c:cat>
          <c:val>
            <c:numRef>
              <c:f>Sheet1!$B$2:$B$11</c:f>
              <c:numCache>
                <c:formatCode>General</c:formatCode>
                <c:ptCount val="10"/>
                <c:pt idx="0">
                  <c:v>-63</c:v>
                </c:pt>
                <c:pt idx="1">
                  <c:v>-87.9</c:v>
                </c:pt>
                <c:pt idx="2">
                  <c:v>-21.799999999999986</c:v>
                </c:pt>
                <c:pt idx="3">
                  <c:v>-21.099999999999987</c:v>
                </c:pt>
                <c:pt idx="4">
                  <c:v>-21.299999999999986</c:v>
                </c:pt>
              </c:numCache>
            </c:numRef>
          </c:val>
        </c:ser>
        <c:ser>
          <c:idx val="1"/>
          <c:order val="1"/>
          <c:tx>
            <c:strRef>
              <c:f>Sheet1!$C$1</c:f>
              <c:strCache>
                <c:ptCount val="1"/>
                <c:pt idx="0">
                  <c:v>Nhập khẩu</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Sheet1!$A$2:$A$11</c:f>
              <c:strCache>
                <c:ptCount val="10"/>
                <c:pt idx="0">
                  <c:v>Dầu thô</c:v>
                </c:pt>
                <c:pt idx="1">
                  <c:v>Than đá</c:v>
                </c:pt>
                <c:pt idx="2">
                  <c:v>Cao su</c:v>
                </c:pt>
                <c:pt idx="3">
                  <c:v>Hạt tiêu</c:v>
                </c:pt>
                <c:pt idx="4">
                  <c:v>Sắt thép</c:v>
                </c:pt>
                <c:pt idx="5">
                  <c:v>Máy móc thiết bị</c:v>
                </c:pt>
                <c:pt idx="6">
                  <c:v>NPL dệt, may, giày dép</c:v>
                </c:pt>
                <c:pt idx="7">
                  <c:v>Phương tiện vận tải khác</c:v>
                </c:pt>
                <c:pt idx="8">
                  <c:v>Thức ăn gia súc</c:v>
                </c:pt>
                <c:pt idx="9">
                  <c:v>Xăng dầu</c:v>
                </c:pt>
              </c:strCache>
            </c:strRef>
          </c:cat>
          <c:val>
            <c:numRef>
              <c:f>Sheet1!$C$2:$C$11</c:f>
              <c:numCache>
                <c:formatCode>General</c:formatCode>
                <c:ptCount val="10"/>
                <c:pt idx="5">
                  <c:v>-13.600000000000001</c:v>
                </c:pt>
                <c:pt idx="6">
                  <c:v>-9.6000000000000014</c:v>
                </c:pt>
                <c:pt idx="7">
                  <c:v>-81.599999999999994</c:v>
                </c:pt>
                <c:pt idx="8">
                  <c:v>-14.900000000000006</c:v>
                </c:pt>
                <c:pt idx="9">
                  <c:v>-33.800000000000004</c:v>
                </c:pt>
              </c:numCache>
            </c:numRef>
          </c:val>
        </c:ser>
        <c:dLbls>
          <c:showLegendKey val="0"/>
          <c:showVal val="1"/>
          <c:showCatName val="0"/>
          <c:showSerName val="0"/>
          <c:showPercent val="0"/>
          <c:showBubbleSize val="0"/>
        </c:dLbls>
        <c:gapWidth val="150"/>
        <c:axId val="127754240"/>
        <c:axId val="127755776"/>
      </c:barChart>
      <c:catAx>
        <c:axId val="127754240"/>
        <c:scaling>
          <c:orientation val="minMax"/>
        </c:scaling>
        <c:delete val="0"/>
        <c:axPos val="l"/>
        <c:majorTickMark val="out"/>
        <c:minorTickMark val="none"/>
        <c:tickLblPos val="high"/>
        <c:spPr>
          <a:solidFill>
            <a:schemeClr val="bg1"/>
          </a:solidFill>
          <a:ln w="15875">
            <a:solidFill>
              <a:schemeClr val="tx1"/>
            </a:solidFill>
          </a:ln>
        </c:spPr>
        <c:txPr>
          <a:bodyPr rot="0" vert="horz" anchor="b" anchorCtr="0"/>
          <a:lstStyle/>
          <a:p>
            <a:pPr>
              <a:defRPr sz="800"/>
            </a:pPr>
            <a:endParaRPr lang="en-US"/>
          </a:p>
        </c:txPr>
        <c:crossAx val="127755776"/>
        <c:crosses val="autoZero"/>
        <c:auto val="1"/>
        <c:lblAlgn val="ctr"/>
        <c:lblOffset val="100"/>
        <c:tickLblSkip val="1"/>
        <c:noMultiLvlLbl val="0"/>
      </c:catAx>
      <c:valAx>
        <c:axId val="127755776"/>
        <c:scaling>
          <c:orientation val="minMax"/>
          <c:max val="2.5"/>
          <c:min val="-100"/>
        </c:scaling>
        <c:delete val="0"/>
        <c:axPos val="b"/>
        <c:numFmt formatCode="General" sourceLinked="1"/>
        <c:majorTickMark val="out"/>
        <c:minorTickMark val="none"/>
        <c:tickLblPos val="nextTo"/>
        <c:spPr>
          <a:noFill/>
        </c:spPr>
        <c:crossAx val="127754240"/>
        <c:crosses val="autoZero"/>
        <c:crossBetween val="between"/>
        <c:majorUnit val="20"/>
      </c:valAx>
      <c:spPr>
        <a:noFill/>
        <a:ln>
          <a:noFill/>
        </a:ln>
      </c:spPr>
    </c:plotArea>
    <c:legend>
      <c:legendPos val="b"/>
      <c:layout>
        <c:manualLayout>
          <c:xMode val="edge"/>
          <c:yMode val="edge"/>
          <c:x val="0.14140875619714258"/>
          <c:y val="0.90443288338957661"/>
          <c:w val="0.71718230533683258"/>
          <c:h val="7.1757592800899911E-2"/>
        </c:manualLayout>
      </c:layout>
      <c:overlay val="0"/>
      <c:txPr>
        <a:bodyPr/>
        <a:lstStyle/>
        <a:p>
          <a:pPr>
            <a:defRPr b="0"/>
          </a:pPr>
          <a:endParaRPr lang="en-US"/>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06863619656016E-2"/>
          <c:y val="5.2766621580226464E-2"/>
          <c:w val="0.89149301729775243"/>
          <c:h val="0.66509631713954864"/>
        </c:manualLayout>
      </c:layout>
      <c:barChart>
        <c:barDir val="col"/>
        <c:grouping val="clustered"/>
        <c:varyColors val="0"/>
        <c:ser>
          <c:idx val="0"/>
          <c:order val="0"/>
          <c:tx>
            <c:strRef>
              <c:f>Sheet1!$B$1</c:f>
              <c:strCache>
                <c:ptCount val="1"/>
                <c:pt idx="0">
                  <c:v>Xuất khẩu</c:v>
                </c:pt>
              </c:strCache>
            </c:strRef>
          </c:tx>
          <c:spPr>
            <a:solidFill>
              <a:schemeClr val="accent5">
                <a:lumMod val="75000"/>
              </a:schemeClr>
            </a:solidFill>
          </c:spPr>
          <c:invertIfNegative val="0"/>
          <c:dLbls>
            <c:txPr>
              <a:bodyPr/>
              <a:lstStyle/>
              <a:p>
                <a:pPr>
                  <a:defRPr b="1"/>
                </a:pPr>
                <a:endParaRPr lang="en-US"/>
              </a:p>
            </c:txPr>
            <c:showLegendKey val="0"/>
            <c:showVal val="1"/>
            <c:showCatName val="0"/>
            <c:showSerName val="0"/>
            <c:showPercent val="0"/>
            <c:showBubbleSize val="0"/>
            <c:showLeaderLines val="0"/>
          </c:dLbls>
          <c:cat>
            <c:strRef>
              <c:f>Sheet1!$A$2:$A$3</c:f>
              <c:strCache>
                <c:ptCount val="2"/>
                <c:pt idx="0">
                  <c:v>KV FDI</c:v>
                </c:pt>
                <c:pt idx="1">
                  <c:v>KV trong nước</c:v>
                </c:pt>
              </c:strCache>
            </c:strRef>
          </c:cat>
          <c:val>
            <c:numRef>
              <c:f>Sheet1!$B$2:$B$3</c:f>
              <c:numCache>
                <c:formatCode>General</c:formatCode>
                <c:ptCount val="2"/>
                <c:pt idx="0">
                  <c:v>16.5</c:v>
                </c:pt>
                <c:pt idx="1">
                  <c:v>7.1</c:v>
                </c:pt>
              </c:numCache>
            </c:numRef>
          </c:val>
        </c:ser>
        <c:ser>
          <c:idx val="1"/>
          <c:order val="1"/>
          <c:tx>
            <c:strRef>
              <c:f>Sheet1!$C$1</c:f>
              <c:strCache>
                <c:ptCount val="1"/>
                <c:pt idx="0">
                  <c:v>Nhập khẩu</c:v>
                </c:pt>
              </c:strCache>
            </c:strRef>
          </c:tx>
          <c:spPr>
            <a:solidFill>
              <a:schemeClr val="accent5">
                <a:lumMod val="40000"/>
                <a:lumOff val="60000"/>
              </a:schemeClr>
            </a:solidFill>
          </c:spPr>
          <c:invertIfNegative val="0"/>
          <c:dLbls>
            <c:txPr>
              <a:bodyPr/>
              <a:lstStyle/>
              <a:p>
                <a:pPr>
                  <a:defRPr b="1"/>
                </a:pPr>
                <a:endParaRPr lang="en-US"/>
              </a:p>
            </c:txPr>
            <c:showLegendKey val="0"/>
            <c:showVal val="1"/>
            <c:showCatName val="0"/>
            <c:showSerName val="0"/>
            <c:showPercent val="0"/>
            <c:showBubbleSize val="0"/>
            <c:showLeaderLines val="0"/>
          </c:dLbls>
          <c:cat>
            <c:strRef>
              <c:f>Sheet1!$A$2:$A$3</c:f>
              <c:strCache>
                <c:ptCount val="2"/>
                <c:pt idx="0">
                  <c:v>KV FDI</c:v>
                </c:pt>
                <c:pt idx="1">
                  <c:v>KV trong nước</c:v>
                </c:pt>
              </c:strCache>
            </c:strRef>
          </c:cat>
          <c:val>
            <c:numRef>
              <c:f>Sheet1!$C$2:$C$3</c:f>
              <c:numCache>
                <c:formatCode>General</c:formatCode>
                <c:ptCount val="2"/>
                <c:pt idx="0">
                  <c:v>13.6</c:v>
                </c:pt>
                <c:pt idx="1">
                  <c:v>9.2000000000000011</c:v>
                </c:pt>
              </c:numCache>
            </c:numRef>
          </c:val>
        </c:ser>
        <c:dLbls>
          <c:showLegendKey val="0"/>
          <c:showVal val="1"/>
          <c:showCatName val="0"/>
          <c:showSerName val="0"/>
          <c:showPercent val="0"/>
          <c:showBubbleSize val="0"/>
        </c:dLbls>
        <c:gapWidth val="150"/>
        <c:axId val="138353280"/>
        <c:axId val="138355072"/>
      </c:barChart>
      <c:catAx>
        <c:axId val="138353280"/>
        <c:scaling>
          <c:orientation val="minMax"/>
        </c:scaling>
        <c:delete val="0"/>
        <c:axPos val="b"/>
        <c:majorTickMark val="out"/>
        <c:minorTickMark val="none"/>
        <c:tickLblPos val="nextTo"/>
        <c:crossAx val="138355072"/>
        <c:crosses val="autoZero"/>
        <c:auto val="1"/>
        <c:lblAlgn val="ctr"/>
        <c:lblOffset val="100"/>
        <c:noMultiLvlLbl val="0"/>
      </c:catAx>
      <c:valAx>
        <c:axId val="138355072"/>
        <c:scaling>
          <c:orientation val="minMax"/>
        </c:scaling>
        <c:delete val="1"/>
        <c:axPos val="l"/>
        <c:numFmt formatCode="General" sourceLinked="1"/>
        <c:majorTickMark val="out"/>
        <c:minorTickMark val="none"/>
        <c:tickLblPos val="none"/>
        <c:crossAx val="138353280"/>
        <c:crosses val="autoZero"/>
        <c:crossBetween val="between"/>
      </c:valAx>
      <c:spPr>
        <a:noFill/>
        <a:ln>
          <a:noFill/>
        </a:ln>
      </c:spPr>
    </c:plotArea>
    <c:legend>
      <c:legendPos val="b"/>
      <c:layout>
        <c:manualLayout>
          <c:xMode val="edge"/>
          <c:yMode val="edge"/>
          <c:x val="0.26778094386987222"/>
          <c:y val="0.85577731079551034"/>
          <c:w val="0.57050845131131767"/>
          <c:h val="0.11306327691516926"/>
        </c:manualLayout>
      </c:layout>
      <c:overlay val="0"/>
      <c:txPr>
        <a:bodyPr/>
        <a:lstStyle/>
        <a:p>
          <a:pPr>
            <a:defRPr b="0"/>
          </a:pPr>
          <a:endParaRPr lang="en-US"/>
        </a:p>
      </c:txPr>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639731719202856E-2"/>
          <c:y val="4.3531212519498388E-2"/>
          <c:w val="0.88525630658729348"/>
          <c:h val="0.63492093436234731"/>
        </c:manualLayout>
      </c:layout>
      <c:lineChart>
        <c:grouping val="standard"/>
        <c:varyColors val="0"/>
        <c:ser>
          <c:idx val="0"/>
          <c:order val="0"/>
          <c:tx>
            <c:strRef>
              <c:f>'Biểu đồ so cùng kỳ'!$A$5</c:f>
              <c:strCache>
                <c:ptCount val="1"/>
                <c:pt idx="0">
                  <c:v>Lạm phát tổng thể</c:v>
                </c:pt>
              </c:strCache>
            </c:strRef>
          </c:tx>
          <c:spPr>
            <a:ln w="22225">
              <a:solidFill>
                <a:schemeClr val="accent5">
                  <a:lumMod val="75000"/>
                </a:schemeClr>
              </a:solidFill>
            </a:ln>
          </c:spPr>
          <c:marker>
            <c:symbol val="none"/>
          </c:marker>
          <c:cat>
            <c:strRef>
              <c:f>'Biểu đồ so cùng kỳ'!$P$4:$AP$4</c:f>
              <c:strCache>
                <c:ptCount val="25"/>
                <c:pt idx="0">
                  <c:v>T3/14</c:v>
                </c:pt>
                <c:pt idx="1">
                  <c:v>T4/14</c:v>
                </c:pt>
                <c:pt idx="2">
                  <c:v>T5/14</c:v>
                </c:pt>
                <c:pt idx="3">
                  <c:v>T6/14</c:v>
                </c:pt>
                <c:pt idx="4">
                  <c:v>T7/14</c:v>
                </c:pt>
                <c:pt idx="5">
                  <c:v>T8/14</c:v>
                </c:pt>
                <c:pt idx="6">
                  <c:v>T9/14</c:v>
                </c:pt>
                <c:pt idx="7">
                  <c:v>T10/14</c:v>
                </c:pt>
                <c:pt idx="8">
                  <c:v>T11/14</c:v>
                </c:pt>
                <c:pt idx="9">
                  <c:v>T12/14</c:v>
                </c:pt>
                <c:pt idx="10">
                  <c:v>T1/15</c:v>
                </c:pt>
                <c:pt idx="11">
                  <c:v>T2/15</c:v>
                </c:pt>
                <c:pt idx="12">
                  <c:v>T3/15</c:v>
                </c:pt>
                <c:pt idx="13">
                  <c:v>T4/15</c:v>
                </c:pt>
                <c:pt idx="14">
                  <c:v>T5/15</c:v>
                </c:pt>
                <c:pt idx="15">
                  <c:v>T6/15</c:v>
                </c:pt>
                <c:pt idx="16">
                  <c:v>T7/15</c:v>
                </c:pt>
                <c:pt idx="17">
                  <c:v>T8/15</c:v>
                </c:pt>
                <c:pt idx="18">
                  <c:v>T9/15</c:v>
                </c:pt>
                <c:pt idx="19">
                  <c:v>T10/15</c:v>
                </c:pt>
                <c:pt idx="20">
                  <c:v>T11/15</c:v>
                </c:pt>
                <c:pt idx="21">
                  <c:v>T12/15</c:v>
                </c:pt>
                <c:pt idx="22">
                  <c:v>T1/16</c:v>
                </c:pt>
                <c:pt idx="23">
                  <c:v>T2/16</c:v>
                </c:pt>
                <c:pt idx="24">
                  <c:v>T3/16</c:v>
                </c:pt>
              </c:strCache>
            </c:strRef>
          </c:cat>
          <c:val>
            <c:numRef>
              <c:f>'Biểu đồ so cùng kỳ'!$P$5:$AP$5</c:f>
              <c:numCache>
                <c:formatCode>0.00</c:formatCode>
                <c:ptCount val="25"/>
                <c:pt idx="0">
                  <c:v>4.3861509247230543</c:v>
                </c:pt>
                <c:pt idx="1">
                  <c:v>4.4500000000000028</c:v>
                </c:pt>
                <c:pt idx="2">
                  <c:v>4.7199999999999989</c:v>
                </c:pt>
                <c:pt idx="3">
                  <c:v>4.9800000000000075</c:v>
                </c:pt>
                <c:pt idx="4">
                  <c:v>4.9400000000000004</c:v>
                </c:pt>
                <c:pt idx="5">
                  <c:v>4.3100000000000005</c:v>
                </c:pt>
                <c:pt idx="6">
                  <c:v>3.6200000000000045</c:v>
                </c:pt>
                <c:pt idx="7">
                  <c:v>3.2300000000000035</c:v>
                </c:pt>
                <c:pt idx="8">
                  <c:v>2.5999999999999943</c:v>
                </c:pt>
                <c:pt idx="9">
                  <c:v>1.8400000000000041</c:v>
                </c:pt>
                <c:pt idx="10">
                  <c:v>0.93999999999999773</c:v>
                </c:pt>
                <c:pt idx="11">
                  <c:v>0.34000000000000341</c:v>
                </c:pt>
                <c:pt idx="12">
                  <c:v>0.93000000000000682</c:v>
                </c:pt>
                <c:pt idx="13">
                  <c:v>0.98999999999999488</c:v>
                </c:pt>
                <c:pt idx="14">
                  <c:v>0.95000000000000295</c:v>
                </c:pt>
                <c:pt idx="15">
                  <c:v>1</c:v>
                </c:pt>
                <c:pt idx="16">
                  <c:v>0.85999999999999965</c:v>
                </c:pt>
                <c:pt idx="17">
                  <c:v>0.82999999999999863</c:v>
                </c:pt>
                <c:pt idx="18">
                  <c:v>0</c:v>
                </c:pt>
                <c:pt idx="19">
                  <c:v>0</c:v>
                </c:pt>
                <c:pt idx="20" formatCode="General">
                  <c:v>0.34</c:v>
                </c:pt>
                <c:pt idx="21" formatCode="General">
                  <c:v>0.60000000000000042</c:v>
                </c:pt>
                <c:pt idx="22" formatCode="General">
                  <c:v>0.8</c:v>
                </c:pt>
                <c:pt idx="23" formatCode="General">
                  <c:v>1.27</c:v>
                </c:pt>
                <c:pt idx="24" formatCode="General">
                  <c:v>1.6900000000000008</c:v>
                </c:pt>
              </c:numCache>
            </c:numRef>
          </c:val>
          <c:smooth val="0"/>
        </c:ser>
        <c:ser>
          <c:idx val="4"/>
          <c:order val="1"/>
          <c:cat>
            <c:strRef>
              <c:f>'Biểu đồ so cùng kỳ'!$P$4:$AP$4</c:f>
              <c:strCache>
                <c:ptCount val="25"/>
                <c:pt idx="0">
                  <c:v>T3/14</c:v>
                </c:pt>
                <c:pt idx="1">
                  <c:v>T4/14</c:v>
                </c:pt>
                <c:pt idx="2">
                  <c:v>T5/14</c:v>
                </c:pt>
                <c:pt idx="3">
                  <c:v>T6/14</c:v>
                </c:pt>
                <c:pt idx="4">
                  <c:v>T7/14</c:v>
                </c:pt>
                <c:pt idx="5">
                  <c:v>T8/14</c:v>
                </c:pt>
                <c:pt idx="6">
                  <c:v>T9/14</c:v>
                </c:pt>
                <c:pt idx="7">
                  <c:v>T10/14</c:v>
                </c:pt>
                <c:pt idx="8">
                  <c:v>T11/14</c:v>
                </c:pt>
                <c:pt idx="9">
                  <c:v>T12/14</c:v>
                </c:pt>
                <c:pt idx="10">
                  <c:v>T1/15</c:v>
                </c:pt>
                <c:pt idx="11">
                  <c:v>T2/15</c:v>
                </c:pt>
                <c:pt idx="12">
                  <c:v>T3/15</c:v>
                </c:pt>
                <c:pt idx="13">
                  <c:v>T4/15</c:v>
                </c:pt>
                <c:pt idx="14">
                  <c:v>T5/15</c:v>
                </c:pt>
                <c:pt idx="15">
                  <c:v>T6/15</c:v>
                </c:pt>
                <c:pt idx="16">
                  <c:v>T7/15</c:v>
                </c:pt>
                <c:pt idx="17">
                  <c:v>T8/15</c:v>
                </c:pt>
                <c:pt idx="18">
                  <c:v>T9/15</c:v>
                </c:pt>
                <c:pt idx="19">
                  <c:v>T10/15</c:v>
                </c:pt>
                <c:pt idx="20">
                  <c:v>T11/15</c:v>
                </c:pt>
                <c:pt idx="21">
                  <c:v>T12/15</c:v>
                </c:pt>
                <c:pt idx="22">
                  <c:v>T1/16</c:v>
                </c:pt>
                <c:pt idx="23">
                  <c:v>T2/16</c:v>
                </c:pt>
                <c:pt idx="24">
                  <c:v>T3/16</c:v>
                </c:pt>
              </c:strCache>
            </c:strRef>
          </c:cat>
          <c:val>
            <c:numRef>
              <c:f>'Biểu đồ so cùng kỳ'!$P$6:$AP$6</c:f>
            </c:numRef>
          </c:val>
          <c:smooth val="0"/>
        </c:ser>
        <c:ser>
          <c:idx val="1"/>
          <c:order val="2"/>
          <c:cat>
            <c:strRef>
              <c:f>'Biểu đồ so cùng kỳ'!$P$4:$AP$4</c:f>
              <c:strCache>
                <c:ptCount val="25"/>
                <c:pt idx="0">
                  <c:v>T3/14</c:v>
                </c:pt>
                <c:pt idx="1">
                  <c:v>T4/14</c:v>
                </c:pt>
                <c:pt idx="2">
                  <c:v>T5/14</c:v>
                </c:pt>
                <c:pt idx="3">
                  <c:v>T6/14</c:v>
                </c:pt>
                <c:pt idx="4">
                  <c:v>T7/14</c:v>
                </c:pt>
                <c:pt idx="5">
                  <c:v>T8/14</c:v>
                </c:pt>
                <c:pt idx="6">
                  <c:v>T9/14</c:v>
                </c:pt>
                <c:pt idx="7">
                  <c:v>T10/14</c:v>
                </c:pt>
                <c:pt idx="8">
                  <c:v>T11/14</c:v>
                </c:pt>
                <c:pt idx="9">
                  <c:v>T12/14</c:v>
                </c:pt>
                <c:pt idx="10">
                  <c:v>T1/15</c:v>
                </c:pt>
                <c:pt idx="11">
                  <c:v>T2/15</c:v>
                </c:pt>
                <c:pt idx="12">
                  <c:v>T3/15</c:v>
                </c:pt>
                <c:pt idx="13">
                  <c:v>T4/15</c:v>
                </c:pt>
                <c:pt idx="14">
                  <c:v>T5/15</c:v>
                </c:pt>
                <c:pt idx="15">
                  <c:v>T6/15</c:v>
                </c:pt>
                <c:pt idx="16">
                  <c:v>T7/15</c:v>
                </c:pt>
                <c:pt idx="17">
                  <c:v>T8/15</c:v>
                </c:pt>
                <c:pt idx="18">
                  <c:v>T9/15</c:v>
                </c:pt>
                <c:pt idx="19">
                  <c:v>T10/15</c:v>
                </c:pt>
                <c:pt idx="20">
                  <c:v>T11/15</c:v>
                </c:pt>
                <c:pt idx="21">
                  <c:v>T12/15</c:v>
                </c:pt>
                <c:pt idx="22">
                  <c:v>T1/16</c:v>
                </c:pt>
                <c:pt idx="23">
                  <c:v>T2/16</c:v>
                </c:pt>
                <c:pt idx="24">
                  <c:v>T3/16</c:v>
                </c:pt>
              </c:strCache>
            </c:strRef>
          </c:cat>
          <c:val>
            <c:numRef>
              <c:f>'Biểu đồ so cùng kỳ'!$P$7:$AP$7</c:f>
            </c:numRef>
          </c:val>
          <c:smooth val="0"/>
        </c:ser>
        <c:ser>
          <c:idx val="2"/>
          <c:order val="3"/>
          <c:cat>
            <c:strRef>
              <c:f>'Biểu đồ so cùng kỳ'!$P$4:$AP$4</c:f>
              <c:strCache>
                <c:ptCount val="25"/>
                <c:pt idx="0">
                  <c:v>T3/14</c:v>
                </c:pt>
                <c:pt idx="1">
                  <c:v>T4/14</c:v>
                </c:pt>
                <c:pt idx="2">
                  <c:v>T5/14</c:v>
                </c:pt>
                <c:pt idx="3">
                  <c:v>T6/14</c:v>
                </c:pt>
                <c:pt idx="4">
                  <c:v>T7/14</c:v>
                </c:pt>
                <c:pt idx="5">
                  <c:v>T8/14</c:v>
                </c:pt>
                <c:pt idx="6">
                  <c:v>T9/14</c:v>
                </c:pt>
                <c:pt idx="7">
                  <c:v>T10/14</c:v>
                </c:pt>
                <c:pt idx="8">
                  <c:v>T11/14</c:v>
                </c:pt>
                <c:pt idx="9">
                  <c:v>T12/14</c:v>
                </c:pt>
                <c:pt idx="10">
                  <c:v>T1/15</c:v>
                </c:pt>
                <c:pt idx="11">
                  <c:v>T2/15</c:v>
                </c:pt>
                <c:pt idx="12">
                  <c:v>T3/15</c:v>
                </c:pt>
                <c:pt idx="13">
                  <c:v>T4/15</c:v>
                </c:pt>
                <c:pt idx="14">
                  <c:v>T5/15</c:v>
                </c:pt>
                <c:pt idx="15">
                  <c:v>T6/15</c:v>
                </c:pt>
                <c:pt idx="16">
                  <c:v>T7/15</c:v>
                </c:pt>
                <c:pt idx="17">
                  <c:v>T8/15</c:v>
                </c:pt>
                <c:pt idx="18">
                  <c:v>T9/15</c:v>
                </c:pt>
                <c:pt idx="19">
                  <c:v>T10/15</c:v>
                </c:pt>
                <c:pt idx="20">
                  <c:v>T11/15</c:v>
                </c:pt>
                <c:pt idx="21">
                  <c:v>T12/15</c:v>
                </c:pt>
                <c:pt idx="22">
                  <c:v>T1/16</c:v>
                </c:pt>
                <c:pt idx="23">
                  <c:v>T2/16</c:v>
                </c:pt>
                <c:pt idx="24">
                  <c:v>T3/16</c:v>
                </c:pt>
              </c:strCache>
            </c:strRef>
          </c:cat>
          <c:val>
            <c:numRef>
              <c:f>'Biểu đồ so cùng kỳ'!$P$8:$AP$8</c:f>
            </c:numRef>
          </c:val>
          <c:smooth val="0"/>
        </c:ser>
        <c:ser>
          <c:idx val="3"/>
          <c:order val="4"/>
          <c:tx>
            <c:strRef>
              <c:f>'Biểu đồ so cùng kỳ'!$A$9</c:f>
              <c:strCache>
                <c:ptCount val="1"/>
                <c:pt idx="0">
                  <c:v>Lạm phát cơ bản</c:v>
                </c:pt>
              </c:strCache>
            </c:strRef>
          </c:tx>
          <c:spPr>
            <a:ln w="25400">
              <a:solidFill>
                <a:srgbClr val="FF0000"/>
              </a:solidFill>
              <a:prstDash val="sysDash"/>
            </a:ln>
          </c:spPr>
          <c:marker>
            <c:symbol val="none"/>
          </c:marker>
          <c:cat>
            <c:strRef>
              <c:f>'Biểu đồ so cùng kỳ'!$P$4:$AP$4</c:f>
              <c:strCache>
                <c:ptCount val="25"/>
                <c:pt idx="0">
                  <c:v>T3/14</c:v>
                </c:pt>
                <c:pt idx="1">
                  <c:v>T4/14</c:v>
                </c:pt>
                <c:pt idx="2">
                  <c:v>T5/14</c:v>
                </c:pt>
                <c:pt idx="3">
                  <c:v>T6/14</c:v>
                </c:pt>
                <c:pt idx="4">
                  <c:v>T7/14</c:v>
                </c:pt>
                <c:pt idx="5">
                  <c:v>T8/14</c:v>
                </c:pt>
                <c:pt idx="6">
                  <c:v>T9/14</c:v>
                </c:pt>
                <c:pt idx="7">
                  <c:v>T10/14</c:v>
                </c:pt>
                <c:pt idx="8">
                  <c:v>T11/14</c:v>
                </c:pt>
                <c:pt idx="9">
                  <c:v>T12/14</c:v>
                </c:pt>
                <c:pt idx="10">
                  <c:v>T1/15</c:v>
                </c:pt>
                <c:pt idx="11">
                  <c:v>T2/15</c:v>
                </c:pt>
                <c:pt idx="12">
                  <c:v>T3/15</c:v>
                </c:pt>
                <c:pt idx="13">
                  <c:v>T4/15</c:v>
                </c:pt>
                <c:pt idx="14">
                  <c:v>T5/15</c:v>
                </c:pt>
                <c:pt idx="15">
                  <c:v>T6/15</c:v>
                </c:pt>
                <c:pt idx="16">
                  <c:v>T7/15</c:v>
                </c:pt>
                <c:pt idx="17">
                  <c:v>T8/15</c:v>
                </c:pt>
                <c:pt idx="18">
                  <c:v>T9/15</c:v>
                </c:pt>
                <c:pt idx="19">
                  <c:v>T10/15</c:v>
                </c:pt>
                <c:pt idx="20">
                  <c:v>T11/15</c:v>
                </c:pt>
                <c:pt idx="21">
                  <c:v>T12/15</c:v>
                </c:pt>
                <c:pt idx="22">
                  <c:v>T1/16</c:v>
                </c:pt>
                <c:pt idx="23">
                  <c:v>T2/16</c:v>
                </c:pt>
                <c:pt idx="24">
                  <c:v>T3/16</c:v>
                </c:pt>
              </c:strCache>
            </c:strRef>
          </c:cat>
          <c:val>
            <c:numRef>
              <c:f>'Biểu đồ so cùng kỳ'!$P$9:$AP$9</c:f>
              <c:numCache>
                <c:formatCode>0.00</c:formatCode>
                <c:ptCount val="25"/>
                <c:pt idx="0">
                  <c:v>4.0538570547348733</c:v>
                </c:pt>
                <c:pt idx="1">
                  <c:v>3.8693453009503775</c:v>
                </c:pt>
                <c:pt idx="2">
                  <c:v>3.7583474128827796</c:v>
                </c:pt>
                <c:pt idx="3">
                  <c:v>3.6933368532207136</c:v>
                </c:pt>
                <c:pt idx="4">
                  <c:v>3.6080807814149916</c:v>
                </c:pt>
                <c:pt idx="5">
                  <c:v>3.3440285110876449</c:v>
                </c:pt>
                <c:pt idx="6">
                  <c:v>3.1240100316789916</c:v>
                </c:pt>
                <c:pt idx="7">
                  <c:v>3.0904382259767771</c:v>
                </c:pt>
                <c:pt idx="8">
                  <c:v>2.9752587117212057</c:v>
                </c:pt>
                <c:pt idx="9">
                  <c:v>2.900514783526936</c:v>
                </c:pt>
                <c:pt idx="10">
                  <c:v>2.5801293558606049</c:v>
                </c:pt>
                <c:pt idx="11">
                  <c:v>2.3081731784582962</c:v>
                </c:pt>
                <c:pt idx="12">
                  <c:v>2.4822676874340202</c:v>
                </c:pt>
                <c:pt idx="13">
                  <c:v>2.4190469904962901</c:v>
                </c:pt>
                <c:pt idx="14">
                  <c:v>2.4063727560718142</c:v>
                </c:pt>
                <c:pt idx="15">
                  <c:v>2.3668136219640927</c:v>
                </c:pt>
                <c:pt idx="16">
                  <c:v>2.4163727560718073</c:v>
                </c:pt>
                <c:pt idx="17">
                  <c:v>2.4131335797254452</c:v>
                </c:pt>
                <c:pt idx="18">
                  <c:v>2.1839545934530102</c:v>
                </c:pt>
                <c:pt idx="19">
                  <c:v>2.1192291446673748</c:v>
                </c:pt>
                <c:pt idx="20" formatCode="General">
                  <c:v>2.17</c:v>
                </c:pt>
                <c:pt idx="21" formatCode="General">
                  <c:v>2.02</c:v>
                </c:pt>
                <c:pt idx="22" formatCode="General">
                  <c:v>1.81</c:v>
                </c:pt>
                <c:pt idx="23" formatCode="General">
                  <c:v>1.9300000000000008</c:v>
                </c:pt>
                <c:pt idx="24" formatCode="General">
                  <c:v>1.76</c:v>
                </c:pt>
              </c:numCache>
            </c:numRef>
          </c:val>
          <c:smooth val="0"/>
        </c:ser>
        <c:dLbls>
          <c:showLegendKey val="0"/>
          <c:showVal val="0"/>
          <c:showCatName val="0"/>
          <c:showSerName val="0"/>
          <c:showPercent val="0"/>
          <c:showBubbleSize val="0"/>
        </c:dLbls>
        <c:marker val="1"/>
        <c:smooth val="0"/>
        <c:axId val="138370048"/>
        <c:axId val="138380032"/>
      </c:lineChart>
      <c:catAx>
        <c:axId val="138370048"/>
        <c:scaling>
          <c:orientation val="minMax"/>
        </c:scaling>
        <c:delete val="0"/>
        <c:axPos val="b"/>
        <c:numFmt formatCode="0.00" sourceLinked="1"/>
        <c:majorTickMark val="out"/>
        <c:minorTickMark val="none"/>
        <c:tickLblPos val="nextTo"/>
        <c:txPr>
          <a:bodyPr/>
          <a:lstStyle/>
          <a:p>
            <a:pPr>
              <a:defRPr sz="700"/>
            </a:pPr>
            <a:endParaRPr lang="en-US"/>
          </a:p>
        </c:txPr>
        <c:crossAx val="138380032"/>
        <c:crosses val="autoZero"/>
        <c:auto val="0"/>
        <c:lblAlgn val="ctr"/>
        <c:lblOffset val="100"/>
        <c:tickLblSkip val="2"/>
        <c:tickMarkSkip val="2"/>
        <c:noMultiLvlLbl val="0"/>
      </c:catAx>
      <c:valAx>
        <c:axId val="138380032"/>
        <c:scaling>
          <c:orientation val="minMax"/>
        </c:scaling>
        <c:delete val="0"/>
        <c:axPos val="l"/>
        <c:majorGridlines>
          <c:spPr>
            <a:ln>
              <a:prstDash val="sysDot"/>
            </a:ln>
          </c:spPr>
        </c:majorGridlines>
        <c:numFmt formatCode="0" sourceLinked="0"/>
        <c:majorTickMark val="out"/>
        <c:minorTickMark val="none"/>
        <c:tickLblPos val="nextTo"/>
        <c:crossAx val="138370048"/>
        <c:crosses val="autoZero"/>
        <c:crossBetween val="between"/>
        <c:majorUnit val="1"/>
      </c:valAx>
      <c:spPr>
        <a:noFill/>
        <a:ln w="25400">
          <a:noFill/>
        </a:ln>
      </c:spPr>
    </c:plotArea>
    <c:legend>
      <c:legendPos val="b"/>
      <c:layout>
        <c:manualLayout>
          <c:xMode val="edge"/>
          <c:yMode val="edge"/>
          <c:x val="5.0000075308690321E-2"/>
          <c:y val="0.85808029986667"/>
          <c:w val="0.89999984938261934"/>
          <c:h val="0.14191947108053349"/>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79420524142198"/>
          <c:y val="0.1059583490928262"/>
          <c:w val="0.85627296308993839"/>
          <c:h val="0.66380086055985543"/>
        </c:manualLayout>
      </c:layout>
      <c:barChart>
        <c:barDir val="col"/>
        <c:grouping val="clustered"/>
        <c:varyColors val="0"/>
        <c:ser>
          <c:idx val="0"/>
          <c:order val="0"/>
          <c:tx>
            <c:v>So với dự toán</c:v>
          </c:tx>
          <c:spPr>
            <a:solidFill>
              <a:schemeClr val="tx2">
                <a:lumMod val="40000"/>
                <a:lumOff val="60000"/>
              </a:schemeClr>
            </a:solidFill>
            <a:ln>
              <a:solidFill>
                <a:schemeClr val="tx2">
                  <a:lumMod val="75000"/>
                </a:schemeClr>
              </a:solidFill>
            </a:ln>
          </c:spPr>
          <c:invertIfNegative val="0"/>
          <c:dLbls>
            <c:dLbl>
              <c:idx val="1"/>
              <c:layout>
                <c:manualLayout>
                  <c:x val="0"/>
                  <c:y val="0"/>
                </c:manualLayout>
              </c:layout>
              <c:showLegendKey val="0"/>
              <c:showVal val="1"/>
              <c:showCatName val="0"/>
              <c:showSerName val="0"/>
              <c:showPercent val="0"/>
              <c:showBubbleSize val="0"/>
            </c:dLbl>
            <c:dLbl>
              <c:idx val="2"/>
              <c:layout>
                <c:manualLayout>
                  <c:x val="0"/>
                  <c:y val="2.3289665211062592E-2"/>
                </c:manualLayout>
              </c:layout>
              <c:showLegendKey val="0"/>
              <c:showVal val="1"/>
              <c:showCatName val="0"/>
              <c:showSerName val="0"/>
              <c:showPercent val="0"/>
              <c:showBubbleSize val="0"/>
            </c:dLbl>
            <c:dLbl>
              <c:idx val="3"/>
              <c:layout>
                <c:manualLayout>
                  <c:x val="0"/>
                  <c:y val="3.4934497816593885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'[Bieu do.xlsx]Thu chi NSNN 15 ngày'!$E$6:$E$9</c:f>
              <c:strCache>
                <c:ptCount val="4"/>
                <c:pt idx="0">
                  <c:v>Tổng thu NSNN</c:v>
                </c:pt>
                <c:pt idx="1">
                  <c:v>Thu nội địa</c:v>
                </c:pt>
                <c:pt idx="2">
                  <c:v>Thu từ dầu thô</c:v>
                </c:pt>
                <c:pt idx="3">
                  <c:v>Thu từ XNK</c:v>
                </c:pt>
              </c:strCache>
            </c:strRef>
          </c:cat>
          <c:val>
            <c:numRef>
              <c:f>'[Bieu do.xlsx]Thu chi NSNN 15 ngày'!$F$6:$F$9</c:f>
              <c:numCache>
                <c:formatCode>General</c:formatCode>
                <c:ptCount val="4"/>
                <c:pt idx="0">
                  <c:v>18</c:v>
                </c:pt>
                <c:pt idx="1">
                  <c:v>19.399999999999999</c:v>
                </c:pt>
                <c:pt idx="2">
                  <c:v>13.7</c:v>
                </c:pt>
                <c:pt idx="3">
                  <c:v>13.2</c:v>
                </c:pt>
              </c:numCache>
            </c:numRef>
          </c:val>
        </c:ser>
        <c:ser>
          <c:idx val="1"/>
          <c:order val="1"/>
          <c:tx>
            <c:v>So với cùng kỳ 2015</c:v>
          </c:tx>
          <c:spPr>
            <a:solidFill>
              <a:schemeClr val="accent1">
                <a:lumMod val="75000"/>
              </a:schemeClr>
            </a:solidFill>
            <a:ln>
              <a:solidFill>
                <a:schemeClr val="tx2">
                  <a:lumMod val="75000"/>
                </a:schemeClr>
              </a:solidFill>
            </a:ln>
          </c:spPr>
          <c:invertIfNegative val="0"/>
          <c:dLbls>
            <c:dLbl>
              <c:idx val="0"/>
              <c:tx>
                <c:rich>
                  <a:bodyPr/>
                  <a:lstStyle/>
                  <a:p>
                    <a:r>
                      <a:rPr lang="en-US"/>
                      <a:t>1.1</a:t>
                    </a:r>
                  </a:p>
                </c:rich>
              </c:tx>
              <c:showLegendKey val="0"/>
              <c:showVal val="1"/>
              <c:showCatName val="0"/>
              <c:showSerName val="0"/>
              <c:showPercent val="0"/>
              <c:showBubbleSize val="0"/>
            </c:dLbl>
            <c:dLbl>
              <c:idx val="1"/>
              <c:layout>
                <c:manualLayout>
                  <c:x val="0"/>
                  <c:y val="1.1644832605531305E-2"/>
                </c:manualLayout>
              </c:layout>
              <c:tx>
                <c:rich>
                  <a:bodyPr/>
                  <a:lstStyle/>
                  <a:p>
                    <a:r>
                      <a:rPr lang="en-US"/>
                      <a:t>11.3</a:t>
                    </a:r>
                  </a:p>
                </c:rich>
              </c:tx>
              <c:showLegendKey val="0"/>
              <c:showVal val="1"/>
              <c:showCatName val="0"/>
              <c:showSerName val="0"/>
              <c:showPercent val="0"/>
              <c:showBubbleSize val="0"/>
            </c:dLbl>
            <c:dLbl>
              <c:idx val="2"/>
              <c:tx>
                <c:rich>
                  <a:bodyPr/>
                  <a:lstStyle/>
                  <a:p>
                    <a:r>
                      <a:rPr lang="en-US"/>
                      <a:t>-48.6</a:t>
                    </a:r>
                  </a:p>
                </c:rich>
              </c:tx>
              <c:showLegendKey val="0"/>
              <c:showVal val="1"/>
              <c:showCatName val="0"/>
              <c:showSerName val="0"/>
              <c:showPercent val="0"/>
              <c:showBubbleSize val="0"/>
            </c:dLbl>
            <c:dLbl>
              <c:idx val="3"/>
              <c:tx>
                <c:rich>
                  <a:bodyPr/>
                  <a:lstStyle/>
                  <a:p>
                    <a:r>
                      <a:rPr lang="en-US"/>
                      <a:t>-22.6</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'[Bieu do.xlsx]Thu chi NSNN 15 ngày'!$E$6:$E$9</c:f>
              <c:strCache>
                <c:ptCount val="4"/>
                <c:pt idx="0">
                  <c:v>Tổng thu NSNN</c:v>
                </c:pt>
                <c:pt idx="1">
                  <c:v>Thu nội địa</c:v>
                </c:pt>
                <c:pt idx="2">
                  <c:v>Thu từ dầu thô</c:v>
                </c:pt>
                <c:pt idx="3">
                  <c:v>Thu từ XNK</c:v>
                </c:pt>
              </c:strCache>
            </c:strRef>
          </c:cat>
          <c:val>
            <c:numRef>
              <c:f>'[Bieu do.xlsx]Thu chi NSNN 15 ngày'!$G$6:$G$9</c:f>
              <c:numCache>
                <c:formatCode>0.00</c:formatCode>
                <c:ptCount val="4"/>
                <c:pt idx="0">
                  <c:v>1.1000000000000001</c:v>
                </c:pt>
                <c:pt idx="1">
                  <c:v>11.3</c:v>
                </c:pt>
                <c:pt idx="2">
                  <c:v>-48.6</c:v>
                </c:pt>
                <c:pt idx="3">
                  <c:v>-22.6</c:v>
                </c:pt>
              </c:numCache>
            </c:numRef>
          </c:val>
        </c:ser>
        <c:dLbls>
          <c:showLegendKey val="0"/>
          <c:showVal val="0"/>
          <c:showCatName val="0"/>
          <c:showSerName val="0"/>
          <c:showPercent val="0"/>
          <c:showBubbleSize val="0"/>
        </c:dLbls>
        <c:gapWidth val="161"/>
        <c:overlap val="-51"/>
        <c:axId val="138389760"/>
        <c:axId val="138395648"/>
      </c:barChart>
      <c:catAx>
        <c:axId val="138389760"/>
        <c:scaling>
          <c:orientation val="minMax"/>
        </c:scaling>
        <c:delete val="0"/>
        <c:axPos val="b"/>
        <c:majorTickMark val="none"/>
        <c:minorTickMark val="none"/>
        <c:tickLblPos val="nextTo"/>
        <c:crossAx val="138395648"/>
        <c:crosses val="autoZero"/>
        <c:auto val="1"/>
        <c:lblAlgn val="ctr"/>
        <c:lblOffset val="100"/>
        <c:noMultiLvlLbl val="0"/>
      </c:catAx>
      <c:valAx>
        <c:axId val="138395648"/>
        <c:scaling>
          <c:orientation val="minMax"/>
          <c:max val="20"/>
          <c:min val="-60"/>
        </c:scaling>
        <c:delete val="0"/>
        <c:axPos val="l"/>
        <c:majorGridlines>
          <c:spPr>
            <a:ln>
              <a:prstDash val="sysDot"/>
            </a:ln>
          </c:spPr>
        </c:majorGridlines>
        <c:numFmt formatCode="General" sourceLinked="1"/>
        <c:majorTickMark val="none"/>
        <c:minorTickMark val="none"/>
        <c:tickLblPos val="nextTo"/>
        <c:spPr>
          <a:noFill/>
          <a:ln>
            <a:noFill/>
            <a:prstDash val="sysDot"/>
          </a:ln>
        </c:spPr>
        <c:crossAx val="138389760"/>
        <c:crosses val="autoZero"/>
        <c:crossBetween val="between"/>
        <c:majorUnit val="20"/>
      </c:valAx>
    </c:plotArea>
    <c:legend>
      <c:legendPos val="b"/>
      <c:layout>
        <c:manualLayout>
          <c:xMode val="edge"/>
          <c:yMode val="edge"/>
          <c:x val="7.0610193387558223E-2"/>
          <c:y val="0.83777263011613079"/>
          <c:w val="0.86382144730128685"/>
          <c:h val="0.1433913135552433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257910962788315E-2"/>
          <c:y val="0.14705010596661666"/>
          <c:w val="0.78710977910825308"/>
          <c:h val="0.39922333652303921"/>
        </c:manualLayout>
      </c:layout>
      <c:barChart>
        <c:barDir val="col"/>
        <c:grouping val="clustered"/>
        <c:varyColors val="0"/>
        <c:ser>
          <c:idx val="1"/>
          <c:order val="1"/>
          <c:tx>
            <c:strRef>
              <c:f>'Liên ngân hàng'!$C$2</c:f>
              <c:strCache>
                <c:ptCount val="1"/>
                <c:pt idx="0">
                  <c:v>Khối lượng GD qua đêm (Tỉ VND)</c:v>
                </c:pt>
              </c:strCache>
            </c:strRef>
          </c:tx>
          <c:spPr>
            <a:gradFill>
              <a:gsLst>
                <a:gs pos="0">
                  <a:srgbClr val="03D4A8"/>
                </a:gs>
                <a:gs pos="25000">
                  <a:srgbClr val="21D6E0"/>
                </a:gs>
                <a:gs pos="75000">
                  <a:srgbClr val="0087E6"/>
                </a:gs>
                <a:gs pos="100000">
                  <a:srgbClr val="005CBF"/>
                </a:gs>
              </a:gsLst>
              <a:lin ang="5400000" scaled="0"/>
            </a:gradFill>
          </c:spPr>
          <c:invertIfNegative val="0"/>
          <c:cat>
            <c:numRef>
              <c:f>'Liên ngân hàng'!$A$581:$A$658</c:f>
              <c:numCache>
                <c:formatCode>m/d/yyyy</c:formatCode>
                <c:ptCount val="78"/>
                <c:pt idx="0">
                  <c:v>42370</c:v>
                </c:pt>
                <c:pt idx="1">
                  <c:v>42371</c:v>
                </c:pt>
                <c:pt idx="2">
                  <c:v>42372</c:v>
                </c:pt>
                <c:pt idx="3">
                  <c:v>42373</c:v>
                </c:pt>
                <c:pt idx="4">
                  <c:v>42374</c:v>
                </c:pt>
                <c:pt idx="5">
                  <c:v>42375</c:v>
                </c:pt>
                <c:pt idx="6">
                  <c:v>42376</c:v>
                </c:pt>
                <c:pt idx="7">
                  <c:v>42377</c:v>
                </c:pt>
                <c:pt idx="8">
                  <c:v>42378</c:v>
                </c:pt>
                <c:pt idx="9">
                  <c:v>42379</c:v>
                </c:pt>
                <c:pt idx="10">
                  <c:v>42380</c:v>
                </c:pt>
                <c:pt idx="11">
                  <c:v>42381</c:v>
                </c:pt>
                <c:pt idx="12">
                  <c:v>42382</c:v>
                </c:pt>
                <c:pt idx="13">
                  <c:v>42383</c:v>
                </c:pt>
                <c:pt idx="14">
                  <c:v>42384</c:v>
                </c:pt>
                <c:pt idx="15">
                  <c:v>42385</c:v>
                </c:pt>
                <c:pt idx="16">
                  <c:v>42386</c:v>
                </c:pt>
                <c:pt idx="17">
                  <c:v>42387</c:v>
                </c:pt>
                <c:pt idx="18">
                  <c:v>42388</c:v>
                </c:pt>
                <c:pt idx="19">
                  <c:v>42389</c:v>
                </c:pt>
                <c:pt idx="20">
                  <c:v>42390</c:v>
                </c:pt>
                <c:pt idx="21">
                  <c:v>42391</c:v>
                </c:pt>
                <c:pt idx="22">
                  <c:v>42392</c:v>
                </c:pt>
                <c:pt idx="23">
                  <c:v>42393</c:v>
                </c:pt>
                <c:pt idx="24">
                  <c:v>42394</c:v>
                </c:pt>
                <c:pt idx="25">
                  <c:v>42395</c:v>
                </c:pt>
                <c:pt idx="26">
                  <c:v>42396</c:v>
                </c:pt>
                <c:pt idx="27">
                  <c:v>42397</c:v>
                </c:pt>
                <c:pt idx="28">
                  <c:v>42398</c:v>
                </c:pt>
                <c:pt idx="29">
                  <c:v>42399</c:v>
                </c:pt>
                <c:pt idx="30">
                  <c:v>42400</c:v>
                </c:pt>
                <c:pt idx="31">
                  <c:v>42401</c:v>
                </c:pt>
                <c:pt idx="32">
                  <c:v>42402</c:v>
                </c:pt>
                <c:pt idx="33">
                  <c:v>42403</c:v>
                </c:pt>
                <c:pt idx="34">
                  <c:v>42404</c:v>
                </c:pt>
                <c:pt idx="35">
                  <c:v>42405</c:v>
                </c:pt>
                <c:pt idx="36">
                  <c:v>42406</c:v>
                </c:pt>
                <c:pt idx="37">
                  <c:v>42407</c:v>
                </c:pt>
                <c:pt idx="38">
                  <c:v>42408</c:v>
                </c:pt>
                <c:pt idx="39">
                  <c:v>42409</c:v>
                </c:pt>
                <c:pt idx="40">
                  <c:v>42410</c:v>
                </c:pt>
                <c:pt idx="41">
                  <c:v>42411</c:v>
                </c:pt>
                <c:pt idx="42">
                  <c:v>42412</c:v>
                </c:pt>
                <c:pt idx="43">
                  <c:v>42413</c:v>
                </c:pt>
                <c:pt idx="44">
                  <c:v>42414</c:v>
                </c:pt>
                <c:pt idx="45">
                  <c:v>42415</c:v>
                </c:pt>
                <c:pt idx="46">
                  <c:v>42416</c:v>
                </c:pt>
                <c:pt idx="47">
                  <c:v>42417</c:v>
                </c:pt>
                <c:pt idx="48">
                  <c:v>42418</c:v>
                </c:pt>
                <c:pt idx="49">
                  <c:v>42419</c:v>
                </c:pt>
                <c:pt idx="50">
                  <c:v>42420</c:v>
                </c:pt>
                <c:pt idx="51">
                  <c:v>42421</c:v>
                </c:pt>
                <c:pt idx="52">
                  <c:v>42422</c:v>
                </c:pt>
                <c:pt idx="53">
                  <c:v>42423</c:v>
                </c:pt>
                <c:pt idx="54">
                  <c:v>42424</c:v>
                </c:pt>
                <c:pt idx="55">
                  <c:v>42425</c:v>
                </c:pt>
                <c:pt idx="56">
                  <c:v>42426</c:v>
                </c:pt>
                <c:pt idx="57">
                  <c:v>42427</c:v>
                </c:pt>
                <c:pt idx="58">
                  <c:v>42428</c:v>
                </c:pt>
                <c:pt idx="59">
                  <c:v>42429</c:v>
                </c:pt>
                <c:pt idx="60">
                  <c:v>42430</c:v>
                </c:pt>
                <c:pt idx="61">
                  <c:v>42431</c:v>
                </c:pt>
                <c:pt idx="62">
                  <c:v>42432</c:v>
                </c:pt>
                <c:pt idx="63">
                  <c:v>42433</c:v>
                </c:pt>
                <c:pt idx="64">
                  <c:v>42434</c:v>
                </c:pt>
                <c:pt idx="65">
                  <c:v>42435</c:v>
                </c:pt>
                <c:pt idx="66">
                  <c:v>42436</c:v>
                </c:pt>
                <c:pt idx="67">
                  <c:v>42437</c:v>
                </c:pt>
                <c:pt idx="68">
                  <c:v>42438</c:v>
                </c:pt>
                <c:pt idx="69">
                  <c:v>42439</c:v>
                </c:pt>
                <c:pt idx="70">
                  <c:v>42440</c:v>
                </c:pt>
                <c:pt idx="71">
                  <c:v>42441</c:v>
                </c:pt>
                <c:pt idx="72">
                  <c:v>42442</c:v>
                </c:pt>
                <c:pt idx="73">
                  <c:v>42443</c:v>
                </c:pt>
                <c:pt idx="74">
                  <c:v>42444</c:v>
                </c:pt>
                <c:pt idx="75">
                  <c:v>42445</c:v>
                </c:pt>
                <c:pt idx="76">
                  <c:v>42446</c:v>
                </c:pt>
                <c:pt idx="77">
                  <c:v>42447</c:v>
                </c:pt>
              </c:numCache>
            </c:numRef>
          </c:cat>
          <c:val>
            <c:numRef>
              <c:f>'Liên ngân hàng'!$C$581:$C$658</c:f>
              <c:numCache>
                <c:formatCode>General</c:formatCode>
                <c:ptCount val="78"/>
                <c:pt idx="0">
                  <c:v>20</c:v>
                </c:pt>
                <c:pt idx="1">
                  <c:v>20</c:v>
                </c:pt>
                <c:pt idx="2">
                  <c:v>20</c:v>
                </c:pt>
                <c:pt idx="3">
                  <c:v>3255</c:v>
                </c:pt>
                <c:pt idx="4">
                  <c:v>8788</c:v>
                </c:pt>
                <c:pt idx="5">
                  <c:v>7957</c:v>
                </c:pt>
                <c:pt idx="6">
                  <c:v>6950</c:v>
                </c:pt>
                <c:pt idx="7">
                  <c:v>6692</c:v>
                </c:pt>
                <c:pt idx="8">
                  <c:v>6692</c:v>
                </c:pt>
                <c:pt idx="9">
                  <c:v>6692</c:v>
                </c:pt>
                <c:pt idx="10">
                  <c:v>9699</c:v>
                </c:pt>
                <c:pt idx="11">
                  <c:v>9592</c:v>
                </c:pt>
                <c:pt idx="12">
                  <c:v>6444</c:v>
                </c:pt>
                <c:pt idx="13">
                  <c:v>8193</c:v>
                </c:pt>
                <c:pt idx="14">
                  <c:v>8193</c:v>
                </c:pt>
                <c:pt idx="15">
                  <c:v>8193</c:v>
                </c:pt>
                <c:pt idx="16">
                  <c:v>8193</c:v>
                </c:pt>
                <c:pt idx="17">
                  <c:v>8364</c:v>
                </c:pt>
                <c:pt idx="18">
                  <c:v>9820</c:v>
                </c:pt>
                <c:pt idx="19">
                  <c:v>10438</c:v>
                </c:pt>
                <c:pt idx="20">
                  <c:v>7880</c:v>
                </c:pt>
                <c:pt idx="21">
                  <c:v>8046</c:v>
                </c:pt>
                <c:pt idx="22">
                  <c:v>8046</c:v>
                </c:pt>
                <c:pt idx="23">
                  <c:v>8046</c:v>
                </c:pt>
                <c:pt idx="24">
                  <c:v>14168</c:v>
                </c:pt>
                <c:pt idx="25">
                  <c:v>13256</c:v>
                </c:pt>
                <c:pt idx="26">
                  <c:v>13256</c:v>
                </c:pt>
                <c:pt idx="27">
                  <c:v>14210</c:v>
                </c:pt>
                <c:pt idx="28">
                  <c:v>15076</c:v>
                </c:pt>
                <c:pt idx="29">
                  <c:v>15076</c:v>
                </c:pt>
                <c:pt idx="30">
                  <c:v>15076</c:v>
                </c:pt>
                <c:pt idx="31">
                  <c:v>9523</c:v>
                </c:pt>
                <c:pt idx="32">
                  <c:v>10670</c:v>
                </c:pt>
                <c:pt idx="33">
                  <c:v>10076</c:v>
                </c:pt>
                <c:pt idx="34">
                  <c:v>6868</c:v>
                </c:pt>
                <c:pt idx="35">
                  <c:v>6868</c:v>
                </c:pt>
                <c:pt idx="36">
                  <c:v>6868</c:v>
                </c:pt>
                <c:pt idx="37">
                  <c:v>6868</c:v>
                </c:pt>
                <c:pt idx="38">
                  <c:v>6868</c:v>
                </c:pt>
                <c:pt idx="39">
                  <c:v>6868</c:v>
                </c:pt>
                <c:pt idx="40">
                  <c:v>6868</c:v>
                </c:pt>
                <c:pt idx="41">
                  <c:v>6868</c:v>
                </c:pt>
                <c:pt idx="42">
                  <c:v>6868</c:v>
                </c:pt>
                <c:pt idx="43">
                  <c:v>6868</c:v>
                </c:pt>
                <c:pt idx="44">
                  <c:v>6868</c:v>
                </c:pt>
                <c:pt idx="45">
                  <c:v>14485</c:v>
                </c:pt>
                <c:pt idx="46">
                  <c:v>9715</c:v>
                </c:pt>
                <c:pt idx="47">
                  <c:v>5975</c:v>
                </c:pt>
                <c:pt idx="48">
                  <c:v>7578</c:v>
                </c:pt>
                <c:pt idx="49">
                  <c:v>9081</c:v>
                </c:pt>
                <c:pt idx="50">
                  <c:v>9081</c:v>
                </c:pt>
                <c:pt idx="51">
                  <c:v>9081</c:v>
                </c:pt>
                <c:pt idx="52">
                  <c:v>14110</c:v>
                </c:pt>
                <c:pt idx="53">
                  <c:v>10108</c:v>
                </c:pt>
                <c:pt idx="54">
                  <c:v>8950</c:v>
                </c:pt>
                <c:pt idx="55">
                  <c:v>9234</c:v>
                </c:pt>
                <c:pt idx="56">
                  <c:v>4970</c:v>
                </c:pt>
                <c:pt idx="57">
                  <c:v>4970</c:v>
                </c:pt>
                <c:pt idx="58">
                  <c:v>4970</c:v>
                </c:pt>
                <c:pt idx="59">
                  <c:v>5122</c:v>
                </c:pt>
                <c:pt idx="60">
                  <c:v>8887</c:v>
                </c:pt>
                <c:pt idx="61">
                  <c:v>10223</c:v>
                </c:pt>
                <c:pt idx="62">
                  <c:v>7666</c:v>
                </c:pt>
                <c:pt idx="63">
                  <c:v>9482</c:v>
                </c:pt>
                <c:pt idx="64">
                  <c:v>9482</c:v>
                </c:pt>
                <c:pt idx="65">
                  <c:v>9482</c:v>
                </c:pt>
                <c:pt idx="66">
                  <c:v>10068</c:v>
                </c:pt>
                <c:pt idx="67">
                  <c:v>8981</c:v>
                </c:pt>
                <c:pt idx="68">
                  <c:v>7092</c:v>
                </c:pt>
                <c:pt idx="69">
                  <c:v>9103</c:v>
                </c:pt>
                <c:pt idx="70">
                  <c:v>18315</c:v>
                </c:pt>
                <c:pt idx="71">
                  <c:v>18315</c:v>
                </c:pt>
                <c:pt idx="72">
                  <c:v>18315</c:v>
                </c:pt>
                <c:pt idx="73">
                  <c:v>9983</c:v>
                </c:pt>
                <c:pt idx="74">
                  <c:v>13250</c:v>
                </c:pt>
                <c:pt idx="75">
                  <c:v>11769</c:v>
                </c:pt>
                <c:pt idx="76">
                  <c:v>5900</c:v>
                </c:pt>
                <c:pt idx="77">
                  <c:v>11736</c:v>
                </c:pt>
              </c:numCache>
            </c:numRef>
          </c:val>
        </c:ser>
        <c:dLbls>
          <c:showLegendKey val="0"/>
          <c:showVal val="0"/>
          <c:showCatName val="0"/>
          <c:showSerName val="0"/>
          <c:showPercent val="0"/>
          <c:showBubbleSize val="0"/>
        </c:dLbls>
        <c:gapWidth val="75"/>
        <c:axId val="130961408"/>
        <c:axId val="130959616"/>
      </c:barChart>
      <c:lineChart>
        <c:grouping val="standard"/>
        <c:varyColors val="0"/>
        <c:ser>
          <c:idx val="0"/>
          <c:order val="0"/>
          <c:tx>
            <c:strRef>
              <c:f>'Liên ngân hàng'!$B$2</c:f>
              <c:strCache>
                <c:ptCount val="1"/>
                <c:pt idx="0">
                  <c:v>Lãi suất qua đêm (%)</c:v>
                </c:pt>
              </c:strCache>
            </c:strRef>
          </c:tx>
          <c:spPr>
            <a:ln w="15875"/>
          </c:spPr>
          <c:marker>
            <c:symbol val="diamond"/>
            <c:size val="2"/>
          </c:marker>
          <c:cat>
            <c:numRef>
              <c:f>'Liên ngân hàng'!$A$581:$A$658</c:f>
              <c:numCache>
                <c:formatCode>m/d/yyyy</c:formatCode>
                <c:ptCount val="78"/>
                <c:pt idx="0">
                  <c:v>42370</c:v>
                </c:pt>
                <c:pt idx="1">
                  <c:v>42371</c:v>
                </c:pt>
                <c:pt idx="2">
                  <c:v>42372</c:v>
                </c:pt>
                <c:pt idx="3">
                  <c:v>42373</c:v>
                </c:pt>
                <c:pt idx="4">
                  <c:v>42374</c:v>
                </c:pt>
                <c:pt idx="5">
                  <c:v>42375</c:v>
                </c:pt>
                <c:pt idx="6">
                  <c:v>42376</c:v>
                </c:pt>
                <c:pt idx="7">
                  <c:v>42377</c:v>
                </c:pt>
                <c:pt idx="8">
                  <c:v>42378</c:v>
                </c:pt>
                <c:pt idx="9">
                  <c:v>42379</c:v>
                </c:pt>
                <c:pt idx="10">
                  <c:v>42380</c:v>
                </c:pt>
                <c:pt idx="11">
                  <c:v>42381</c:v>
                </c:pt>
                <c:pt idx="12">
                  <c:v>42382</c:v>
                </c:pt>
                <c:pt idx="13">
                  <c:v>42383</c:v>
                </c:pt>
                <c:pt idx="14">
                  <c:v>42384</c:v>
                </c:pt>
                <c:pt idx="15">
                  <c:v>42385</c:v>
                </c:pt>
                <c:pt idx="16">
                  <c:v>42386</c:v>
                </c:pt>
                <c:pt idx="17">
                  <c:v>42387</c:v>
                </c:pt>
                <c:pt idx="18">
                  <c:v>42388</c:v>
                </c:pt>
                <c:pt idx="19">
                  <c:v>42389</c:v>
                </c:pt>
                <c:pt idx="20">
                  <c:v>42390</c:v>
                </c:pt>
                <c:pt idx="21">
                  <c:v>42391</c:v>
                </c:pt>
                <c:pt idx="22">
                  <c:v>42392</c:v>
                </c:pt>
                <c:pt idx="23">
                  <c:v>42393</c:v>
                </c:pt>
                <c:pt idx="24">
                  <c:v>42394</c:v>
                </c:pt>
                <c:pt idx="25">
                  <c:v>42395</c:v>
                </c:pt>
                <c:pt idx="26">
                  <c:v>42396</c:v>
                </c:pt>
                <c:pt idx="27">
                  <c:v>42397</c:v>
                </c:pt>
                <c:pt idx="28">
                  <c:v>42398</c:v>
                </c:pt>
                <c:pt idx="29">
                  <c:v>42399</c:v>
                </c:pt>
                <c:pt idx="30">
                  <c:v>42400</c:v>
                </c:pt>
                <c:pt idx="31">
                  <c:v>42401</c:v>
                </c:pt>
                <c:pt idx="32">
                  <c:v>42402</c:v>
                </c:pt>
                <c:pt idx="33">
                  <c:v>42403</c:v>
                </c:pt>
                <c:pt idx="34">
                  <c:v>42404</c:v>
                </c:pt>
                <c:pt idx="35">
                  <c:v>42405</c:v>
                </c:pt>
                <c:pt idx="36">
                  <c:v>42406</c:v>
                </c:pt>
                <c:pt idx="37">
                  <c:v>42407</c:v>
                </c:pt>
                <c:pt idx="38">
                  <c:v>42408</c:v>
                </c:pt>
                <c:pt idx="39">
                  <c:v>42409</c:v>
                </c:pt>
                <c:pt idx="40">
                  <c:v>42410</c:v>
                </c:pt>
                <c:pt idx="41">
                  <c:v>42411</c:v>
                </c:pt>
                <c:pt idx="42">
                  <c:v>42412</c:v>
                </c:pt>
                <c:pt idx="43">
                  <c:v>42413</c:v>
                </c:pt>
                <c:pt idx="44">
                  <c:v>42414</c:v>
                </c:pt>
                <c:pt idx="45">
                  <c:v>42415</c:v>
                </c:pt>
                <c:pt idx="46">
                  <c:v>42416</c:v>
                </c:pt>
                <c:pt idx="47">
                  <c:v>42417</c:v>
                </c:pt>
                <c:pt idx="48">
                  <c:v>42418</c:v>
                </c:pt>
                <c:pt idx="49">
                  <c:v>42419</c:v>
                </c:pt>
                <c:pt idx="50">
                  <c:v>42420</c:v>
                </c:pt>
                <c:pt idx="51">
                  <c:v>42421</c:v>
                </c:pt>
                <c:pt idx="52">
                  <c:v>42422</c:v>
                </c:pt>
                <c:pt idx="53">
                  <c:v>42423</c:v>
                </c:pt>
                <c:pt idx="54">
                  <c:v>42424</c:v>
                </c:pt>
                <c:pt idx="55">
                  <c:v>42425</c:v>
                </c:pt>
                <c:pt idx="56">
                  <c:v>42426</c:v>
                </c:pt>
                <c:pt idx="57">
                  <c:v>42427</c:v>
                </c:pt>
                <c:pt idx="58">
                  <c:v>42428</c:v>
                </c:pt>
                <c:pt idx="59">
                  <c:v>42429</c:v>
                </c:pt>
                <c:pt idx="60">
                  <c:v>42430</c:v>
                </c:pt>
                <c:pt idx="61">
                  <c:v>42431</c:v>
                </c:pt>
                <c:pt idx="62">
                  <c:v>42432</c:v>
                </c:pt>
                <c:pt idx="63">
                  <c:v>42433</c:v>
                </c:pt>
                <c:pt idx="64">
                  <c:v>42434</c:v>
                </c:pt>
                <c:pt idx="65">
                  <c:v>42435</c:v>
                </c:pt>
                <c:pt idx="66">
                  <c:v>42436</c:v>
                </c:pt>
                <c:pt idx="67">
                  <c:v>42437</c:v>
                </c:pt>
                <c:pt idx="68">
                  <c:v>42438</c:v>
                </c:pt>
                <c:pt idx="69">
                  <c:v>42439</c:v>
                </c:pt>
                <c:pt idx="70">
                  <c:v>42440</c:v>
                </c:pt>
                <c:pt idx="71">
                  <c:v>42441</c:v>
                </c:pt>
                <c:pt idx="72">
                  <c:v>42442</c:v>
                </c:pt>
                <c:pt idx="73">
                  <c:v>42443</c:v>
                </c:pt>
                <c:pt idx="74">
                  <c:v>42444</c:v>
                </c:pt>
                <c:pt idx="75">
                  <c:v>42445</c:v>
                </c:pt>
                <c:pt idx="76">
                  <c:v>42446</c:v>
                </c:pt>
                <c:pt idx="77">
                  <c:v>42447</c:v>
                </c:pt>
              </c:numCache>
            </c:numRef>
          </c:cat>
          <c:val>
            <c:numRef>
              <c:f>'Liên ngân hàng'!$B$581:$B$658</c:f>
              <c:numCache>
                <c:formatCode>General</c:formatCode>
                <c:ptCount val="78"/>
                <c:pt idx="0">
                  <c:v>4.9000000000000004</c:v>
                </c:pt>
                <c:pt idx="1">
                  <c:v>4.9000000000000004</c:v>
                </c:pt>
                <c:pt idx="2">
                  <c:v>4.9000000000000004</c:v>
                </c:pt>
                <c:pt idx="3">
                  <c:v>4.91</c:v>
                </c:pt>
                <c:pt idx="4">
                  <c:v>4.8099999999999996</c:v>
                </c:pt>
                <c:pt idx="5">
                  <c:v>4.87</c:v>
                </c:pt>
                <c:pt idx="6">
                  <c:v>4.84</c:v>
                </c:pt>
                <c:pt idx="7">
                  <c:v>4.71</c:v>
                </c:pt>
                <c:pt idx="8">
                  <c:v>4.71</c:v>
                </c:pt>
                <c:pt idx="9">
                  <c:v>4.71</c:v>
                </c:pt>
                <c:pt idx="10">
                  <c:v>4.6599999999999975</c:v>
                </c:pt>
                <c:pt idx="11">
                  <c:v>4.68</c:v>
                </c:pt>
                <c:pt idx="12">
                  <c:v>4.6499999999999995</c:v>
                </c:pt>
                <c:pt idx="13">
                  <c:v>4.71</c:v>
                </c:pt>
                <c:pt idx="14">
                  <c:v>4.71</c:v>
                </c:pt>
                <c:pt idx="15">
                  <c:v>4.71</c:v>
                </c:pt>
                <c:pt idx="16">
                  <c:v>4.71</c:v>
                </c:pt>
                <c:pt idx="17">
                  <c:v>4.6399999999999997</c:v>
                </c:pt>
                <c:pt idx="18">
                  <c:v>4.7300000000000004</c:v>
                </c:pt>
                <c:pt idx="19">
                  <c:v>4.7699999999999996</c:v>
                </c:pt>
                <c:pt idx="20">
                  <c:v>4.75</c:v>
                </c:pt>
                <c:pt idx="21">
                  <c:v>4.8199999999999985</c:v>
                </c:pt>
                <c:pt idx="22">
                  <c:v>4.8199999999999985</c:v>
                </c:pt>
                <c:pt idx="23">
                  <c:v>4.8199999999999985</c:v>
                </c:pt>
                <c:pt idx="24">
                  <c:v>4.9700000000000024</c:v>
                </c:pt>
                <c:pt idx="25">
                  <c:v>5.04</c:v>
                </c:pt>
                <c:pt idx="26">
                  <c:v>5.04</c:v>
                </c:pt>
                <c:pt idx="27">
                  <c:v>5.09</c:v>
                </c:pt>
                <c:pt idx="28">
                  <c:v>5.35</c:v>
                </c:pt>
                <c:pt idx="29">
                  <c:v>5.35</c:v>
                </c:pt>
                <c:pt idx="30">
                  <c:v>5.35</c:v>
                </c:pt>
                <c:pt idx="31">
                  <c:v>5.38</c:v>
                </c:pt>
                <c:pt idx="32">
                  <c:v>5.67</c:v>
                </c:pt>
                <c:pt idx="33">
                  <c:v>5.56</c:v>
                </c:pt>
                <c:pt idx="34">
                  <c:v>5.6099999999999985</c:v>
                </c:pt>
                <c:pt idx="35">
                  <c:v>5.6099999999999985</c:v>
                </c:pt>
                <c:pt idx="36">
                  <c:v>5.6099999999999985</c:v>
                </c:pt>
                <c:pt idx="37">
                  <c:v>5.6099999999999985</c:v>
                </c:pt>
                <c:pt idx="38">
                  <c:v>5.6099999999999985</c:v>
                </c:pt>
                <c:pt idx="39">
                  <c:v>5.6099999999999985</c:v>
                </c:pt>
                <c:pt idx="40">
                  <c:v>5.6099999999999985</c:v>
                </c:pt>
                <c:pt idx="41">
                  <c:v>5.6099999999999985</c:v>
                </c:pt>
                <c:pt idx="42">
                  <c:v>5.6099999999999985</c:v>
                </c:pt>
                <c:pt idx="43">
                  <c:v>5.6099999999999985</c:v>
                </c:pt>
                <c:pt idx="44">
                  <c:v>5.6099999999999985</c:v>
                </c:pt>
                <c:pt idx="45">
                  <c:v>5.2</c:v>
                </c:pt>
                <c:pt idx="46">
                  <c:v>4.72</c:v>
                </c:pt>
                <c:pt idx="47">
                  <c:v>3.88</c:v>
                </c:pt>
                <c:pt idx="48">
                  <c:v>3.24</c:v>
                </c:pt>
                <c:pt idx="49">
                  <c:v>2.38</c:v>
                </c:pt>
                <c:pt idx="50">
                  <c:v>2.38</c:v>
                </c:pt>
                <c:pt idx="51">
                  <c:v>2.38</c:v>
                </c:pt>
                <c:pt idx="52">
                  <c:v>2.14</c:v>
                </c:pt>
                <c:pt idx="53">
                  <c:v>1.8</c:v>
                </c:pt>
                <c:pt idx="54">
                  <c:v>1.57</c:v>
                </c:pt>
                <c:pt idx="55">
                  <c:v>1.59</c:v>
                </c:pt>
                <c:pt idx="56">
                  <c:v>1.31</c:v>
                </c:pt>
                <c:pt idx="57">
                  <c:v>1.31</c:v>
                </c:pt>
                <c:pt idx="58">
                  <c:v>1.31</c:v>
                </c:pt>
                <c:pt idx="59">
                  <c:v>1.22</c:v>
                </c:pt>
                <c:pt idx="60">
                  <c:v>2.4</c:v>
                </c:pt>
                <c:pt idx="61">
                  <c:v>2.84</c:v>
                </c:pt>
                <c:pt idx="62">
                  <c:v>3.25</c:v>
                </c:pt>
                <c:pt idx="63">
                  <c:v>4.0599999999999996</c:v>
                </c:pt>
                <c:pt idx="64">
                  <c:v>4.0599999999999996</c:v>
                </c:pt>
                <c:pt idx="65">
                  <c:v>4.0599999999999996</c:v>
                </c:pt>
                <c:pt idx="66">
                  <c:v>4.6099999999999985</c:v>
                </c:pt>
                <c:pt idx="67">
                  <c:v>4.76</c:v>
                </c:pt>
                <c:pt idx="68">
                  <c:v>4.67</c:v>
                </c:pt>
                <c:pt idx="69">
                  <c:v>4.4300000000000024</c:v>
                </c:pt>
                <c:pt idx="70">
                  <c:v>4.1899999999999995</c:v>
                </c:pt>
                <c:pt idx="71">
                  <c:v>4.1899999999999995</c:v>
                </c:pt>
                <c:pt idx="72">
                  <c:v>4.1899999999999995</c:v>
                </c:pt>
                <c:pt idx="73">
                  <c:v>4.2300000000000004</c:v>
                </c:pt>
                <c:pt idx="74">
                  <c:v>4.29</c:v>
                </c:pt>
                <c:pt idx="75">
                  <c:v>4.3</c:v>
                </c:pt>
                <c:pt idx="76">
                  <c:v>3.7</c:v>
                </c:pt>
                <c:pt idx="77">
                  <c:v>3.69</c:v>
                </c:pt>
              </c:numCache>
            </c:numRef>
          </c:val>
          <c:smooth val="1"/>
        </c:ser>
        <c:ser>
          <c:idx val="3"/>
          <c:order val="2"/>
          <c:tx>
            <c:strRef>
              <c:f>'Liên ngân hàng'!$E$2</c:f>
              <c:strCache>
                <c:ptCount val="1"/>
                <c:pt idx="0">
                  <c:v>Lãi suất 1 tháng</c:v>
                </c:pt>
              </c:strCache>
            </c:strRef>
          </c:tx>
          <c:spPr>
            <a:ln w="15875"/>
          </c:spPr>
          <c:marker>
            <c:symbol val="x"/>
            <c:size val="2"/>
          </c:marker>
          <c:cat>
            <c:numRef>
              <c:f>'Liên ngân hàng'!$A$581:$A$658</c:f>
              <c:numCache>
                <c:formatCode>m/d/yyyy</c:formatCode>
                <c:ptCount val="78"/>
                <c:pt idx="0">
                  <c:v>42370</c:v>
                </c:pt>
                <c:pt idx="1">
                  <c:v>42371</c:v>
                </c:pt>
                <c:pt idx="2">
                  <c:v>42372</c:v>
                </c:pt>
                <c:pt idx="3">
                  <c:v>42373</c:v>
                </c:pt>
                <c:pt idx="4">
                  <c:v>42374</c:v>
                </c:pt>
                <c:pt idx="5">
                  <c:v>42375</c:v>
                </c:pt>
                <c:pt idx="6">
                  <c:v>42376</c:v>
                </c:pt>
                <c:pt idx="7">
                  <c:v>42377</c:v>
                </c:pt>
                <c:pt idx="8">
                  <c:v>42378</c:v>
                </c:pt>
                <c:pt idx="9">
                  <c:v>42379</c:v>
                </c:pt>
                <c:pt idx="10">
                  <c:v>42380</c:v>
                </c:pt>
                <c:pt idx="11">
                  <c:v>42381</c:v>
                </c:pt>
                <c:pt idx="12">
                  <c:v>42382</c:v>
                </c:pt>
                <c:pt idx="13">
                  <c:v>42383</c:v>
                </c:pt>
                <c:pt idx="14">
                  <c:v>42384</c:v>
                </c:pt>
                <c:pt idx="15">
                  <c:v>42385</c:v>
                </c:pt>
                <c:pt idx="16">
                  <c:v>42386</c:v>
                </c:pt>
                <c:pt idx="17">
                  <c:v>42387</c:v>
                </c:pt>
                <c:pt idx="18">
                  <c:v>42388</c:v>
                </c:pt>
                <c:pt idx="19">
                  <c:v>42389</c:v>
                </c:pt>
                <c:pt idx="20">
                  <c:v>42390</c:v>
                </c:pt>
                <c:pt idx="21">
                  <c:v>42391</c:v>
                </c:pt>
                <c:pt idx="22">
                  <c:v>42392</c:v>
                </c:pt>
                <c:pt idx="23">
                  <c:v>42393</c:v>
                </c:pt>
                <c:pt idx="24">
                  <c:v>42394</c:v>
                </c:pt>
                <c:pt idx="25">
                  <c:v>42395</c:v>
                </c:pt>
                <c:pt idx="26">
                  <c:v>42396</c:v>
                </c:pt>
                <c:pt idx="27">
                  <c:v>42397</c:v>
                </c:pt>
                <c:pt idx="28">
                  <c:v>42398</c:v>
                </c:pt>
                <c:pt idx="29">
                  <c:v>42399</c:v>
                </c:pt>
                <c:pt idx="30">
                  <c:v>42400</c:v>
                </c:pt>
                <c:pt idx="31">
                  <c:v>42401</c:v>
                </c:pt>
                <c:pt idx="32">
                  <c:v>42402</c:v>
                </c:pt>
                <c:pt idx="33">
                  <c:v>42403</c:v>
                </c:pt>
                <c:pt idx="34">
                  <c:v>42404</c:v>
                </c:pt>
                <c:pt idx="35">
                  <c:v>42405</c:v>
                </c:pt>
                <c:pt idx="36">
                  <c:v>42406</c:v>
                </c:pt>
                <c:pt idx="37">
                  <c:v>42407</c:v>
                </c:pt>
                <c:pt idx="38">
                  <c:v>42408</c:v>
                </c:pt>
                <c:pt idx="39">
                  <c:v>42409</c:v>
                </c:pt>
                <c:pt idx="40">
                  <c:v>42410</c:v>
                </c:pt>
                <c:pt idx="41">
                  <c:v>42411</c:v>
                </c:pt>
                <c:pt idx="42">
                  <c:v>42412</c:v>
                </c:pt>
                <c:pt idx="43">
                  <c:v>42413</c:v>
                </c:pt>
                <c:pt idx="44">
                  <c:v>42414</c:v>
                </c:pt>
                <c:pt idx="45">
                  <c:v>42415</c:v>
                </c:pt>
                <c:pt idx="46">
                  <c:v>42416</c:v>
                </c:pt>
                <c:pt idx="47">
                  <c:v>42417</c:v>
                </c:pt>
                <c:pt idx="48">
                  <c:v>42418</c:v>
                </c:pt>
                <c:pt idx="49">
                  <c:v>42419</c:v>
                </c:pt>
                <c:pt idx="50">
                  <c:v>42420</c:v>
                </c:pt>
                <c:pt idx="51">
                  <c:v>42421</c:v>
                </c:pt>
                <c:pt idx="52">
                  <c:v>42422</c:v>
                </c:pt>
                <c:pt idx="53">
                  <c:v>42423</c:v>
                </c:pt>
                <c:pt idx="54">
                  <c:v>42424</c:v>
                </c:pt>
                <c:pt idx="55">
                  <c:v>42425</c:v>
                </c:pt>
                <c:pt idx="56">
                  <c:v>42426</c:v>
                </c:pt>
                <c:pt idx="57">
                  <c:v>42427</c:v>
                </c:pt>
                <c:pt idx="58">
                  <c:v>42428</c:v>
                </c:pt>
                <c:pt idx="59">
                  <c:v>42429</c:v>
                </c:pt>
                <c:pt idx="60">
                  <c:v>42430</c:v>
                </c:pt>
                <c:pt idx="61">
                  <c:v>42431</c:v>
                </c:pt>
                <c:pt idx="62">
                  <c:v>42432</c:v>
                </c:pt>
                <c:pt idx="63">
                  <c:v>42433</c:v>
                </c:pt>
                <c:pt idx="64">
                  <c:v>42434</c:v>
                </c:pt>
                <c:pt idx="65">
                  <c:v>42435</c:v>
                </c:pt>
                <c:pt idx="66">
                  <c:v>42436</c:v>
                </c:pt>
                <c:pt idx="67">
                  <c:v>42437</c:v>
                </c:pt>
                <c:pt idx="68">
                  <c:v>42438</c:v>
                </c:pt>
                <c:pt idx="69">
                  <c:v>42439</c:v>
                </c:pt>
                <c:pt idx="70">
                  <c:v>42440</c:v>
                </c:pt>
                <c:pt idx="71">
                  <c:v>42441</c:v>
                </c:pt>
                <c:pt idx="72">
                  <c:v>42442</c:v>
                </c:pt>
                <c:pt idx="73">
                  <c:v>42443</c:v>
                </c:pt>
                <c:pt idx="74">
                  <c:v>42444</c:v>
                </c:pt>
                <c:pt idx="75">
                  <c:v>42445</c:v>
                </c:pt>
                <c:pt idx="76">
                  <c:v>42446</c:v>
                </c:pt>
                <c:pt idx="77">
                  <c:v>42447</c:v>
                </c:pt>
              </c:numCache>
            </c:numRef>
          </c:cat>
          <c:val>
            <c:numRef>
              <c:f>'Liên ngân hàng'!$E$581:$E$658</c:f>
              <c:numCache>
                <c:formatCode>General</c:formatCode>
                <c:ptCount val="78"/>
                <c:pt idx="0">
                  <c:v>5.26</c:v>
                </c:pt>
                <c:pt idx="1">
                  <c:v>5.26</c:v>
                </c:pt>
                <c:pt idx="2">
                  <c:v>5.26</c:v>
                </c:pt>
                <c:pt idx="3">
                  <c:v>4.42</c:v>
                </c:pt>
                <c:pt idx="4">
                  <c:v>5.01</c:v>
                </c:pt>
                <c:pt idx="5">
                  <c:v>5.2</c:v>
                </c:pt>
                <c:pt idx="6">
                  <c:v>5.1899999999999995</c:v>
                </c:pt>
                <c:pt idx="7">
                  <c:v>5.0599999999999996</c:v>
                </c:pt>
                <c:pt idx="8">
                  <c:v>5.0599999999999996</c:v>
                </c:pt>
                <c:pt idx="9">
                  <c:v>5.0599999999999996</c:v>
                </c:pt>
                <c:pt idx="10">
                  <c:v>5.0999999999999996</c:v>
                </c:pt>
                <c:pt idx="11">
                  <c:v>5.22</c:v>
                </c:pt>
                <c:pt idx="12">
                  <c:v>5.07</c:v>
                </c:pt>
                <c:pt idx="13">
                  <c:v>5.23</c:v>
                </c:pt>
                <c:pt idx="14">
                  <c:v>5.23</c:v>
                </c:pt>
                <c:pt idx="15">
                  <c:v>5.23</c:v>
                </c:pt>
                <c:pt idx="16">
                  <c:v>5.23</c:v>
                </c:pt>
                <c:pt idx="17">
                  <c:v>5.1499999999999995</c:v>
                </c:pt>
                <c:pt idx="18">
                  <c:v>5.07</c:v>
                </c:pt>
                <c:pt idx="19">
                  <c:v>5.1199999999999974</c:v>
                </c:pt>
                <c:pt idx="20">
                  <c:v>5.05</c:v>
                </c:pt>
                <c:pt idx="21">
                  <c:v>5.14</c:v>
                </c:pt>
                <c:pt idx="22">
                  <c:v>5.14</c:v>
                </c:pt>
                <c:pt idx="23">
                  <c:v>5.14</c:v>
                </c:pt>
                <c:pt idx="24">
                  <c:v>5.1099999999999985</c:v>
                </c:pt>
                <c:pt idx="25">
                  <c:v>5.23</c:v>
                </c:pt>
                <c:pt idx="26">
                  <c:v>5.08</c:v>
                </c:pt>
                <c:pt idx="27">
                  <c:v>5.31</c:v>
                </c:pt>
                <c:pt idx="28">
                  <c:v>5.39</c:v>
                </c:pt>
                <c:pt idx="29">
                  <c:v>5.39</c:v>
                </c:pt>
                <c:pt idx="30">
                  <c:v>5.39</c:v>
                </c:pt>
                <c:pt idx="31">
                  <c:v>5.6</c:v>
                </c:pt>
                <c:pt idx="32">
                  <c:v>5.63</c:v>
                </c:pt>
                <c:pt idx="33">
                  <c:v>5.76</c:v>
                </c:pt>
                <c:pt idx="34">
                  <c:v>5.68</c:v>
                </c:pt>
                <c:pt idx="35">
                  <c:v>5.41</c:v>
                </c:pt>
                <c:pt idx="36">
                  <c:v>5.41</c:v>
                </c:pt>
                <c:pt idx="37">
                  <c:v>5.41</c:v>
                </c:pt>
                <c:pt idx="38">
                  <c:v>5.41</c:v>
                </c:pt>
                <c:pt idx="39">
                  <c:v>5.41</c:v>
                </c:pt>
                <c:pt idx="40">
                  <c:v>5.41</c:v>
                </c:pt>
                <c:pt idx="41">
                  <c:v>5.41</c:v>
                </c:pt>
                <c:pt idx="42">
                  <c:v>5.41</c:v>
                </c:pt>
                <c:pt idx="43">
                  <c:v>5.41</c:v>
                </c:pt>
                <c:pt idx="44">
                  <c:v>5.41</c:v>
                </c:pt>
                <c:pt idx="45">
                  <c:v>5.23</c:v>
                </c:pt>
                <c:pt idx="46">
                  <c:v>5.2</c:v>
                </c:pt>
                <c:pt idx="47">
                  <c:v>4.4000000000000004</c:v>
                </c:pt>
                <c:pt idx="48">
                  <c:v>4.08</c:v>
                </c:pt>
                <c:pt idx="49">
                  <c:v>3.71</c:v>
                </c:pt>
                <c:pt idx="50">
                  <c:v>3.71</c:v>
                </c:pt>
                <c:pt idx="51">
                  <c:v>3.71</c:v>
                </c:pt>
                <c:pt idx="52">
                  <c:v>3.36</c:v>
                </c:pt>
                <c:pt idx="53">
                  <c:v>3.48</c:v>
                </c:pt>
                <c:pt idx="54">
                  <c:v>3.63</c:v>
                </c:pt>
                <c:pt idx="55">
                  <c:v>3.96</c:v>
                </c:pt>
                <c:pt idx="56">
                  <c:v>3.88</c:v>
                </c:pt>
                <c:pt idx="57">
                  <c:v>3.88</c:v>
                </c:pt>
                <c:pt idx="58">
                  <c:v>3.88</c:v>
                </c:pt>
                <c:pt idx="59">
                  <c:v>3.96</c:v>
                </c:pt>
                <c:pt idx="60">
                  <c:v>4.18</c:v>
                </c:pt>
                <c:pt idx="61">
                  <c:v>4.1899999999999995</c:v>
                </c:pt>
                <c:pt idx="62">
                  <c:v>4.34</c:v>
                </c:pt>
                <c:pt idx="63">
                  <c:v>4.42</c:v>
                </c:pt>
                <c:pt idx="64">
                  <c:v>4.42</c:v>
                </c:pt>
                <c:pt idx="65">
                  <c:v>4.42</c:v>
                </c:pt>
                <c:pt idx="66">
                  <c:v>4.5599999999999996</c:v>
                </c:pt>
                <c:pt idx="67">
                  <c:v>4.99</c:v>
                </c:pt>
                <c:pt idx="68">
                  <c:v>5.0199999999999996</c:v>
                </c:pt>
                <c:pt idx="69">
                  <c:v>4.8599999999999985</c:v>
                </c:pt>
                <c:pt idx="70">
                  <c:v>4.72</c:v>
                </c:pt>
                <c:pt idx="71">
                  <c:v>4.72</c:v>
                </c:pt>
                <c:pt idx="72">
                  <c:v>4.72</c:v>
                </c:pt>
                <c:pt idx="73">
                  <c:v>4.8</c:v>
                </c:pt>
                <c:pt idx="74">
                  <c:v>4.72</c:v>
                </c:pt>
                <c:pt idx="75">
                  <c:v>4.72</c:v>
                </c:pt>
                <c:pt idx="76">
                  <c:v>4.7</c:v>
                </c:pt>
                <c:pt idx="77">
                  <c:v>4.58</c:v>
                </c:pt>
              </c:numCache>
            </c:numRef>
          </c:val>
          <c:smooth val="1"/>
        </c:ser>
        <c:dLbls>
          <c:showLegendKey val="0"/>
          <c:showVal val="0"/>
          <c:showCatName val="0"/>
          <c:showSerName val="0"/>
          <c:showPercent val="0"/>
          <c:showBubbleSize val="0"/>
        </c:dLbls>
        <c:marker val="1"/>
        <c:smooth val="0"/>
        <c:axId val="130943232"/>
        <c:axId val="130957696"/>
      </c:lineChart>
      <c:dateAx>
        <c:axId val="130943232"/>
        <c:scaling>
          <c:orientation val="minMax"/>
        </c:scaling>
        <c:delete val="0"/>
        <c:axPos val="b"/>
        <c:title>
          <c:tx>
            <c:rich>
              <a:bodyPr/>
              <a:lstStyle/>
              <a:p>
                <a:pPr>
                  <a:defRPr b="0"/>
                </a:pPr>
                <a:r>
                  <a:rPr lang="en-US" b="0"/>
                  <a:t>%/năm</a:t>
                </a:r>
              </a:p>
            </c:rich>
          </c:tx>
          <c:layout>
            <c:manualLayout>
              <c:xMode val="edge"/>
              <c:yMode val="edge"/>
              <c:x val="1.7354239296570439E-2"/>
              <c:y val="5.9180421700725525E-3"/>
            </c:manualLayout>
          </c:layout>
          <c:overlay val="0"/>
        </c:title>
        <c:numFmt formatCode="m/d/yyyy" sourceLinked="1"/>
        <c:majorTickMark val="none"/>
        <c:minorTickMark val="none"/>
        <c:tickLblPos val="nextTo"/>
        <c:txPr>
          <a:bodyPr/>
          <a:lstStyle/>
          <a:p>
            <a:pPr>
              <a:defRPr sz="700"/>
            </a:pPr>
            <a:endParaRPr lang="en-US"/>
          </a:p>
        </c:txPr>
        <c:crossAx val="130957696"/>
        <c:crosses val="autoZero"/>
        <c:auto val="1"/>
        <c:lblOffset val="100"/>
        <c:baseTimeUnit val="days"/>
        <c:majorUnit val="7"/>
        <c:majorTimeUnit val="days"/>
      </c:dateAx>
      <c:valAx>
        <c:axId val="130957696"/>
        <c:scaling>
          <c:orientation val="minMax"/>
        </c:scaling>
        <c:delete val="0"/>
        <c:axPos val="l"/>
        <c:title>
          <c:tx>
            <c:rich>
              <a:bodyPr rot="0" vert="horz"/>
              <a:lstStyle/>
              <a:p>
                <a:pPr>
                  <a:defRPr b="0"/>
                </a:pPr>
                <a:r>
                  <a:rPr lang="en-US" b="0"/>
                  <a:t>tỷ</a:t>
                </a:r>
                <a:r>
                  <a:rPr lang="en-US" b="0" baseline="0"/>
                  <a:t> VND</a:t>
                </a:r>
                <a:endParaRPr lang="en-US" b="0"/>
              </a:p>
            </c:rich>
          </c:tx>
          <c:layout>
            <c:manualLayout>
              <c:xMode val="edge"/>
              <c:yMode val="edge"/>
              <c:x val="0.85933126105548785"/>
              <c:y val="4.5455811147378676E-3"/>
            </c:manualLayout>
          </c:layout>
          <c:overlay val="0"/>
        </c:title>
        <c:numFmt formatCode="General" sourceLinked="1"/>
        <c:majorTickMark val="none"/>
        <c:minorTickMark val="none"/>
        <c:tickLblPos val="nextTo"/>
        <c:crossAx val="130943232"/>
        <c:crosses val="autoZero"/>
        <c:crossBetween val="between"/>
      </c:valAx>
      <c:valAx>
        <c:axId val="130959616"/>
        <c:scaling>
          <c:orientation val="minMax"/>
        </c:scaling>
        <c:delete val="0"/>
        <c:axPos val="r"/>
        <c:numFmt formatCode="#,##0" sourceLinked="0"/>
        <c:majorTickMark val="out"/>
        <c:minorTickMark val="none"/>
        <c:tickLblPos val="nextTo"/>
        <c:crossAx val="130961408"/>
        <c:crosses val="max"/>
        <c:crossBetween val="between"/>
      </c:valAx>
      <c:dateAx>
        <c:axId val="130961408"/>
        <c:scaling>
          <c:orientation val="minMax"/>
        </c:scaling>
        <c:delete val="1"/>
        <c:axPos val="b"/>
        <c:numFmt formatCode="m/d/yyyy" sourceLinked="1"/>
        <c:majorTickMark val="out"/>
        <c:minorTickMark val="none"/>
        <c:tickLblPos val="none"/>
        <c:crossAx val="130959616"/>
        <c:crosses val="autoZero"/>
        <c:auto val="1"/>
        <c:lblOffset val="100"/>
        <c:baseTimeUnit val="days"/>
      </c:dateAx>
    </c:plotArea>
    <c:legend>
      <c:legendPos val="b"/>
      <c:layout>
        <c:manualLayout>
          <c:xMode val="edge"/>
          <c:yMode val="edge"/>
          <c:x val="1.3818055115529013E-2"/>
          <c:y val="0.77719050743657048"/>
          <c:w val="0.96848915819176029"/>
          <c:h val="0.22035487751531058"/>
        </c:manualLayout>
      </c:layout>
      <c:overlay val="0"/>
      <c:txPr>
        <a:bodyPr/>
        <a:lstStyle/>
        <a:p>
          <a:pPr>
            <a:defRPr sz="700"/>
          </a:pPr>
          <a:endParaRPr lang="en-US"/>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38991595806147"/>
          <c:y val="5.0918205600731986E-2"/>
          <c:w val="0.82850284339457636"/>
          <c:h val="0.59197900785049951"/>
        </c:manualLayout>
      </c:layout>
      <c:lineChart>
        <c:grouping val="standard"/>
        <c:varyColors val="0"/>
        <c:ser>
          <c:idx val="0"/>
          <c:order val="0"/>
          <c:tx>
            <c:strRef>
              <c:f>Sheet5!$M$1</c:f>
              <c:strCache>
                <c:ptCount val="1"/>
                <c:pt idx="0">
                  <c:v>O/N 2016</c:v>
                </c:pt>
              </c:strCache>
            </c:strRef>
          </c:tx>
          <c:spPr>
            <a:ln w="22225">
              <a:solidFill>
                <a:schemeClr val="accent5">
                  <a:lumMod val="50000"/>
                </a:schemeClr>
              </a:solidFill>
              <a:prstDash val="sysDash"/>
            </a:ln>
          </c:spPr>
          <c:marker>
            <c:symbol val="none"/>
          </c:marker>
          <c:cat>
            <c:numRef>
              <c:f>Sheet5!$A$1235:$A$1279</c:f>
              <c:numCache>
                <c:formatCode>dd\/mm\/yyyy</c:formatCode>
                <c:ptCount val="45"/>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42415</c:v>
                </c:pt>
                <c:pt idx="26">
                  <c:v>42416</c:v>
                </c:pt>
                <c:pt idx="27">
                  <c:v>42417</c:v>
                </c:pt>
                <c:pt idx="28">
                  <c:v>42418</c:v>
                </c:pt>
                <c:pt idx="29">
                  <c:v>42422</c:v>
                </c:pt>
                <c:pt idx="30">
                  <c:v>42423</c:v>
                </c:pt>
                <c:pt idx="31">
                  <c:v>42424</c:v>
                </c:pt>
                <c:pt idx="32">
                  <c:v>42425</c:v>
                </c:pt>
                <c:pt idx="33">
                  <c:v>42426</c:v>
                </c:pt>
                <c:pt idx="34">
                  <c:v>42429</c:v>
                </c:pt>
                <c:pt idx="35">
                  <c:v>42430</c:v>
                </c:pt>
                <c:pt idx="36">
                  <c:v>42431</c:v>
                </c:pt>
                <c:pt idx="37">
                  <c:v>42432</c:v>
                </c:pt>
                <c:pt idx="38">
                  <c:v>42433</c:v>
                </c:pt>
                <c:pt idx="39">
                  <c:v>42436</c:v>
                </c:pt>
                <c:pt idx="40">
                  <c:v>42437</c:v>
                </c:pt>
                <c:pt idx="41">
                  <c:v>42438</c:v>
                </c:pt>
                <c:pt idx="42">
                  <c:v>42439</c:v>
                </c:pt>
                <c:pt idx="43">
                  <c:v>42440</c:v>
                </c:pt>
                <c:pt idx="44">
                  <c:v>42443</c:v>
                </c:pt>
              </c:numCache>
            </c:numRef>
          </c:cat>
          <c:val>
            <c:numRef>
              <c:f>Sheet5!$M$1235:$M$1281</c:f>
              <c:numCache>
                <c:formatCode>#.#00%</c:formatCode>
                <c:ptCount val="47"/>
                <c:pt idx="0">
                  <c:v>5.0300000000000025E-2</c:v>
                </c:pt>
                <c:pt idx="1">
                  <c:v>5.0300000000000025E-2</c:v>
                </c:pt>
                <c:pt idx="2">
                  <c:v>5.0300000000000025E-2</c:v>
                </c:pt>
                <c:pt idx="3">
                  <c:v>5.1199999999999996E-2</c:v>
                </c:pt>
                <c:pt idx="4">
                  <c:v>5.0300000000000025E-2</c:v>
                </c:pt>
                <c:pt idx="5">
                  <c:v>5.0000000000000017E-2</c:v>
                </c:pt>
                <c:pt idx="6">
                  <c:v>5.0300000000000025E-2</c:v>
                </c:pt>
                <c:pt idx="7">
                  <c:v>4.9800000000000039E-2</c:v>
                </c:pt>
                <c:pt idx="8">
                  <c:v>5.0600000000000013E-2</c:v>
                </c:pt>
                <c:pt idx="9">
                  <c:v>5.1000000000000004E-2</c:v>
                </c:pt>
                <c:pt idx="10">
                  <c:v>5.0400000000000021E-2</c:v>
                </c:pt>
                <c:pt idx="11">
                  <c:v>5.0000000000000017E-2</c:v>
                </c:pt>
                <c:pt idx="12">
                  <c:v>5.0400000000000021E-2</c:v>
                </c:pt>
                <c:pt idx="13">
                  <c:v>4.9800000000000039E-2</c:v>
                </c:pt>
                <c:pt idx="14">
                  <c:v>5.1000000000000004E-2</c:v>
                </c:pt>
                <c:pt idx="15">
                  <c:v>5.1400000000000001E-2</c:v>
                </c:pt>
                <c:pt idx="16">
                  <c:v>5.1499999999999997E-2</c:v>
                </c:pt>
                <c:pt idx="17">
                  <c:v>5.1000000000000004E-2</c:v>
                </c:pt>
                <c:pt idx="18">
                  <c:v>5.2000000000000032E-2</c:v>
                </c:pt>
                <c:pt idx="19">
                  <c:v>5.2500000000000026E-2</c:v>
                </c:pt>
                <c:pt idx="20">
                  <c:v>5.62E-2</c:v>
                </c:pt>
                <c:pt idx="21">
                  <c:v>5.6000000000000022E-2</c:v>
                </c:pt>
                <c:pt idx="22">
                  <c:v>5.640000000000002E-2</c:v>
                </c:pt>
                <c:pt idx="23">
                  <c:v>5.7800000000000039E-2</c:v>
                </c:pt>
                <c:pt idx="24">
                  <c:v>5.640000000000002E-2</c:v>
                </c:pt>
                <c:pt idx="25">
                  <c:v>5.4000000000000034E-2</c:v>
                </c:pt>
                <c:pt idx="26">
                  <c:v>4.7800000000000023E-2</c:v>
                </c:pt>
                <c:pt idx="27">
                  <c:v>3.9800000000000016E-2</c:v>
                </c:pt>
                <c:pt idx="28">
                  <c:v>3.1800000000000016E-2</c:v>
                </c:pt>
                <c:pt idx="29">
                  <c:v>2.0000000000000011E-2</c:v>
                </c:pt>
                <c:pt idx="30">
                  <c:v>2.0000000000000011E-2</c:v>
                </c:pt>
                <c:pt idx="31">
                  <c:v>1.9799999999999998E-2</c:v>
                </c:pt>
                <c:pt idx="32">
                  <c:v>1.8000000000000013E-2</c:v>
                </c:pt>
                <c:pt idx="33">
                  <c:v>1.7600000000000008E-2</c:v>
                </c:pt>
                <c:pt idx="34">
                  <c:v>1.4600000000000005E-2</c:v>
                </c:pt>
                <c:pt idx="35">
                  <c:v>2.6000000000000009E-2</c:v>
                </c:pt>
                <c:pt idx="36">
                  <c:v>3.2500000000000015E-2</c:v>
                </c:pt>
                <c:pt idx="37">
                  <c:v>3.6600000000000021E-2</c:v>
                </c:pt>
                <c:pt idx="38">
                  <c:v>4.3299999999999998E-2</c:v>
                </c:pt>
                <c:pt idx="39">
                  <c:v>4.880000000000001E-2</c:v>
                </c:pt>
                <c:pt idx="40">
                  <c:v>5.0300000000000025E-2</c:v>
                </c:pt>
                <c:pt idx="41">
                  <c:v>4.8200000000000007E-2</c:v>
                </c:pt>
                <c:pt idx="42">
                  <c:v>4.6000000000000013E-2</c:v>
                </c:pt>
                <c:pt idx="43">
                  <c:v>4.2600000000000013E-2</c:v>
                </c:pt>
                <c:pt idx="44">
                  <c:v>4.3400000000000015E-2</c:v>
                </c:pt>
              </c:numCache>
            </c:numRef>
          </c:val>
          <c:smooth val="1"/>
        </c:ser>
        <c:ser>
          <c:idx val="1"/>
          <c:order val="1"/>
          <c:tx>
            <c:strRef>
              <c:f>Sheet5!$N$1</c:f>
              <c:strCache>
                <c:ptCount val="1"/>
                <c:pt idx="0">
                  <c:v>O/N 2015</c:v>
                </c:pt>
              </c:strCache>
            </c:strRef>
          </c:tx>
          <c:spPr>
            <a:ln w="28575" cap="sq" cmpd="sng">
              <a:solidFill>
                <a:schemeClr val="accent2">
                  <a:lumMod val="75000"/>
                </a:schemeClr>
              </a:solidFill>
              <a:prstDash val="sysDash"/>
              <a:round/>
            </a:ln>
          </c:spPr>
          <c:marker>
            <c:symbol val="none"/>
          </c:marker>
          <c:cat>
            <c:numRef>
              <c:f>Sheet5!$A$1235:$A$1279</c:f>
              <c:numCache>
                <c:formatCode>dd\/mm\/yyyy</c:formatCode>
                <c:ptCount val="45"/>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42415</c:v>
                </c:pt>
                <c:pt idx="26">
                  <c:v>42416</c:v>
                </c:pt>
                <c:pt idx="27">
                  <c:v>42417</c:v>
                </c:pt>
                <c:pt idx="28">
                  <c:v>42418</c:v>
                </c:pt>
                <c:pt idx="29">
                  <c:v>42422</c:v>
                </c:pt>
                <c:pt idx="30">
                  <c:v>42423</c:v>
                </c:pt>
                <c:pt idx="31">
                  <c:v>42424</c:v>
                </c:pt>
                <c:pt idx="32">
                  <c:v>42425</c:v>
                </c:pt>
                <c:pt idx="33">
                  <c:v>42426</c:v>
                </c:pt>
                <c:pt idx="34">
                  <c:v>42429</c:v>
                </c:pt>
                <c:pt idx="35">
                  <c:v>42430</c:v>
                </c:pt>
                <c:pt idx="36">
                  <c:v>42431</c:v>
                </c:pt>
                <c:pt idx="37">
                  <c:v>42432</c:v>
                </c:pt>
                <c:pt idx="38">
                  <c:v>42433</c:v>
                </c:pt>
                <c:pt idx="39">
                  <c:v>42436</c:v>
                </c:pt>
                <c:pt idx="40">
                  <c:v>42437</c:v>
                </c:pt>
                <c:pt idx="41">
                  <c:v>42438</c:v>
                </c:pt>
                <c:pt idx="42">
                  <c:v>42439</c:v>
                </c:pt>
                <c:pt idx="43">
                  <c:v>42440</c:v>
                </c:pt>
                <c:pt idx="44">
                  <c:v>42443</c:v>
                </c:pt>
              </c:numCache>
            </c:numRef>
          </c:cat>
          <c:val>
            <c:numRef>
              <c:f>Sheet5!$N$1235:$N$1281</c:f>
              <c:numCache>
                <c:formatCode>#.#00%</c:formatCode>
                <c:ptCount val="47"/>
                <c:pt idx="0">
                  <c:v>4.0300000000000023E-2</c:v>
                </c:pt>
                <c:pt idx="1">
                  <c:v>4.0400000000000019E-2</c:v>
                </c:pt>
                <c:pt idx="2">
                  <c:v>3.9400000000000011E-2</c:v>
                </c:pt>
                <c:pt idx="3">
                  <c:v>3.8300000000000001E-2</c:v>
                </c:pt>
                <c:pt idx="4">
                  <c:v>3.6800000000000013E-2</c:v>
                </c:pt>
                <c:pt idx="5">
                  <c:v>3.6800000000000013E-2</c:v>
                </c:pt>
                <c:pt idx="6">
                  <c:v>3.7200000000000025E-2</c:v>
                </c:pt>
                <c:pt idx="7">
                  <c:v>3.7800000000000028E-2</c:v>
                </c:pt>
                <c:pt idx="8">
                  <c:v>3.8000000000000013E-2</c:v>
                </c:pt>
                <c:pt idx="9">
                  <c:v>3.8200000000000012E-2</c:v>
                </c:pt>
                <c:pt idx="10">
                  <c:v>3.8300000000000001E-2</c:v>
                </c:pt>
                <c:pt idx="11">
                  <c:v>3.8200000000000012E-2</c:v>
                </c:pt>
                <c:pt idx="12">
                  <c:v>3.6800000000000013E-2</c:v>
                </c:pt>
                <c:pt idx="13">
                  <c:v>3.4800000000000011E-2</c:v>
                </c:pt>
                <c:pt idx="14">
                  <c:v>3.3500000000000002E-2</c:v>
                </c:pt>
                <c:pt idx="15">
                  <c:v>3.3800000000000011E-2</c:v>
                </c:pt>
                <c:pt idx="16">
                  <c:v>3.4800000000000011E-2</c:v>
                </c:pt>
                <c:pt idx="17">
                  <c:v>3.6500000000000012E-2</c:v>
                </c:pt>
                <c:pt idx="18">
                  <c:v>3.6400000000000016E-2</c:v>
                </c:pt>
                <c:pt idx="19">
                  <c:v>3.6000000000000025E-2</c:v>
                </c:pt>
                <c:pt idx="20">
                  <c:v>4.6500000000000007E-2</c:v>
                </c:pt>
                <c:pt idx="21">
                  <c:v>4.880000000000001E-2</c:v>
                </c:pt>
                <c:pt idx="22">
                  <c:v>4.8000000000000015E-2</c:v>
                </c:pt>
                <c:pt idx="23">
                  <c:v>4.6799999999999994E-2</c:v>
                </c:pt>
                <c:pt idx="24">
                  <c:v>4.8700000000000021E-2</c:v>
                </c:pt>
                <c:pt idx="25">
                  <c:v>4.9700000000000015E-2</c:v>
                </c:pt>
                <c:pt idx="26">
                  <c:v>5.050000000000001E-2</c:v>
                </c:pt>
                <c:pt idx="27">
                  <c:v>5.1000000000000004E-2</c:v>
                </c:pt>
                <c:pt idx="28">
                  <c:v>5.050000000000001E-2</c:v>
                </c:pt>
                <c:pt idx="29">
                  <c:v>5.0800000000000026E-2</c:v>
                </c:pt>
                <c:pt idx="30">
                  <c:v>4.6599999999999996E-2</c:v>
                </c:pt>
                <c:pt idx="31">
                  <c:v>4.0300000000000023E-2</c:v>
                </c:pt>
                <c:pt idx="32">
                  <c:v>3.1700000000000013E-2</c:v>
                </c:pt>
                <c:pt idx="33">
                  <c:v>3.8500000000000006E-2</c:v>
                </c:pt>
                <c:pt idx="34">
                  <c:v>3.8800000000000015E-2</c:v>
                </c:pt>
                <c:pt idx="35">
                  <c:v>3.8200000000000012E-2</c:v>
                </c:pt>
                <c:pt idx="36">
                  <c:v>3.8200000000000012E-2</c:v>
                </c:pt>
                <c:pt idx="37">
                  <c:v>3.9000000000000014E-2</c:v>
                </c:pt>
                <c:pt idx="38">
                  <c:v>4.6300000000000015E-2</c:v>
                </c:pt>
                <c:pt idx="39">
                  <c:v>4.7800000000000023E-2</c:v>
                </c:pt>
                <c:pt idx="40">
                  <c:v>4.6199999999999998E-2</c:v>
                </c:pt>
                <c:pt idx="41">
                  <c:v>3.9800000000000016E-2</c:v>
                </c:pt>
                <c:pt idx="42">
                  <c:v>4.0800000000000017E-2</c:v>
                </c:pt>
                <c:pt idx="43">
                  <c:v>4.1299999999999996E-2</c:v>
                </c:pt>
                <c:pt idx="44">
                  <c:v>4.3500000000000004E-2</c:v>
                </c:pt>
                <c:pt idx="45">
                  <c:v>4.3000000000000003E-2</c:v>
                </c:pt>
                <c:pt idx="46">
                  <c:v>4.1800000000000004E-2</c:v>
                </c:pt>
              </c:numCache>
            </c:numRef>
          </c:val>
          <c:smooth val="1"/>
        </c:ser>
        <c:ser>
          <c:idx val="2"/>
          <c:order val="2"/>
          <c:tx>
            <c:strRef>
              <c:f>Sheet5!$O$1</c:f>
              <c:strCache>
                <c:ptCount val="1"/>
                <c:pt idx="0">
                  <c:v>6T 2016</c:v>
                </c:pt>
              </c:strCache>
            </c:strRef>
          </c:tx>
          <c:spPr>
            <a:ln w="22225">
              <a:solidFill>
                <a:schemeClr val="accent5">
                  <a:lumMod val="50000"/>
                </a:schemeClr>
              </a:solidFill>
            </a:ln>
          </c:spPr>
          <c:marker>
            <c:symbol val="none"/>
          </c:marker>
          <c:val>
            <c:numRef>
              <c:f>Sheet5!$O$1235:$O$1279</c:f>
              <c:numCache>
                <c:formatCode>#.#00%</c:formatCode>
                <c:ptCount val="45"/>
                <c:pt idx="0">
                  <c:v>5.2400000000000023E-2</c:v>
                </c:pt>
                <c:pt idx="1">
                  <c:v>5.2400000000000023E-2</c:v>
                </c:pt>
                <c:pt idx="2">
                  <c:v>5.3600000000000002E-2</c:v>
                </c:pt>
                <c:pt idx="3">
                  <c:v>5.3500000000000013E-2</c:v>
                </c:pt>
                <c:pt idx="4">
                  <c:v>5.2800000000000027E-2</c:v>
                </c:pt>
                <c:pt idx="5">
                  <c:v>5.3600000000000002E-2</c:v>
                </c:pt>
                <c:pt idx="6">
                  <c:v>5.3800000000000021E-2</c:v>
                </c:pt>
                <c:pt idx="7">
                  <c:v>5.3500000000000013E-2</c:v>
                </c:pt>
                <c:pt idx="8">
                  <c:v>5.3600000000000002E-2</c:v>
                </c:pt>
                <c:pt idx="9">
                  <c:v>5.3600000000000002E-2</c:v>
                </c:pt>
                <c:pt idx="10">
                  <c:v>5.3000000000000019E-2</c:v>
                </c:pt>
                <c:pt idx="11">
                  <c:v>5.3500000000000013E-2</c:v>
                </c:pt>
                <c:pt idx="12">
                  <c:v>5.3000000000000019E-2</c:v>
                </c:pt>
                <c:pt idx="13">
                  <c:v>5.3199999999999997E-2</c:v>
                </c:pt>
                <c:pt idx="14">
                  <c:v>5.3500000000000013E-2</c:v>
                </c:pt>
                <c:pt idx="15">
                  <c:v>5.3600000000000002E-2</c:v>
                </c:pt>
                <c:pt idx="16">
                  <c:v>5.3800000000000021E-2</c:v>
                </c:pt>
                <c:pt idx="17">
                  <c:v>5.3800000000000021E-2</c:v>
                </c:pt>
                <c:pt idx="18">
                  <c:v>5.4000000000000034E-2</c:v>
                </c:pt>
                <c:pt idx="19">
                  <c:v>5.4300000000000015E-2</c:v>
                </c:pt>
                <c:pt idx="20">
                  <c:v>5.5000000000000021E-2</c:v>
                </c:pt>
                <c:pt idx="21">
                  <c:v>5.5500000000000022E-2</c:v>
                </c:pt>
                <c:pt idx="22">
                  <c:v>5.640000000000002E-2</c:v>
                </c:pt>
                <c:pt idx="23">
                  <c:v>5.6599999999999998E-2</c:v>
                </c:pt>
                <c:pt idx="24">
                  <c:v>5.5400000000000026E-2</c:v>
                </c:pt>
                <c:pt idx="25">
                  <c:v>5.5600000000000004E-2</c:v>
                </c:pt>
                <c:pt idx="26">
                  <c:v>5.4200000000000026E-2</c:v>
                </c:pt>
                <c:pt idx="27">
                  <c:v>5.3000000000000019E-2</c:v>
                </c:pt>
                <c:pt idx="28">
                  <c:v>5.2800000000000027E-2</c:v>
                </c:pt>
                <c:pt idx="29">
                  <c:v>5.2000000000000032E-2</c:v>
                </c:pt>
                <c:pt idx="30">
                  <c:v>5.050000000000001E-2</c:v>
                </c:pt>
                <c:pt idx="31">
                  <c:v>5.0800000000000026E-2</c:v>
                </c:pt>
                <c:pt idx="32">
                  <c:v>5.050000000000001E-2</c:v>
                </c:pt>
                <c:pt idx="33">
                  <c:v>5.0000000000000017E-2</c:v>
                </c:pt>
                <c:pt idx="34">
                  <c:v>5.0000000000000017E-2</c:v>
                </c:pt>
                <c:pt idx="35">
                  <c:v>4.9800000000000039E-2</c:v>
                </c:pt>
                <c:pt idx="36">
                  <c:v>5.0600000000000013E-2</c:v>
                </c:pt>
                <c:pt idx="37">
                  <c:v>5.0300000000000025E-2</c:v>
                </c:pt>
                <c:pt idx="38">
                  <c:v>5.0800000000000026E-2</c:v>
                </c:pt>
                <c:pt idx="39">
                  <c:v>5.1800000000000013E-2</c:v>
                </c:pt>
                <c:pt idx="40">
                  <c:v>5.2000000000000032E-2</c:v>
                </c:pt>
                <c:pt idx="41">
                  <c:v>5.1299999999999998E-2</c:v>
                </c:pt>
                <c:pt idx="42">
                  <c:v>5.0900000000000015E-2</c:v>
                </c:pt>
                <c:pt idx="43">
                  <c:v>5.1000000000000004E-2</c:v>
                </c:pt>
                <c:pt idx="44">
                  <c:v>5.1000000000000004E-2</c:v>
                </c:pt>
              </c:numCache>
            </c:numRef>
          </c:val>
          <c:smooth val="0"/>
        </c:ser>
        <c:ser>
          <c:idx val="3"/>
          <c:order val="3"/>
          <c:tx>
            <c:strRef>
              <c:f>Sheet5!$P$1</c:f>
              <c:strCache>
                <c:ptCount val="1"/>
                <c:pt idx="0">
                  <c:v>6T 2015</c:v>
                </c:pt>
              </c:strCache>
            </c:strRef>
          </c:tx>
          <c:spPr>
            <a:ln w="22225" cmpd="sng">
              <a:solidFill>
                <a:schemeClr val="accent2">
                  <a:lumMod val="75000"/>
                </a:schemeClr>
              </a:solidFill>
            </a:ln>
          </c:spPr>
          <c:marker>
            <c:symbol val="none"/>
          </c:marker>
          <c:val>
            <c:numRef>
              <c:f>Sheet5!$P$1235:$P$1279</c:f>
              <c:numCache>
                <c:formatCode>#.#00%</c:formatCode>
                <c:ptCount val="45"/>
                <c:pt idx="0">
                  <c:v>4.8300000000000017E-2</c:v>
                </c:pt>
                <c:pt idx="1">
                  <c:v>4.8400000000000019E-2</c:v>
                </c:pt>
                <c:pt idx="2">
                  <c:v>4.8400000000000019E-2</c:v>
                </c:pt>
                <c:pt idx="3">
                  <c:v>4.8500000000000022E-2</c:v>
                </c:pt>
                <c:pt idx="4">
                  <c:v>4.8400000000000019E-2</c:v>
                </c:pt>
                <c:pt idx="5">
                  <c:v>4.8500000000000022E-2</c:v>
                </c:pt>
                <c:pt idx="6">
                  <c:v>4.8200000000000007E-2</c:v>
                </c:pt>
                <c:pt idx="7">
                  <c:v>4.8500000000000022E-2</c:v>
                </c:pt>
                <c:pt idx="8">
                  <c:v>4.8599999999999997E-2</c:v>
                </c:pt>
                <c:pt idx="9">
                  <c:v>4.8599999999999997E-2</c:v>
                </c:pt>
                <c:pt idx="10">
                  <c:v>4.8500000000000008E-2</c:v>
                </c:pt>
                <c:pt idx="11">
                  <c:v>4.8599999999999997E-2</c:v>
                </c:pt>
                <c:pt idx="12">
                  <c:v>4.880000000000001E-2</c:v>
                </c:pt>
                <c:pt idx="13">
                  <c:v>4.7800000000000023E-2</c:v>
                </c:pt>
                <c:pt idx="14">
                  <c:v>4.7800000000000023E-2</c:v>
                </c:pt>
                <c:pt idx="15">
                  <c:v>4.7800000000000023E-2</c:v>
                </c:pt>
                <c:pt idx="16">
                  <c:v>4.8000000000000015E-2</c:v>
                </c:pt>
                <c:pt idx="17">
                  <c:v>4.7800000000000023E-2</c:v>
                </c:pt>
                <c:pt idx="18">
                  <c:v>4.7400000000000032E-2</c:v>
                </c:pt>
                <c:pt idx="19">
                  <c:v>4.7800000000000023E-2</c:v>
                </c:pt>
                <c:pt idx="20">
                  <c:v>4.8500000000000022E-2</c:v>
                </c:pt>
                <c:pt idx="21">
                  <c:v>4.8599999999999997E-2</c:v>
                </c:pt>
                <c:pt idx="22">
                  <c:v>4.900000000000003E-2</c:v>
                </c:pt>
                <c:pt idx="23">
                  <c:v>4.8400000000000019E-2</c:v>
                </c:pt>
                <c:pt idx="24">
                  <c:v>4.8700000000000021E-2</c:v>
                </c:pt>
                <c:pt idx="25">
                  <c:v>4.900000000000003E-2</c:v>
                </c:pt>
                <c:pt idx="26">
                  <c:v>5.0000000000000017E-2</c:v>
                </c:pt>
                <c:pt idx="27">
                  <c:v>5.0000000000000017E-2</c:v>
                </c:pt>
                <c:pt idx="28">
                  <c:v>5.0000000000000017E-2</c:v>
                </c:pt>
                <c:pt idx="29">
                  <c:v>4.9600000000000026E-2</c:v>
                </c:pt>
                <c:pt idx="30">
                  <c:v>4.9100000000000033E-2</c:v>
                </c:pt>
                <c:pt idx="31">
                  <c:v>4.9500000000000023E-2</c:v>
                </c:pt>
                <c:pt idx="32">
                  <c:v>4.9300000000000031E-2</c:v>
                </c:pt>
                <c:pt idx="33">
                  <c:v>4.880000000000001E-2</c:v>
                </c:pt>
                <c:pt idx="34">
                  <c:v>4.7500000000000021E-2</c:v>
                </c:pt>
                <c:pt idx="35">
                  <c:v>4.6400000000000004E-2</c:v>
                </c:pt>
                <c:pt idx="36">
                  <c:v>4.6799999999999994E-2</c:v>
                </c:pt>
                <c:pt idx="37">
                  <c:v>4.6799999999999994E-2</c:v>
                </c:pt>
                <c:pt idx="38">
                  <c:v>4.730000000000003E-2</c:v>
                </c:pt>
                <c:pt idx="39">
                  <c:v>4.760000000000001E-2</c:v>
                </c:pt>
                <c:pt idx="40">
                  <c:v>4.760000000000001E-2</c:v>
                </c:pt>
                <c:pt idx="41">
                  <c:v>4.7200000000000013E-2</c:v>
                </c:pt>
                <c:pt idx="42">
                  <c:v>4.6500000000000007E-2</c:v>
                </c:pt>
                <c:pt idx="43">
                  <c:v>4.6500000000000007E-2</c:v>
                </c:pt>
                <c:pt idx="44">
                  <c:v>4.6500000000000007E-2</c:v>
                </c:pt>
              </c:numCache>
            </c:numRef>
          </c:val>
          <c:smooth val="0"/>
        </c:ser>
        <c:dLbls>
          <c:showLegendKey val="0"/>
          <c:showVal val="0"/>
          <c:showCatName val="0"/>
          <c:showSerName val="0"/>
          <c:showPercent val="0"/>
          <c:showBubbleSize val="0"/>
        </c:dLbls>
        <c:marker val="1"/>
        <c:smooth val="0"/>
        <c:axId val="130969984"/>
        <c:axId val="130971520"/>
      </c:lineChart>
      <c:dateAx>
        <c:axId val="130969984"/>
        <c:scaling>
          <c:orientation val="minMax"/>
        </c:scaling>
        <c:delete val="0"/>
        <c:axPos val="b"/>
        <c:numFmt formatCode="dd\/mm\/yy" sourceLinked="0"/>
        <c:majorTickMark val="out"/>
        <c:minorTickMark val="none"/>
        <c:tickLblPos val="nextTo"/>
        <c:crossAx val="130971520"/>
        <c:crosses val="autoZero"/>
        <c:auto val="1"/>
        <c:lblOffset val="100"/>
        <c:baseTimeUnit val="days"/>
      </c:dateAx>
      <c:valAx>
        <c:axId val="130971520"/>
        <c:scaling>
          <c:orientation val="minMax"/>
          <c:max val="6.0000000000000039E-2"/>
          <c:min val="0"/>
        </c:scaling>
        <c:delete val="0"/>
        <c:axPos val="l"/>
        <c:majorGridlines>
          <c:spPr>
            <a:ln>
              <a:solidFill>
                <a:schemeClr val="bg1">
                  <a:lumMod val="75000"/>
                </a:schemeClr>
              </a:solidFill>
            </a:ln>
          </c:spPr>
        </c:majorGridlines>
        <c:numFmt formatCode="0%" sourceLinked="0"/>
        <c:majorTickMark val="out"/>
        <c:minorTickMark val="none"/>
        <c:tickLblPos val="nextTo"/>
        <c:crossAx val="130969984"/>
        <c:crosses val="autoZero"/>
        <c:crossBetween val="between"/>
        <c:majorUnit val="2.0000000000000014E-2"/>
      </c:valAx>
    </c:plotArea>
    <c:legend>
      <c:legendPos val="b"/>
      <c:layout>
        <c:manualLayout>
          <c:xMode val="edge"/>
          <c:yMode val="edge"/>
          <c:x val="7.0562899005830446E-2"/>
          <c:y val="0.83057542595189149"/>
          <c:w val="0.84087856878196843"/>
          <c:h val="0.13956346348127255"/>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161340516392314"/>
          <c:y val="6.9117185045554502E-2"/>
          <c:w val="0.82002533708992165"/>
          <c:h val="0.62823958943769331"/>
        </c:manualLayout>
      </c:layout>
      <c:lineChart>
        <c:grouping val="standard"/>
        <c:varyColors val="0"/>
        <c:ser>
          <c:idx val="0"/>
          <c:order val="0"/>
          <c:tx>
            <c:strRef>
              <c:f>Sheet1!$B$1</c:f>
              <c:strCache>
                <c:ptCount val="1"/>
                <c:pt idx="0">
                  <c:v>Tỷ giá NHTM</c:v>
                </c:pt>
              </c:strCache>
            </c:strRef>
          </c:tx>
          <c:spPr>
            <a:ln w="22225"/>
          </c:spPr>
          <c:marker>
            <c:symbol val="none"/>
          </c:marker>
          <c:cat>
            <c:numRef>
              <c:f>Sheet1!$A$2:$A$50</c:f>
              <c:numCache>
                <c:formatCode>m/d/yyyy</c:formatCode>
                <c:ptCount val="49"/>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42415</c:v>
                </c:pt>
                <c:pt idx="26">
                  <c:v>42416</c:v>
                </c:pt>
                <c:pt idx="27">
                  <c:v>42417</c:v>
                </c:pt>
                <c:pt idx="28">
                  <c:v>42418</c:v>
                </c:pt>
                <c:pt idx="29">
                  <c:v>42422</c:v>
                </c:pt>
                <c:pt idx="30">
                  <c:v>42423</c:v>
                </c:pt>
                <c:pt idx="31">
                  <c:v>42424</c:v>
                </c:pt>
                <c:pt idx="32">
                  <c:v>42425</c:v>
                </c:pt>
                <c:pt idx="33">
                  <c:v>42426</c:v>
                </c:pt>
                <c:pt idx="34">
                  <c:v>42429</c:v>
                </c:pt>
                <c:pt idx="35">
                  <c:v>42430</c:v>
                </c:pt>
                <c:pt idx="36">
                  <c:v>42431</c:v>
                </c:pt>
                <c:pt idx="37">
                  <c:v>42432</c:v>
                </c:pt>
                <c:pt idx="38">
                  <c:v>42433</c:v>
                </c:pt>
                <c:pt idx="39">
                  <c:v>42436</c:v>
                </c:pt>
                <c:pt idx="40">
                  <c:v>42437</c:v>
                </c:pt>
                <c:pt idx="41">
                  <c:v>42438</c:v>
                </c:pt>
                <c:pt idx="42">
                  <c:v>42439</c:v>
                </c:pt>
                <c:pt idx="43">
                  <c:v>42440</c:v>
                </c:pt>
                <c:pt idx="44">
                  <c:v>42443</c:v>
                </c:pt>
                <c:pt idx="45">
                  <c:v>42444</c:v>
                </c:pt>
                <c:pt idx="46">
                  <c:v>42445</c:v>
                </c:pt>
                <c:pt idx="47">
                  <c:v>42446</c:v>
                </c:pt>
                <c:pt idx="48">
                  <c:v>42447</c:v>
                </c:pt>
              </c:numCache>
            </c:numRef>
          </c:cat>
          <c:val>
            <c:numRef>
              <c:f>Sheet1!$B$2:$B$50</c:f>
              <c:numCache>
                <c:formatCode>_(* #,##0_);_(* \(#,##0\);_(* "-"??_);_(@_)</c:formatCode>
                <c:ptCount val="49"/>
                <c:pt idx="0">
                  <c:v>22512.5</c:v>
                </c:pt>
                <c:pt idx="1">
                  <c:v>22507.5</c:v>
                </c:pt>
                <c:pt idx="2">
                  <c:v>22476.5</c:v>
                </c:pt>
                <c:pt idx="3">
                  <c:v>22502.5</c:v>
                </c:pt>
                <c:pt idx="4">
                  <c:v>22479.5</c:v>
                </c:pt>
                <c:pt idx="5">
                  <c:v>22445.5</c:v>
                </c:pt>
                <c:pt idx="6">
                  <c:v>22423.5</c:v>
                </c:pt>
                <c:pt idx="7">
                  <c:v>22418.5</c:v>
                </c:pt>
                <c:pt idx="8">
                  <c:v>22441.5</c:v>
                </c:pt>
                <c:pt idx="9">
                  <c:v>22428.5</c:v>
                </c:pt>
                <c:pt idx="10">
                  <c:v>22410.5</c:v>
                </c:pt>
                <c:pt idx="11">
                  <c:v>22415.5</c:v>
                </c:pt>
                <c:pt idx="12">
                  <c:v>22432.5</c:v>
                </c:pt>
                <c:pt idx="13">
                  <c:v>22411</c:v>
                </c:pt>
                <c:pt idx="14">
                  <c:v>22396.5</c:v>
                </c:pt>
                <c:pt idx="15">
                  <c:v>22377.5</c:v>
                </c:pt>
                <c:pt idx="16">
                  <c:v>22345</c:v>
                </c:pt>
                <c:pt idx="17">
                  <c:v>22298</c:v>
                </c:pt>
                <c:pt idx="18">
                  <c:v>22265</c:v>
                </c:pt>
                <c:pt idx="19">
                  <c:v>22207.5</c:v>
                </c:pt>
                <c:pt idx="20">
                  <c:v>22280</c:v>
                </c:pt>
                <c:pt idx="21">
                  <c:v>22287.5</c:v>
                </c:pt>
                <c:pt idx="22">
                  <c:v>22291.5</c:v>
                </c:pt>
                <c:pt idx="23">
                  <c:v>22291.5</c:v>
                </c:pt>
                <c:pt idx="24">
                  <c:v>22291.5</c:v>
                </c:pt>
                <c:pt idx="25">
                  <c:v>22355</c:v>
                </c:pt>
                <c:pt idx="26">
                  <c:v>22382.5</c:v>
                </c:pt>
                <c:pt idx="27">
                  <c:v>22377.5</c:v>
                </c:pt>
                <c:pt idx="28">
                  <c:v>22365</c:v>
                </c:pt>
                <c:pt idx="29">
                  <c:v>22362</c:v>
                </c:pt>
                <c:pt idx="30">
                  <c:v>22374</c:v>
                </c:pt>
                <c:pt idx="31">
                  <c:v>22349</c:v>
                </c:pt>
                <c:pt idx="32">
                  <c:v>22311.5</c:v>
                </c:pt>
                <c:pt idx="33">
                  <c:v>22316.5</c:v>
                </c:pt>
                <c:pt idx="34">
                  <c:v>22300</c:v>
                </c:pt>
                <c:pt idx="35">
                  <c:v>22299.5</c:v>
                </c:pt>
                <c:pt idx="36">
                  <c:v>22303.5</c:v>
                </c:pt>
                <c:pt idx="37">
                  <c:v>22303.5</c:v>
                </c:pt>
                <c:pt idx="38">
                  <c:v>22288</c:v>
                </c:pt>
                <c:pt idx="39">
                  <c:v>22294</c:v>
                </c:pt>
                <c:pt idx="40">
                  <c:v>22299</c:v>
                </c:pt>
                <c:pt idx="41">
                  <c:v>22294</c:v>
                </c:pt>
                <c:pt idx="42">
                  <c:v>22299.5</c:v>
                </c:pt>
                <c:pt idx="43">
                  <c:v>22300.5</c:v>
                </c:pt>
                <c:pt idx="44">
                  <c:v>22295</c:v>
                </c:pt>
                <c:pt idx="45">
                  <c:v>22301</c:v>
                </c:pt>
                <c:pt idx="46">
                  <c:v>22294.5</c:v>
                </c:pt>
                <c:pt idx="47">
                  <c:v>22292</c:v>
                </c:pt>
                <c:pt idx="48">
                  <c:v>22291.5</c:v>
                </c:pt>
              </c:numCache>
            </c:numRef>
          </c:val>
          <c:smooth val="0"/>
        </c:ser>
        <c:ser>
          <c:idx val="1"/>
          <c:order val="1"/>
          <c:tx>
            <c:strRef>
              <c:f>Sheet1!$C$1</c:f>
              <c:strCache>
                <c:ptCount val="1"/>
                <c:pt idx="0">
                  <c:v>Tỷ giá không chính thức</c:v>
                </c:pt>
              </c:strCache>
            </c:strRef>
          </c:tx>
          <c:spPr>
            <a:ln w="25400">
              <a:solidFill>
                <a:srgbClr val="FF0000"/>
              </a:solidFill>
              <a:prstDash val="dash"/>
            </a:ln>
          </c:spPr>
          <c:marker>
            <c:symbol val="none"/>
          </c:marker>
          <c:cat>
            <c:numRef>
              <c:f>Sheet1!$A$2:$A$50</c:f>
              <c:numCache>
                <c:formatCode>m/d/yyyy</c:formatCode>
                <c:ptCount val="49"/>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42415</c:v>
                </c:pt>
                <c:pt idx="26">
                  <c:v>42416</c:v>
                </c:pt>
                <c:pt idx="27">
                  <c:v>42417</c:v>
                </c:pt>
                <c:pt idx="28">
                  <c:v>42418</c:v>
                </c:pt>
                <c:pt idx="29">
                  <c:v>42422</c:v>
                </c:pt>
                <c:pt idx="30">
                  <c:v>42423</c:v>
                </c:pt>
                <c:pt idx="31">
                  <c:v>42424</c:v>
                </c:pt>
                <c:pt idx="32">
                  <c:v>42425</c:v>
                </c:pt>
                <c:pt idx="33">
                  <c:v>42426</c:v>
                </c:pt>
                <c:pt idx="34">
                  <c:v>42429</c:v>
                </c:pt>
                <c:pt idx="35">
                  <c:v>42430</c:v>
                </c:pt>
                <c:pt idx="36">
                  <c:v>42431</c:v>
                </c:pt>
                <c:pt idx="37">
                  <c:v>42432</c:v>
                </c:pt>
                <c:pt idx="38">
                  <c:v>42433</c:v>
                </c:pt>
                <c:pt idx="39">
                  <c:v>42436</c:v>
                </c:pt>
                <c:pt idx="40">
                  <c:v>42437</c:v>
                </c:pt>
                <c:pt idx="41">
                  <c:v>42438</c:v>
                </c:pt>
                <c:pt idx="42">
                  <c:v>42439</c:v>
                </c:pt>
                <c:pt idx="43">
                  <c:v>42440</c:v>
                </c:pt>
                <c:pt idx="44">
                  <c:v>42443</c:v>
                </c:pt>
                <c:pt idx="45">
                  <c:v>42444</c:v>
                </c:pt>
                <c:pt idx="46">
                  <c:v>42445</c:v>
                </c:pt>
                <c:pt idx="47">
                  <c:v>42446</c:v>
                </c:pt>
                <c:pt idx="48">
                  <c:v>42447</c:v>
                </c:pt>
              </c:numCache>
            </c:numRef>
          </c:cat>
          <c:val>
            <c:numRef>
              <c:f>Sheet1!$C$2:$C$50</c:f>
              <c:numCache>
                <c:formatCode>_(* #,##0_);_(* \(#,##0\);_(* "-"??_);_(@_)</c:formatCode>
                <c:ptCount val="49"/>
                <c:pt idx="0">
                  <c:v>22660</c:v>
                </c:pt>
                <c:pt idx="1">
                  <c:v>22630</c:v>
                </c:pt>
                <c:pt idx="2">
                  <c:v>22600</c:v>
                </c:pt>
                <c:pt idx="3">
                  <c:v>22580</c:v>
                </c:pt>
                <c:pt idx="4">
                  <c:v>22580</c:v>
                </c:pt>
                <c:pt idx="5">
                  <c:v>22550</c:v>
                </c:pt>
                <c:pt idx="6">
                  <c:v>22565</c:v>
                </c:pt>
                <c:pt idx="7">
                  <c:v>22580</c:v>
                </c:pt>
                <c:pt idx="8">
                  <c:v>22580</c:v>
                </c:pt>
                <c:pt idx="9">
                  <c:v>22560</c:v>
                </c:pt>
                <c:pt idx="10">
                  <c:v>22535</c:v>
                </c:pt>
                <c:pt idx="11">
                  <c:v>22530</c:v>
                </c:pt>
                <c:pt idx="12">
                  <c:v>22520</c:v>
                </c:pt>
                <c:pt idx="13">
                  <c:v>22500</c:v>
                </c:pt>
                <c:pt idx="14">
                  <c:v>22520</c:v>
                </c:pt>
                <c:pt idx="15">
                  <c:v>22530</c:v>
                </c:pt>
                <c:pt idx="16">
                  <c:v>22490</c:v>
                </c:pt>
                <c:pt idx="17">
                  <c:v>22390</c:v>
                </c:pt>
                <c:pt idx="18">
                  <c:v>22375</c:v>
                </c:pt>
                <c:pt idx="19">
                  <c:v>22375</c:v>
                </c:pt>
                <c:pt idx="20">
                  <c:v>22375</c:v>
                </c:pt>
                <c:pt idx="21">
                  <c:v>22330</c:v>
                </c:pt>
                <c:pt idx="22">
                  <c:v>22330</c:v>
                </c:pt>
                <c:pt idx="23">
                  <c:v>22390</c:v>
                </c:pt>
                <c:pt idx="24">
                  <c:v>22390</c:v>
                </c:pt>
                <c:pt idx="25">
                  <c:v>22350</c:v>
                </c:pt>
                <c:pt idx="26">
                  <c:v>22390</c:v>
                </c:pt>
                <c:pt idx="27">
                  <c:v>22410</c:v>
                </c:pt>
                <c:pt idx="28">
                  <c:v>22400</c:v>
                </c:pt>
                <c:pt idx="29">
                  <c:v>22360</c:v>
                </c:pt>
                <c:pt idx="30">
                  <c:v>22360</c:v>
                </c:pt>
                <c:pt idx="31">
                  <c:v>22370</c:v>
                </c:pt>
                <c:pt idx="32">
                  <c:v>22360</c:v>
                </c:pt>
                <c:pt idx="33">
                  <c:v>22315</c:v>
                </c:pt>
                <c:pt idx="34">
                  <c:v>22315</c:v>
                </c:pt>
                <c:pt idx="35">
                  <c:v>22315</c:v>
                </c:pt>
                <c:pt idx="36">
                  <c:v>22300</c:v>
                </c:pt>
                <c:pt idx="37">
                  <c:v>22300</c:v>
                </c:pt>
                <c:pt idx="38">
                  <c:v>22300</c:v>
                </c:pt>
                <c:pt idx="39">
                  <c:v>22285</c:v>
                </c:pt>
                <c:pt idx="40">
                  <c:v>22285</c:v>
                </c:pt>
                <c:pt idx="41">
                  <c:v>22285</c:v>
                </c:pt>
                <c:pt idx="42">
                  <c:v>22285</c:v>
                </c:pt>
                <c:pt idx="43">
                  <c:v>22285</c:v>
                </c:pt>
                <c:pt idx="44">
                  <c:v>22285</c:v>
                </c:pt>
                <c:pt idx="45">
                  <c:v>22285</c:v>
                </c:pt>
                <c:pt idx="46">
                  <c:v>22285</c:v>
                </c:pt>
                <c:pt idx="47">
                  <c:v>22250</c:v>
                </c:pt>
                <c:pt idx="48">
                  <c:v>22285</c:v>
                </c:pt>
              </c:numCache>
            </c:numRef>
          </c:val>
          <c:smooth val="0"/>
        </c:ser>
        <c:ser>
          <c:idx val="2"/>
          <c:order val="2"/>
          <c:tx>
            <c:strRef>
              <c:f>Sheet1!$D$1</c:f>
              <c:strCache>
                <c:ptCount val="1"/>
                <c:pt idx="0">
                  <c:v>Tỷ giá trần (3%, SBV)</c:v>
                </c:pt>
              </c:strCache>
            </c:strRef>
          </c:tx>
          <c:spPr>
            <a:ln w="25400">
              <a:solidFill>
                <a:srgbClr val="00B050"/>
              </a:solidFill>
              <a:prstDash val="sysDash"/>
            </a:ln>
          </c:spPr>
          <c:marker>
            <c:symbol val="none"/>
          </c:marker>
          <c:cat>
            <c:numRef>
              <c:f>Sheet1!$A$2:$A$50</c:f>
              <c:numCache>
                <c:formatCode>m/d/yyyy</c:formatCode>
                <c:ptCount val="49"/>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42415</c:v>
                </c:pt>
                <c:pt idx="26">
                  <c:v>42416</c:v>
                </c:pt>
                <c:pt idx="27">
                  <c:v>42417</c:v>
                </c:pt>
                <c:pt idx="28">
                  <c:v>42418</c:v>
                </c:pt>
                <c:pt idx="29">
                  <c:v>42422</c:v>
                </c:pt>
                <c:pt idx="30">
                  <c:v>42423</c:v>
                </c:pt>
                <c:pt idx="31">
                  <c:v>42424</c:v>
                </c:pt>
                <c:pt idx="32">
                  <c:v>42425</c:v>
                </c:pt>
                <c:pt idx="33">
                  <c:v>42426</c:v>
                </c:pt>
                <c:pt idx="34">
                  <c:v>42429</c:v>
                </c:pt>
                <c:pt idx="35">
                  <c:v>42430</c:v>
                </c:pt>
                <c:pt idx="36">
                  <c:v>42431</c:v>
                </c:pt>
                <c:pt idx="37">
                  <c:v>42432</c:v>
                </c:pt>
                <c:pt idx="38">
                  <c:v>42433</c:v>
                </c:pt>
                <c:pt idx="39">
                  <c:v>42436</c:v>
                </c:pt>
                <c:pt idx="40">
                  <c:v>42437</c:v>
                </c:pt>
                <c:pt idx="41">
                  <c:v>42438</c:v>
                </c:pt>
                <c:pt idx="42">
                  <c:v>42439</c:v>
                </c:pt>
                <c:pt idx="43">
                  <c:v>42440</c:v>
                </c:pt>
                <c:pt idx="44">
                  <c:v>42443</c:v>
                </c:pt>
                <c:pt idx="45">
                  <c:v>42444</c:v>
                </c:pt>
                <c:pt idx="46">
                  <c:v>42445</c:v>
                </c:pt>
                <c:pt idx="47">
                  <c:v>42446</c:v>
                </c:pt>
                <c:pt idx="48">
                  <c:v>42447</c:v>
                </c:pt>
              </c:numCache>
            </c:numRef>
          </c:cat>
          <c:val>
            <c:numRef>
              <c:f>Sheet1!$D$2:$D$50</c:f>
              <c:numCache>
                <c:formatCode>_(* #,##0_);_(* \(#,##0\);_(* "-"??_);_(@_)</c:formatCode>
                <c:ptCount val="49"/>
                <c:pt idx="0">
                  <c:v>22552.880000000001</c:v>
                </c:pt>
                <c:pt idx="1">
                  <c:v>22564.21</c:v>
                </c:pt>
                <c:pt idx="2">
                  <c:v>22564</c:v>
                </c:pt>
                <c:pt idx="3">
                  <c:v>22577</c:v>
                </c:pt>
                <c:pt idx="4">
                  <c:v>22566</c:v>
                </c:pt>
                <c:pt idx="5">
                  <c:v>22566</c:v>
                </c:pt>
                <c:pt idx="6">
                  <c:v>22570</c:v>
                </c:pt>
                <c:pt idx="7">
                  <c:v>22566</c:v>
                </c:pt>
                <c:pt idx="8">
                  <c:v>22564</c:v>
                </c:pt>
                <c:pt idx="9">
                  <c:v>22575</c:v>
                </c:pt>
                <c:pt idx="10">
                  <c:v>22570</c:v>
                </c:pt>
                <c:pt idx="11">
                  <c:v>22563</c:v>
                </c:pt>
                <c:pt idx="12">
                  <c:v>22558</c:v>
                </c:pt>
                <c:pt idx="13">
                  <c:v>22567</c:v>
                </c:pt>
                <c:pt idx="14">
                  <c:v>22567</c:v>
                </c:pt>
                <c:pt idx="15">
                  <c:v>22567</c:v>
                </c:pt>
                <c:pt idx="16">
                  <c:v>22555</c:v>
                </c:pt>
                <c:pt idx="17">
                  <c:v>22549.79</c:v>
                </c:pt>
                <c:pt idx="18">
                  <c:v>22542.58</c:v>
                </c:pt>
                <c:pt idx="19">
                  <c:v>22537.43</c:v>
                </c:pt>
                <c:pt idx="20">
                  <c:v>22549</c:v>
                </c:pt>
                <c:pt idx="21">
                  <c:v>22550.82</c:v>
                </c:pt>
                <c:pt idx="22">
                  <c:v>22554</c:v>
                </c:pt>
                <c:pt idx="23">
                  <c:v>22532</c:v>
                </c:pt>
                <c:pt idx="24">
                  <c:v>22517</c:v>
                </c:pt>
                <c:pt idx="25">
                  <c:v>22529</c:v>
                </c:pt>
                <c:pt idx="26">
                  <c:v>22541</c:v>
                </c:pt>
                <c:pt idx="27">
                  <c:v>22552</c:v>
                </c:pt>
                <c:pt idx="28">
                  <c:v>22558</c:v>
                </c:pt>
                <c:pt idx="29">
                  <c:v>22551</c:v>
                </c:pt>
                <c:pt idx="30">
                  <c:v>22556</c:v>
                </c:pt>
                <c:pt idx="31">
                  <c:v>22558</c:v>
                </c:pt>
                <c:pt idx="32">
                  <c:v>22560</c:v>
                </c:pt>
                <c:pt idx="33">
                  <c:v>22556</c:v>
                </c:pt>
                <c:pt idx="34">
                  <c:v>22571</c:v>
                </c:pt>
                <c:pt idx="35">
                  <c:v>22564</c:v>
                </c:pt>
                <c:pt idx="36">
                  <c:v>22562</c:v>
                </c:pt>
                <c:pt idx="37">
                  <c:v>22561</c:v>
                </c:pt>
                <c:pt idx="38">
                  <c:v>22546</c:v>
                </c:pt>
                <c:pt idx="39">
                  <c:v>22529</c:v>
                </c:pt>
                <c:pt idx="40">
                  <c:v>22534</c:v>
                </c:pt>
                <c:pt idx="41">
                  <c:v>22533</c:v>
                </c:pt>
                <c:pt idx="42">
                  <c:v>22541</c:v>
                </c:pt>
                <c:pt idx="43">
                  <c:v>22530</c:v>
                </c:pt>
                <c:pt idx="44">
                  <c:v>22515</c:v>
                </c:pt>
                <c:pt idx="45">
                  <c:v>22528</c:v>
                </c:pt>
                <c:pt idx="46">
                  <c:v>22534</c:v>
                </c:pt>
                <c:pt idx="47">
                  <c:v>22519</c:v>
                </c:pt>
                <c:pt idx="48">
                  <c:v>22493</c:v>
                </c:pt>
              </c:numCache>
            </c:numRef>
          </c:val>
          <c:smooth val="0"/>
        </c:ser>
        <c:dLbls>
          <c:showLegendKey val="0"/>
          <c:showVal val="0"/>
          <c:showCatName val="0"/>
          <c:showSerName val="0"/>
          <c:showPercent val="0"/>
          <c:showBubbleSize val="0"/>
        </c:dLbls>
        <c:marker val="1"/>
        <c:smooth val="0"/>
        <c:axId val="135986560"/>
        <c:axId val="137106560"/>
      </c:lineChart>
      <c:dateAx>
        <c:axId val="135986560"/>
        <c:scaling>
          <c:orientation val="minMax"/>
        </c:scaling>
        <c:delete val="0"/>
        <c:axPos val="b"/>
        <c:numFmt formatCode="m/d/yyyy" sourceLinked="1"/>
        <c:majorTickMark val="out"/>
        <c:minorTickMark val="none"/>
        <c:tickLblPos val="nextTo"/>
        <c:crossAx val="137106560"/>
        <c:crosses val="autoZero"/>
        <c:auto val="1"/>
        <c:lblOffset val="100"/>
        <c:baseTimeUnit val="days"/>
        <c:majorUnit val="15"/>
        <c:majorTimeUnit val="days"/>
        <c:minorUnit val="15"/>
        <c:minorTimeUnit val="days"/>
      </c:dateAx>
      <c:valAx>
        <c:axId val="137106560"/>
        <c:scaling>
          <c:orientation val="minMax"/>
          <c:max val="22650"/>
          <c:min val="22150"/>
        </c:scaling>
        <c:delete val="0"/>
        <c:axPos val="l"/>
        <c:majorGridlines>
          <c:spPr>
            <a:ln>
              <a:solidFill>
                <a:schemeClr val="tx1"/>
              </a:solidFill>
              <a:prstDash val="sysDot"/>
            </a:ln>
          </c:spPr>
        </c:majorGridlines>
        <c:numFmt formatCode="_(* #,##0_);_(* \(#,##0\);_(* &quot;-&quot;??_);_(@_)" sourceLinked="1"/>
        <c:majorTickMark val="out"/>
        <c:minorTickMark val="none"/>
        <c:tickLblPos val="nextTo"/>
        <c:crossAx val="135986560"/>
        <c:crosses val="autoZero"/>
        <c:crossBetween val="between"/>
        <c:majorUnit val="100"/>
      </c:valAx>
    </c:plotArea>
    <c:legend>
      <c:legendPos val="b"/>
      <c:layout>
        <c:manualLayout>
          <c:xMode val="edge"/>
          <c:yMode val="edge"/>
          <c:x val="2.6789647388050963E-2"/>
          <c:y val="0.81390628641912599"/>
          <c:w val="0.94197515740282045"/>
          <c:h val="0.14844417401153101"/>
        </c:manualLayout>
      </c:layout>
      <c:overlay val="0"/>
    </c:legend>
    <c:plotVisOnly val="1"/>
    <c:dispBlanksAs val="gap"/>
    <c:showDLblsOverMax val="0"/>
  </c:chart>
  <c:spPr>
    <a:noFill/>
    <a:ln>
      <a:noFill/>
    </a:ln>
  </c:spPr>
  <c:txPr>
    <a:bodyPr/>
    <a:lstStyle/>
    <a:p>
      <a:pPr>
        <a:defRPr sz="700">
          <a:latin typeface="Times New Roman" pitchFamily="18" charset="0"/>
          <a:ea typeface="Tahoma" pitchFamily="34"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96EF0-6F29-4585-8CF4-7DC6DFA2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Template>
  <TotalTime>2</TotalTime>
  <Pages>8</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Elead</cp:lastModifiedBy>
  <cp:revision>2</cp:revision>
  <cp:lastPrinted>2016-03-29T08:20:00Z</cp:lastPrinted>
  <dcterms:created xsi:type="dcterms:W3CDTF">2016-03-29T08:38:00Z</dcterms:created>
  <dcterms:modified xsi:type="dcterms:W3CDTF">2016-03-29T08:38:00Z</dcterms:modified>
</cp:coreProperties>
</file>