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1B" w:rsidRPr="00A10B49" w:rsidRDefault="0009591B" w:rsidP="0009591B">
      <w:pPr>
        <w:rPr>
          <w:b/>
          <w:color w:val="000000"/>
          <w:sz w:val="26"/>
        </w:rPr>
      </w:pPr>
      <w:r w:rsidRPr="00A10B49">
        <w:rPr>
          <w:b/>
          <w:color w:val="000000"/>
          <w:sz w:val="24"/>
        </w:rPr>
        <w:t>PHỤ LỤC 4</w:t>
      </w:r>
    </w:p>
    <w:p w:rsidR="0009591B" w:rsidRPr="00A10B49" w:rsidRDefault="0009591B" w:rsidP="0009591B">
      <w:pPr>
        <w:jc w:val="center"/>
        <w:rPr>
          <w:b/>
          <w:color w:val="000000"/>
          <w:sz w:val="26"/>
        </w:rPr>
      </w:pPr>
      <w:r w:rsidRPr="00A10B49">
        <w:rPr>
          <w:b/>
          <w:color w:val="000000"/>
        </w:rPr>
        <w:t xml:space="preserve">DANH MỤC </w:t>
      </w:r>
      <w:r w:rsidRPr="00A10B49">
        <w:rPr>
          <w:b/>
          <w:color w:val="000000"/>
        </w:rPr>
        <w:br/>
        <w:t>NGÀNH, NGHỀ ĐẦU TƯ KINH DOANH CÓ ĐIỀU KIỆN</w:t>
      </w:r>
    </w:p>
    <w:p w:rsidR="0009591B" w:rsidRPr="00A10B49" w:rsidRDefault="0009591B" w:rsidP="0009591B">
      <w:pPr>
        <w:jc w:val="center"/>
        <w:rPr>
          <w:color w:val="000000"/>
          <w:sz w:val="26"/>
        </w:rPr>
      </w:pPr>
      <w:r w:rsidRPr="00A10B49">
        <w:rPr>
          <w:color w:val="000000"/>
          <w:szCs w:val="28"/>
        </w:rPr>
        <w:t>(</w:t>
      </w:r>
      <w:r w:rsidRPr="00211C5C">
        <w:rPr>
          <w:i/>
          <w:color w:val="000000"/>
          <w:spacing w:val="-2"/>
          <w:szCs w:val="28"/>
        </w:rPr>
        <w:t>Ban hành kèm theo Luật số …/2016/QH14 sửa đổi, bổ sung Điều 6 và Phụ lục 4 về Danh mục ngành, nghề đầu tư kinh doanh có điều kiện của Luật đầu tư</w:t>
      </w:r>
      <w:r w:rsidRPr="00A10B49">
        <w:rPr>
          <w:color w:val="000000"/>
          <w:szCs w:val="28"/>
        </w:rPr>
        <w:t>)</w:t>
      </w:r>
    </w:p>
    <w:tbl>
      <w:tblPr>
        <w:tblpPr w:leftFromText="180" w:rightFromText="180" w:vertAnchor="text" w:horzAnchor="page" w:tblpX="1726" w:tblpY="347"/>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364"/>
        <w:tblGridChange w:id="0">
          <w:tblGrid>
            <w:gridCol w:w="675"/>
            <w:gridCol w:w="8364"/>
          </w:tblGrid>
        </w:tblGridChange>
      </w:tblGrid>
      <w:tr w:rsidR="0009591B" w:rsidRPr="00D2653B" w:rsidTr="008446B8">
        <w:tc>
          <w:tcPr>
            <w:tcW w:w="675" w:type="dxa"/>
          </w:tcPr>
          <w:p w:rsidR="0009591B" w:rsidRPr="00D2653B" w:rsidRDefault="0009591B" w:rsidP="008446B8">
            <w:pPr>
              <w:spacing w:before="80" w:after="80" w:line="240" w:lineRule="auto"/>
              <w:jc w:val="center"/>
              <w:rPr>
                <w:color w:val="000000"/>
                <w:sz w:val="24"/>
                <w:szCs w:val="24"/>
              </w:rPr>
            </w:pPr>
            <w:r w:rsidRPr="00D2653B">
              <w:rPr>
                <w:color w:val="000000"/>
                <w:sz w:val="24"/>
                <w:szCs w:val="24"/>
              </w:rPr>
              <w:t>STT</w:t>
            </w:r>
          </w:p>
        </w:tc>
        <w:tc>
          <w:tcPr>
            <w:tcW w:w="8364" w:type="dxa"/>
          </w:tcPr>
          <w:p w:rsidR="0009591B" w:rsidRPr="00D2653B" w:rsidRDefault="0009591B" w:rsidP="008446B8">
            <w:pPr>
              <w:spacing w:before="80" w:after="80" w:line="240" w:lineRule="auto"/>
              <w:jc w:val="center"/>
              <w:rPr>
                <w:color w:val="000000"/>
                <w:sz w:val="24"/>
                <w:szCs w:val="24"/>
              </w:rPr>
            </w:pPr>
            <w:r w:rsidRPr="00D2653B">
              <w:rPr>
                <w:color w:val="000000"/>
                <w:sz w:val="24"/>
                <w:szCs w:val="24"/>
              </w:rPr>
              <w:t>NGÀNH, NGHỀ</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rPr>
                <w:color w:val="000000"/>
                <w:szCs w:val="28"/>
              </w:rPr>
            </w:pPr>
            <w:r w:rsidRPr="00D2653B">
              <w:rPr>
                <w:color w:val="000000"/>
                <w:szCs w:val="28"/>
              </w:rPr>
              <w:t>Sản xuất con dấu</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rPr>
                <w:color w:val="000000"/>
                <w:szCs w:val="28"/>
              </w:rPr>
            </w:pPr>
            <w:r w:rsidRPr="00D2653B">
              <w:rPr>
                <w:color w:val="000000"/>
                <w:szCs w:val="28"/>
              </w:rPr>
              <w:t>Kinh doanh công cụ hỗ trợ (bao gồm cả sửa chữa)</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rPr>
                <w:color w:val="000000"/>
                <w:szCs w:val="28"/>
              </w:rPr>
            </w:pPr>
            <w:r w:rsidRPr="00D2653B">
              <w:rPr>
                <w:color w:val="000000"/>
                <w:szCs w:val="28"/>
              </w:rPr>
              <w:t>Kinh doanh các loại pháo, trừ pháo nổ</w:t>
            </w:r>
          </w:p>
        </w:tc>
      </w:tr>
      <w:tr w:rsidR="0009591B" w:rsidRPr="00D2653B" w:rsidTr="008446B8">
        <w:trPr>
          <w:trHeight w:val="70"/>
        </w:trPr>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 xml:space="preserve">Kinh doanh thiết bị, phần mềm ngụy trang dùng để ghi âm, ghi hình, định vị </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 xml:space="preserve">Kinh doanh súng bắn sơn </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quân trang, quân dụng cho lực lượng vũ trang, vũ khí quân dụng, trang thiết bị, kỹ thuật, khí tài, phương tiện chuyên dùng quân sự, công an; linh kiện, bộ phận, phụ tùng, vật tư và trang thiết bị đặc chủng, công nghệ chuyên dùng chế tạo chúng</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jc w:val="both"/>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cầm đồ</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xoa bóp</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thiết bị phát tín hiệu của xe được quyền ưu tiên</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đòi nợ</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bảo vệ</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phòng cháy, chữa cháy</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Hành nghề luật sư</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Hành nghề công chứng</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Hành nghề giám định tư pháp trong các lĩnh vực tài chính, ngân hàng, xây dựng, cổ vật, di vật, bản quyền tác giả</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Hành nghề đấu giá tài sản</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 xml:space="preserve">Hoạt động dịch vụ của tổ chức trọng tài thương mại </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Hành nghề thừa phát lại</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Hành nghề quản lý, thanh lý tài sản của doanh nghiệp, hợp tác xã trong quá trình giải quyết phá sản</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kế toán</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kiểm toán</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làm thủ tục về thuế</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làm thủ tục hải quan</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hàng miễn thuế</w:t>
            </w:r>
          </w:p>
        </w:tc>
      </w:tr>
      <w:tr w:rsidR="0009591B" w:rsidRPr="00D2653B" w:rsidTr="008446B8">
        <w:trPr>
          <w:trHeight w:val="524"/>
        </w:trPr>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kho ngoại quan, địa điểm thu gom hàng lẻ</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địa điểm làm thủ tục hải quan, tập kết, kiểm tra, giám sát hải quan</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jc w:val="both"/>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chứng khoán</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đăng ký, lưu ký, bù trừ và thanh toán chứng khoán của Trung tâm lưu ký chứng khoán/ Tổ chức thị trường giao dịch chứng khoán niêm yết và các loại chứng khoán khác</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bảo hiểm</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tái bảo hiểm</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Môi giới bảo hiểm</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Đại lý bảo hiểm</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thẩm định giá</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xổ số</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trò chơi điện tử có thưởng dành cho người nước ngoài</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 xml:space="preserve">Kinh doanh dịch vụ mua bán nợ </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xếp hạng tín nhiệm</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casino</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đặt cược</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quản lý quỹ hưu trí tự nguyện</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xăng dầu</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 xml:space="preserve">Kinh doanh khí </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Sản xuất, sửa chữa chai chứa khí dầu mỏ hóa lỏng (chai LPG)</w:t>
            </w:r>
            <w:r w:rsidRPr="00D2653B" w:rsidDel="00D050E2">
              <w:rPr>
                <w:color w:val="000000"/>
                <w:szCs w:val="28"/>
              </w:rPr>
              <w:t xml:space="preserve"> </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giám định thương mại</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vật liệu nổ công nghiệp (bao gồm cả hoạt động tiêu hủy)</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tiền chất thuốc nổ</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ngành, nghề có sử dụng vật liệu nổ công nghiệp và tiền chất thuốc nổ</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nổ mìn</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hóa chất trừ hóa chất bị cấm theo Công ước Quốc tế về cấm phát triển, sản xuất, tàng trữ, sử dụng và phá hủy vũ khí hóa học</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 xml:space="preserve">Kinh doanh rượu </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sản phẩm thuốc lá, nguyên liệu thuốc lá, máy móc thiết bị thuộc chuyên ngành thuốc lá</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thực phẩm thuộc lĩnh vực quản lý chuyên ngành của Bộ Công thương</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Hoạt động Sở giao dịch hàng hóa</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Hoạt động phát điện, truyền tải, phân phối, bán buôn, bán lẻ, xuất, nhập khẩu điện, tư vấn chuyên ngành điện lực</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Xuất khẩu gạo</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tạm nhập, tái xuất hàng hóa có thuế tiêu thụ đặc biệt</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tạm nhập, tái xuất hàng thực phẩm đông lạnh</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tạm nhập, tái xuất hàng hóa thuộc Danh mục hàng hóa đã qua sử dụng</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Nhượng quyền thương mại</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Lô-gi-stíc</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khoáng sản</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tiền chất công nghiệp</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Hoạt động mua bán hàng hóa và các hoạt động liên quan trực tiếp đến hoạt động mua bán hàng hóa của nhà đầu tư nước ngoài, tổ chức kinh tế có vốn đầu tư nước ngoài</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theo phương thức bán hàng đa cấp</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Hoạt động thương mại điện tử</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Hoạt động dầu khí</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Kiểm toán năng lượng</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Hoạt động giáo dục nghề nghiệp</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Kiểm định chất lượng giáo dục nghề nghiệp</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 xml:space="preserve">Kinh doanh dịch vụ đánh giá kỹ năng nghề </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 xml:space="preserve">Kinh doanh dịch vụ kiểm định kỹ thuật an toàn lao động </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huấn luyện an toàn lao động, vệ sinh lao động</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việc làm</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đưa người lao động đi làm việc ở nước ngoài</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cai nghiện ma tuý tự nguyện</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cho thuê lại lao động</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vận tải đường bộ</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bảo hành, bảo dưỡng xe ô tô</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jc w:val="both"/>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Sản xuất, lắp ráp, nhập khẩu xe ô tô</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 xml:space="preserve">Kinh doanh dịch vụ kiểm định xe cơ giới </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đào tạo lái xe ô tô</w:t>
            </w:r>
          </w:p>
        </w:tc>
      </w:tr>
      <w:tr w:rsidR="0009591B" w:rsidRPr="00D2653B" w:rsidTr="008446B8">
        <w:trPr>
          <w:trHeight w:val="363"/>
        </w:trPr>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đào tạo thẩm tra viên an toàn giao thông</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 xml:space="preserve">Kinh doanh dịch vụ sát hạch lái xe </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thẩm tra an toàn giao thông</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vận tải đường thủy</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đóng mới, hoán cải, sửa chữa, phục hồi phương tiện thủy nội địa</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đào tạo thuyền viên và người lái phương tiện thủy nội địa</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Đào tạo, huấn luyện thuyền viên hàng hải và tổ chức tuyển dụng, cung ứng thuyền viên hàng hải</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bảo đảm an toàn hàng hải</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vận tải biển, dịch vụ đại lý tàu biển</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lai dắt tàu biển</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Nhập khẩu, phá dỡ tàu biển đã qua sử dụng</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đóng mới, hoán cải, sửa chữa tàu biển</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khai thác cảng biển</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vận tải hàng không</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thiết kế, sản xuất, bảo dưỡng hoặc thử nghiệm tàu bay, động cơ tàu bay, cánh quạt tàu bay và trang bị, thiết bị tàu bay tại Việt Nam</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cảng hàng không, sân bay</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hàng không tại cảng hàng không, sân bay</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bảo đảm hoạt động bay</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đào tạo, huấn luyện nghiệp vụ nhân viên hàng không</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vận tải đường sắt</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kết cấu hạ tầng đường sắt</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đường sắt đô thị</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vận tải đa phương thức</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vận chuyển hàng nguy hiểm</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vận tải đường ống</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bất động sản</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đào tạo, bồi dưỡng kiến thức về môi giới bất động sản, điều hành sàn giao dịch bất động sản</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jc w:val="both"/>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đào tạo, bồi dưỡng kiến thức chuyên môn, nghiệp vụ quản lý vận hành nhà chung cư</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tư vấn quản lý dự án đầu tư xây dựng</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khảo sát xây dựng</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tổ chức thiết kế, thẩm tra thiết kế xây dựng</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tư vấn giám sát thi công xây dựng công trình</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thi công xây dựng công trình</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Hoạt động xây dựng của nhà thầu nước ngoài</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quản lý chi phí đầu tư xây dựng</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kiểm định chất lượng công trình xây dựng</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thí nghiệm chuyên ngành xây dựng</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quản lý, vận hành nhà chung cư</w:t>
            </w:r>
          </w:p>
        </w:tc>
      </w:tr>
      <w:tr w:rsidR="0009591B" w:rsidRPr="00D2653B" w:rsidTr="008446B8">
        <w:trPr>
          <w:trHeight w:val="70"/>
        </w:trPr>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quản lý, vận hành cơ sở hỏa táng</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lập thiết kế quy hoạch xây dựng</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tư vấn lập quy hoạch đô thị do tổ chức, cá nhân nước ngoài thực hiện</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sản phẩm amiang trắng thuộc nhóm Serpentine</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bưu chính</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viễn thông</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chứng thực chữ ký số</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Hoạt động của nhà xuất bản</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in, trừ in bao bì</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phát hành xuất bản phẩm</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mạng xã hội</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trò chơi trên mạng viễn thông, mạng Internet</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phát thanh, truyền hình trả tiền</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thiết lập trang thông tin điện tử tổng hợp</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Dịch vụ gia công, tái chế, sửa chữa, làm mới sản phẩm công nghệ thông tin đã qua sử dụng thuộc danh mục sản phẩm công nghệ thông tin đã qua sử dụng cấm nhập khẩu cho đối tác nước ngoài</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nội dung thông tin trên mạng viễn thông di động, mạng Internet</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đăng ký, duy trì tên miền ".vn"</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sản phẩm và dịch vụ an toàn thông tin mạng</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sản phẩm, dịch vụ mật mã dân sự</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các thiết bị gây nhiễu, phá sóng thông tin di động</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jc w:val="both"/>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Hoạt động của cơ sở giáo dục mầm non</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Hoạt động của cơ sở giáo dục phổ thông</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Hoạt động của cơ sở giáo dục đại học</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 xml:space="preserve">Hoạt động của cơ sở giáo dục có vốn đầu tư nước ngoài, văn phòng đại diện giáo dục nước ngoài tại Việt </w:t>
            </w:r>
            <w:smartTag w:uri="urn:schemas-microsoft-com:office:smarttags" w:element="country-region">
              <w:smartTag w:uri="urn:schemas-microsoft-com:office:smarttags" w:element="place">
                <w:r w:rsidRPr="00D2653B">
                  <w:rPr>
                    <w:color w:val="000000"/>
                    <w:szCs w:val="28"/>
                  </w:rPr>
                  <w:t>Nam</w:t>
                </w:r>
              </w:smartTag>
            </w:smartTag>
            <w:r w:rsidRPr="00D2653B">
              <w:rPr>
                <w:color w:val="000000"/>
                <w:szCs w:val="28"/>
              </w:rPr>
              <w:t>, phân hiệu cơ sở giáo dục có vốn đầu tư nước ngoài</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Hoạt động của cơ sở giáo dục thường xuyên</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jc w:val="both"/>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Hoạt động của các trường chuyên biệt</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jc w:val="both"/>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Hoạt động liên kết đào tạo với nước ngoài</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Kiểm định chất lượng giáo dục</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tư vấn du học</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Khai thác thủy sản</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 xml:space="preserve">Kinh doanh thủy sản </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thức ăn thuỷ sản, thức ăn chăn nuôi</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khảo nghiệm thức ăn thủy sản, thức ăn chăn nuôi</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chế phẩm sinh học, vi sinh vật, hóa chất, chất xử lý cải tạo môi trường trong nuôi trồng thủy sản</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đóng mới, cải hoán tàu cá</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 xml:space="preserve">Nuôi sinh sản, nuôi sinh trưởng, trồng cấy nhân tạo các loài động vật, </w:t>
            </w:r>
            <w:r w:rsidRPr="00D2653B">
              <w:rPr>
                <w:color w:val="000000"/>
                <w:szCs w:val="28"/>
              </w:rPr>
              <w:lastRenderedPageBreak/>
              <w:t>thực vật hoang dã theo Phụ lục của Công ước CITES</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Nuôi sinh sản, nuôi sinh trưởng, trồng cấy nhân tạo các loài động vật, thực vật hoang dã, nguy cấp, quý, hiếm không quy định tại các Phụ lục của Công ước CITES</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Nuôi sinh sản, nuôi sinh trưởng động vật hoang dã thông thường</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Xuất khẩu, nhập khẩu, tái xuất khẩu, quá cảnh và nhập nội từ biển mẫu vật từ tự nhiên quy định tại các Phụ lục của Công ước CITES</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Xuất khẩu, nhập khẩu, tái xuất khẩu mẫu vật nuôi sinh sản, nuôi sinh trưởng, trồng cấy nhân tạo quy định tại các Phụ lục của Công ước CITES</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thực vật rừng, động vật rừng hạn chế khai thác, sử dụng vì mục đích thương mại</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thuốc bảo vệ thực vật</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xử lý vật thể thuộc diện kiểm dịch thực vật</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khảo nghiệm thuốc bảo vệ thực vật</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bảo vệ thực vật</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thuốc thú y, chế phẩm sinh học, vắc xin, vi sinh vật, hóa chất dùng trong thú y</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kỹ thuật về thú y</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xét nghiệm, phẫu thuật động vật</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tiêm phòng, chẩn đoán bệnh, kê đơn, chữa bệnh, chăm sóc sức khỏe động vật</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thử nghiệm, khảo nghiệm thuốc thú y (bao gồm thuốc thú y, thuốc thú y thủy sản, vắc xin, chế phẩm sinh học, vi sinh vật, hóa chất dùng trong thú y, thú y thủy sản)</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chăn nuôi tập trung</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cơ sở giết mổ gia súc, gia cầm</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thực phẩm thuộc lĩnh vực quản lý chuyên ngành của Bộ Nông nghiệp và Phát triển nông thôn</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dịch vụ cách ly kiểm dịch động vật, sản phẩm động vật</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phân bón</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khảo nghiệm phân bón</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giống cây trồng, giống vật nuôi</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giống thủy sản</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khảo nghiệm giống cây trồng, giống vật nuôi</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khảo nghiệm giống thủy sản</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thử nghiệm, khảo nghiệm chế phẩm sinh học, vi sinh vật, hóa chất, chất xử lý cải tạo môi trường trong nuôi trồng thủy sản</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sản phẩm biến đổi gen</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khám bệnh, chữa bệnh</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jc w:val="both"/>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xét nghiệm HIV</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ngân hàng mô</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hỗ trợ sinh sản, lưu giữ tinh trùng, lưu giữ phôi</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xét nghiệm vi sinh vật gây bệnh truyền nhiễm</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tiêm chủng</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điều trị nghiện chất dạng thuốc phiện bằng thuốc thay thế</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phẫu thuật thẩm mỹ</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thực hiện kỹ thuật mang thai hộ</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dược</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Sản xuất mỹ phẩm</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hóa chất, chế phẩm diệt côn trùng, diệt khuẩn dùng trong lĩnh vực gia dụng y tế</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thực phẩm thuộc lĩnh vực quản lý chuyên ngành của Bộ Y tế</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trang thiết bị y tế</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Hoạt động của cơ sở phân loại trang thiết bị y tế</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kiểm định trang thiết bị y tế</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jc w:val="both"/>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giám định về sở hữu trí tuệ (bao gồm: giám định về quyền tác giả và quyền liên quan, giám định sở hữu công nghiệp và giám định về quyền đối với giống cây trồng)</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tiến hành công việc bức xạ</w:t>
            </w:r>
          </w:p>
        </w:tc>
      </w:tr>
      <w:tr w:rsidR="0009591B" w:rsidRPr="00D2653B" w:rsidTr="008446B8">
        <w:trPr>
          <w:trHeight w:val="583"/>
        </w:trPr>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hỗ trợ ứng dụng năng lượng nguyên tử</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 xml:space="preserve">Kinh doanh dịch vụ đánh giá sự phù hợp </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kiểm định, hiệu chuẩn, thử nghiệm phương tiện đo, chuẩn đo lường</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strike/>
                <w:color w:val="000000"/>
                <w:szCs w:val="28"/>
              </w:rPr>
            </w:pPr>
            <w:r w:rsidRPr="00D2653B">
              <w:rPr>
                <w:color w:val="000000"/>
                <w:szCs w:val="28"/>
              </w:rPr>
              <w:t>Sản xuất mũ bảo hiểm cho người đi mô tô, xe máy</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đánh giá, định giá và giám định công nghệ</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đại diện quyền sở hữu trí tuệ</w:t>
            </w:r>
          </w:p>
        </w:tc>
      </w:tr>
      <w:tr w:rsidR="0009591B" w:rsidRPr="00D2653B" w:rsidTr="008446B8">
        <w:tc>
          <w:tcPr>
            <w:tcW w:w="675" w:type="dxa"/>
          </w:tcPr>
          <w:p w:rsidR="0009591B" w:rsidRPr="00D2653B" w:rsidRDefault="0009591B" w:rsidP="008446B8">
            <w:pPr>
              <w:pStyle w:val="ListParagraph"/>
              <w:numPr>
                <w:ilvl w:val="0"/>
                <w:numId w:val="1"/>
              </w:numPr>
              <w:spacing w:before="80" w:after="80"/>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dịch vụ sản xuất, phát hành và phổ biến phim</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giám định cổ vật</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lập quy hoạch dự án hoặc tổ chức thi công, giám sát thi công dự án bảo quản, tu bổ và phục hồi di tích</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karaoke, vũ trường</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lữ hành</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hoạt động thể thao của doanh nghiệp thể thao, câu lạc bộ thể thao chuyên nghiệp</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biểu diễn nghệ thuật, trình diễn thời trang, tổ chức thi người đẹp, người mẫu</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bản ghi âm, ghi hình ca múa nhạc, sân khấu</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lưu trú</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giới thiệu sản phẩm quảng cáo đến công chúng</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Mua bán di vật, cổ vật, bảo vật quốc gia</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 xml:space="preserve">Xuất khẩu di vật, cổ vật không thuộc sở hữu nhà nước, sở hữu của tổ chức chính trị, tổ chức chính trị-xã hội; nhập khẩu hàng hóa văn hóa </w:t>
            </w:r>
            <w:r w:rsidRPr="00D2653B">
              <w:rPr>
                <w:color w:val="000000"/>
                <w:szCs w:val="28"/>
              </w:rPr>
              <w:lastRenderedPageBreak/>
              <w:t>thuộc diện quản lý chuyên ngành của Bộ Văn hóa, Thể thao và Du lịch</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bảo tàng</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trò chơi điện tử (trừ kinh doanh trò chơi điện tử có thưởng dành cho người nước ngoài và kinh doanh trò chơi điện tử có thưởng trên mạng)</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jc w:val="both"/>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tư vấn điều tra, đánh giá đất đai</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về lập quy hoạch, kế hoạch sử dụng đất</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xây dựng hạ tầng kỹ thuật công nghệ thông tin, xây dựng phần mềm của hệ thống thông tin đất đai</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xây dựng cơ sở dữ liệu đất đai</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xác định giá đất</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đo đạc và bản đồ</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dự báo, cảnh báo khí tượng thủy văn</w:t>
            </w:r>
          </w:p>
        </w:tc>
      </w:tr>
      <w:tr w:rsidR="0009591B" w:rsidRPr="00D2653B" w:rsidTr="008446B8">
        <w:tc>
          <w:tcPr>
            <w:tcW w:w="675" w:type="dxa"/>
          </w:tcPr>
          <w:p w:rsidR="0009591B" w:rsidRPr="00D2653B" w:rsidRDefault="0009591B" w:rsidP="008446B8">
            <w:pPr>
              <w:pStyle w:val="ListParagraph"/>
              <w:numPr>
                <w:ilvl w:val="0"/>
                <w:numId w:val="1"/>
              </w:numPr>
              <w:spacing w:before="80" w:after="80"/>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khoan nước dưới đất, thăm dò nước dưới đất</w:t>
            </w:r>
          </w:p>
        </w:tc>
      </w:tr>
      <w:tr w:rsidR="0009591B" w:rsidRPr="00D2653B" w:rsidTr="008446B8">
        <w:tc>
          <w:tcPr>
            <w:tcW w:w="675" w:type="dxa"/>
          </w:tcPr>
          <w:p w:rsidR="0009591B" w:rsidRPr="00D2653B" w:rsidRDefault="0009591B" w:rsidP="008446B8">
            <w:pPr>
              <w:pStyle w:val="ListParagraph"/>
              <w:numPr>
                <w:ilvl w:val="0"/>
                <w:numId w:val="1"/>
              </w:numPr>
              <w:spacing w:before="80" w:after="80"/>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khai thác, sử dụng tài nguyên nước, xả nước thải vào nguồn nước</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điều tra cơ bản, tư vấn lập quy hoạch, đề án, báo cáo tài nguyên nước</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thăm dò khoáng sản</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Khai thác khoáng sản</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vận chuyển, xử lý chất thải nguy hại</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Nhập khẩu phế liệu</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dịch vụ quan trắc môi trường</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chế phẩm sinh học trong xử lý chất thải</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Hoạt động kinh doanh của các ngân hàng thương mại</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Hoạt động kinh doanh của các tổ chức tín dụng phi ngân hàng</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Hoạt động kinh doanh của ngân hàng hợp tác xã, quỹ tín dụng nhân dân, tổ chức tài chính vi mô</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Cung ứng dịch vụ trung gian thanh toán</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Cung ứng dịch vụ thông tin tín dụng</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Hoạt động ngoại hối của tổ chức không phải là tổ chức tín dụng</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Kinh doanh vàng</w:t>
            </w:r>
          </w:p>
        </w:tc>
      </w:tr>
      <w:tr w:rsidR="0009591B" w:rsidRPr="00D2653B" w:rsidTr="008446B8">
        <w:tc>
          <w:tcPr>
            <w:tcW w:w="675" w:type="dxa"/>
          </w:tcPr>
          <w:p w:rsidR="0009591B" w:rsidRPr="00D2653B" w:rsidRDefault="0009591B" w:rsidP="008446B8">
            <w:pPr>
              <w:pStyle w:val="ListParagraph"/>
              <w:numPr>
                <w:ilvl w:val="0"/>
                <w:numId w:val="1"/>
              </w:numPr>
              <w:spacing w:before="80" w:after="80" w:line="240" w:lineRule="auto"/>
              <w:ind w:left="0" w:firstLine="0"/>
              <w:rPr>
                <w:color w:val="000000"/>
                <w:szCs w:val="28"/>
              </w:rPr>
            </w:pPr>
          </w:p>
        </w:tc>
        <w:tc>
          <w:tcPr>
            <w:tcW w:w="8364" w:type="dxa"/>
          </w:tcPr>
          <w:p w:rsidR="0009591B" w:rsidRPr="00D2653B" w:rsidRDefault="0009591B" w:rsidP="008446B8">
            <w:pPr>
              <w:spacing w:before="80" w:after="80" w:line="240" w:lineRule="auto"/>
              <w:jc w:val="both"/>
              <w:rPr>
                <w:color w:val="000000"/>
                <w:szCs w:val="28"/>
              </w:rPr>
            </w:pPr>
            <w:r w:rsidRPr="00D2653B">
              <w:rPr>
                <w:color w:val="000000"/>
                <w:szCs w:val="28"/>
              </w:rPr>
              <w:t xml:space="preserve">Hoạt động in, đúc tiền </w:t>
            </w:r>
          </w:p>
        </w:tc>
      </w:tr>
    </w:tbl>
    <w:p w:rsidR="00CD1E97" w:rsidRDefault="00CD1E97">
      <w:bookmarkStart w:id="1" w:name="_GoBack"/>
      <w:bookmarkEnd w:id="1"/>
    </w:p>
    <w:sectPr w:rsidR="00CD1E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A3B03"/>
    <w:multiLevelType w:val="hybridMultilevel"/>
    <w:tmpl w:val="162CE7A2"/>
    <w:lvl w:ilvl="0" w:tplc="B56A4D82">
      <w:start w:val="1"/>
      <w:numFmt w:val="decimal"/>
      <w:lvlText w:val="%1."/>
      <w:lvlJc w:val="left"/>
      <w:pPr>
        <w:ind w:left="502" w:hanging="36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91B"/>
    <w:rsid w:val="0009591B"/>
    <w:rsid w:val="00CD1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91B"/>
    <w:pPr>
      <w:spacing w:after="160" w:line="259"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9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91B"/>
    <w:pPr>
      <w:spacing w:after="160" w:line="259"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9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2114</Words>
  <Characters>12055</Characters>
  <Application>Microsoft Office Word</Application>
  <DocSecurity>0</DocSecurity>
  <Lines>100</Lines>
  <Paragraphs>28</Paragraphs>
  <ScaleCrop>false</ScaleCrop>
  <Company>Hewlett-Packard Company</Company>
  <LinksUpToDate>false</LinksUpToDate>
  <CharactersWithSpaces>14141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Quan</dc:creator>
  <cp:lastModifiedBy>Pham Quan</cp:lastModifiedBy>
  <cp:revision>1</cp:revision>
  <dcterms:created xsi:type="dcterms:W3CDTF">2016-11-22T09:08:00Z</dcterms:created>
  <dcterms:modified xsi:type="dcterms:W3CDTF">2016-11-22T09:08:00Z</dcterms:modified>
</cp:coreProperties>
</file>