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24D25" w14:textId="0B11582D" w:rsidR="00631249" w:rsidRPr="00171D56" w:rsidRDefault="00C15164" w:rsidP="00631249">
      <w:pPr>
        <w:pStyle w:val="Heading2"/>
        <w:spacing w:before="0" w:after="0"/>
        <w:jc w:val="center"/>
        <w:rPr>
          <w:sz w:val="24"/>
          <w:szCs w:val="24"/>
        </w:rPr>
      </w:pPr>
      <w:r>
        <w:rPr>
          <w:sz w:val="24"/>
          <w:szCs w:val="24"/>
        </w:rPr>
        <w:t xml:space="preserve">Hội nghị Bộ trưởng Tài chính </w:t>
      </w:r>
      <w:r w:rsidR="00631249" w:rsidRPr="00171D56">
        <w:rPr>
          <w:sz w:val="24"/>
          <w:szCs w:val="24"/>
        </w:rPr>
        <w:t>APEC</w:t>
      </w:r>
      <w:r>
        <w:rPr>
          <w:sz w:val="24"/>
          <w:szCs w:val="24"/>
        </w:rPr>
        <w:t xml:space="preserve"> 2017</w:t>
      </w:r>
    </w:p>
    <w:p w14:paraId="00A65AD7" w14:textId="7EBC1E9C" w:rsidR="00631249" w:rsidRPr="00171D56" w:rsidRDefault="00C15164" w:rsidP="00631249">
      <w:pPr>
        <w:pStyle w:val="Heading2"/>
        <w:spacing w:before="0" w:after="0"/>
        <w:jc w:val="center"/>
        <w:rPr>
          <w:sz w:val="24"/>
          <w:szCs w:val="24"/>
        </w:rPr>
      </w:pPr>
      <w:r>
        <w:rPr>
          <w:sz w:val="24"/>
          <w:szCs w:val="24"/>
        </w:rPr>
        <w:t>21 tháng 10,</w:t>
      </w:r>
      <w:r w:rsidR="00631249" w:rsidRPr="00171D56">
        <w:rPr>
          <w:sz w:val="24"/>
          <w:szCs w:val="24"/>
        </w:rPr>
        <w:t xml:space="preserve"> 2017</w:t>
      </w:r>
    </w:p>
    <w:p w14:paraId="08F787C8" w14:textId="50B8B375" w:rsidR="00631249" w:rsidRPr="00171D56" w:rsidRDefault="00C15164" w:rsidP="00631249">
      <w:pPr>
        <w:pStyle w:val="Heading2"/>
        <w:spacing w:before="0" w:after="0"/>
        <w:jc w:val="center"/>
        <w:rPr>
          <w:sz w:val="24"/>
          <w:szCs w:val="24"/>
        </w:rPr>
      </w:pPr>
      <w:r>
        <w:rPr>
          <w:sz w:val="24"/>
          <w:szCs w:val="24"/>
        </w:rPr>
        <w:t>Hội An, Việ</w:t>
      </w:r>
      <w:r w:rsidR="00631249" w:rsidRPr="00171D56">
        <w:rPr>
          <w:sz w:val="24"/>
          <w:szCs w:val="24"/>
        </w:rPr>
        <w:t>t Nam</w:t>
      </w:r>
    </w:p>
    <w:p w14:paraId="1B20B470" w14:textId="77777777" w:rsidR="00631249" w:rsidRPr="00171D56" w:rsidRDefault="00631249" w:rsidP="00631249">
      <w:pPr>
        <w:pStyle w:val="Heading2"/>
        <w:spacing w:before="0" w:after="0"/>
        <w:jc w:val="center"/>
        <w:rPr>
          <w:sz w:val="24"/>
          <w:szCs w:val="24"/>
        </w:rPr>
      </w:pPr>
    </w:p>
    <w:p w14:paraId="50B6F52E" w14:textId="7EF0562B" w:rsidR="00631249" w:rsidRPr="00171D56" w:rsidRDefault="00C15164" w:rsidP="00631249">
      <w:pPr>
        <w:pStyle w:val="Heading2"/>
        <w:spacing w:before="0" w:after="0"/>
        <w:jc w:val="center"/>
        <w:rPr>
          <w:sz w:val="24"/>
          <w:szCs w:val="24"/>
        </w:rPr>
      </w:pPr>
      <w:r>
        <w:rPr>
          <w:sz w:val="24"/>
          <w:szCs w:val="24"/>
        </w:rPr>
        <w:t>Tuyên bố chung của các Bộ trưởng</w:t>
      </w:r>
    </w:p>
    <w:p w14:paraId="15E8C8A8" w14:textId="32B4C5AA" w:rsidR="005A034C" w:rsidRDefault="005A034C" w:rsidP="00EF007E">
      <w:pPr>
        <w:jc w:val="both"/>
        <w:rPr>
          <w:rFonts w:ascii="Times New Roman" w:hAnsi="Times New Roman" w:cs="Times New Roman"/>
          <w:i/>
          <w:sz w:val="24"/>
          <w:szCs w:val="24"/>
        </w:rPr>
      </w:pPr>
    </w:p>
    <w:p w14:paraId="30AA7067"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1</w:t>
      </w:r>
      <w:r w:rsidRPr="00C15164">
        <w:rPr>
          <w:rFonts w:ascii="Times New Roman" w:hAnsi="Times New Roman" w:cs="Times New Roman"/>
          <w:sz w:val="24"/>
          <w:szCs w:val="24"/>
        </w:rPr>
        <w:tab/>
        <w:t>Chúng tôi, các Bộ trưởng Tài chính của các nền kinh tế của khu vực Hợp tác kinh tế châu Á - Thái Bình Dương tổ chức Hội nghị lần thứ 24 tại Hội An, Quảng Nam, Việt Nam vào ngày 21/10/2017 dưới sự chủ trì của Ngài Bộ trưởng Tài chính Việt Nam Đinh Tiến Dũng.</w:t>
      </w:r>
    </w:p>
    <w:p w14:paraId="15A6FAE9" w14:textId="58C95FC0"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b/>
          <w:sz w:val="24"/>
          <w:szCs w:val="24"/>
        </w:rPr>
        <w:t>Kinh tế toàn cầu và khu vực</w:t>
      </w:r>
    </w:p>
    <w:p w14:paraId="41F467CE"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2</w:t>
      </w:r>
      <w:r w:rsidRPr="00C15164">
        <w:rPr>
          <w:rFonts w:ascii="Times New Roman" w:hAnsi="Times New Roman" w:cs="Times New Roman"/>
          <w:sz w:val="24"/>
          <w:szCs w:val="24"/>
        </w:rPr>
        <w:tab/>
        <w:t xml:space="preserve">Chúng tôi đã thảo luận về viễn cảnh kinh tế tài chính mà các nền kinh tế đang đối mặt, và chia sẻ quan điểm về các hành động chính sách phù hợp. Viễn cảnh tăng trưởng kinh tế toàn cầu trong ngắn hạn là khá lạc quan, với sự phục hồi trên diện rộng cả ở các thị trường mới nổi và các nền kinh tế phát triển. Trong trung hạn, rủi ro về thắt chặt các điều kiện tài chính toàn cầu vẫn tồn tại và tăng trưởng năng suất lao động chậm lại sẽ tiếp tục cản trở tăng trưởng bền vững. Chúng tôi cam kết sẽ tiếp tục tập trung vào những hoạt động ưu tiên và hợp tác về kinh tế và tài chính để thúc đẩy tăng trưởng, hướng tới mục tiêu cùng vun đắp tương lai chung. </w:t>
      </w:r>
    </w:p>
    <w:p w14:paraId="583F154A"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3</w:t>
      </w:r>
      <w:r w:rsidRPr="00C15164">
        <w:rPr>
          <w:rFonts w:ascii="Times New Roman" w:hAnsi="Times New Roman" w:cs="Times New Roman"/>
          <w:sz w:val="24"/>
          <w:szCs w:val="24"/>
        </w:rPr>
        <w:tab/>
        <w:t xml:space="preserve">Chúng tôi cam kết sử dụng các công cụ chính sách – cả tiền tệ, tài khóa và cơ cấu - ở cấp độ quốc gia cũng như phối hợp chung để đạt được mục tiêu tăng trưởng mạnh mẽ, bền vững, cân bằng và bao trùm. Chính sách tài khoá phù hợp với hoàn cảnh của mỗi nền kinh tế cần được sử dụng một cách linh hoạt, hỗ trợ tăng trưởng, trong khi vẫn đảm bảo tỷ lệ nợ công trên GDP duy trì ở mức bền vững. Chính sách tiền tệ tiếp tục hỗ trợ cho các hoạt động kinh tế, đảm bảo ổn định giá cả, phù hợp với các chức năng của ngân hàng trung ương. Các nền tảng cơ bản vững chắc, các chính sách lành mạnh và một hệ thống tiền tệ quốc tế bền vững là các yếu tố cơ bản của tỷ giá ổn định, đóng góp vào tăng trưởng và đầu tư mạnh mẽ và bền vững. Hệ thống tỷ giá linh hoạt, nếu có thể áp dụng, sẽ giúp làm giảm các cú sốc. Chúng tôi nhận thức rằng tỷ giá linh hoạt quá mức hoặc dao động lộn xộn có thể gây nên tác động bất lợi đối với sự ổn định kinh tế và tài chính. Chúng tôi sẽ từ bỏ việc phá giá cho mục tiêu cạnh tranh và sẽ không hướng các mục tiêu tỷ giá vào mục tiêu cạnh tranh. Chúng tôi tái khẳng định vai trò quan trọng của các chương trình cải cách cơ cấu đối với tăng trưởng mạnh mẽ, bền vững, cân bằng và bao trùm. </w:t>
      </w:r>
    </w:p>
    <w:p w14:paraId="07208E5B"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4</w:t>
      </w:r>
      <w:r w:rsidRPr="00C15164">
        <w:rPr>
          <w:rFonts w:ascii="Times New Roman" w:hAnsi="Times New Roman" w:cs="Times New Roman"/>
          <w:sz w:val="24"/>
          <w:szCs w:val="24"/>
        </w:rPr>
        <w:tab/>
        <w:t xml:space="preserve">Chúng tôi khẳng định Tiến trình Bộ trưởng Tài chính APEC là một diễn đàn tích cực để tăng cường hợp tác chính sách và trao đổi kinh nghiệm giữa các nền kinh tế trong khu vực. </w:t>
      </w:r>
    </w:p>
    <w:p w14:paraId="0701DDB4" w14:textId="406B3732"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b/>
          <w:sz w:val="24"/>
          <w:szCs w:val="24"/>
        </w:rPr>
        <w:t>Kế hoạch hành động Cebu</w:t>
      </w:r>
    </w:p>
    <w:p w14:paraId="6DA2EF0C"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5</w:t>
      </w:r>
      <w:r w:rsidRPr="00C15164">
        <w:rPr>
          <w:rFonts w:ascii="Times New Roman" w:hAnsi="Times New Roman" w:cs="Times New Roman"/>
          <w:sz w:val="24"/>
          <w:szCs w:val="24"/>
        </w:rPr>
        <w:tab/>
        <w:t xml:space="preserve">Chúng tôi hoan nghênh nỗ lực của các nền kinh tế thành viên trong việc đăng ký và triển khai các hoạt động trong khuôn khổ Kế hoạch hành động Xê-bu (CAP). Chúng tôi </w:t>
      </w:r>
      <w:r w:rsidRPr="00C15164">
        <w:rPr>
          <w:rFonts w:ascii="Times New Roman" w:hAnsi="Times New Roman" w:cs="Times New Roman"/>
          <w:sz w:val="24"/>
          <w:szCs w:val="24"/>
        </w:rPr>
        <w:lastRenderedPageBreak/>
        <w:t>khuyến khích các nền kinh tế thành viên, trên nguyên tắc tự nguyện và không ràng buộc, tiếp tục gửi đăng ký các hoạt động và sáng kiến tương ứng với CAP để triển khai phù hợp với hoàn cảnh trong nước.</w:t>
      </w:r>
    </w:p>
    <w:p w14:paraId="1EB98317"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6</w:t>
      </w:r>
      <w:r w:rsidRPr="00C15164">
        <w:rPr>
          <w:rFonts w:ascii="Times New Roman" w:hAnsi="Times New Roman" w:cs="Times New Roman"/>
          <w:sz w:val="24"/>
          <w:szCs w:val="24"/>
        </w:rPr>
        <w:tab/>
        <w:t>Chúng tôi hoan nghênh sự tham gia tích cực của các tổ chức quốc tế và các diễn đàn phù hợp trong APEC, và khuyến khích các tổ chức này tiếp tục cung cấp hỗ trợ để giúp các nền kinh tế thành viên đạt được các mục tiêu của CAP. Chúng tôi hoan nghênh những đóng góp của  Hội đồng Tư vấn Doanh nghiệp APEC và Diễn đàn Tài chính châu Á – Thái Bình Dương vào việc triển khai CAP, bao gồm cả những khuyến nghị về cơ sở hạ tầng thị trường tài chính và tài chính vi mô. Chúng tôi khuyến khích các đối tác quan tâm tiếp tục phối hợp để thúc đẩy các sáng kiến này trong CAP.</w:t>
      </w:r>
    </w:p>
    <w:p w14:paraId="4DE6DA34" w14:textId="4D6DBE38"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b/>
          <w:sz w:val="24"/>
          <w:szCs w:val="24"/>
        </w:rPr>
        <w:t>Đầu tư dài hạn cho cơ sở hạ tầng</w:t>
      </w:r>
    </w:p>
    <w:p w14:paraId="2C4DD65B"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7</w:t>
      </w:r>
      <w:r w:rsidRPr="00C15164">
        <w:rPr>
          <w:rFonts w:ascii="Times New Roman" w:hAnsi="Times New Roman" w:cs="Times New Roman"/>
          <w:sz w:val="24"/>
          <w:szCs w:val="24"/>
        </w:rPr>
        <w:tab/>
        <w:t>Chúng tôi nhận thức tầm quan trọng của việc huy động các nguồn đầu tư dài hạn cho cơ sở hạ tầng, và của cơ sở hạ tầng chất lượng tốt đối với tăng trưởng kinh tế bền vững. Mặc dù nhận thức vai trò của đầu tư công trong các nền kinh tế APEC, việc đa dạng hóa các nguồn lực tài chính và thúc đẩy sự tham gia của khu vực tư nhân vào các dự án cơ sở hạ tầng là giải pháp quan trọng góp phần đáp ứng nhu cầu cao về nguồn vốn đầu tư dài hạn cho cơ sở hạ tầng.</w:t>
      </w:r>
    </w:p>
    <w:p w14:paraId="41253641"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8</w:t>
      </w:r>
      <w:r w:rsidRPr="00C15164">
        <w:rPr>
          <w:rFonts w:ascii="Times New Roman" w:hAnsi="Times New Roman" w:cs="Times New Roman"/>
          <w:sz w:val="24"/>
          <w:szCs w:val="24"/>
        </w:rPr>
        <w:tab/>
        <w:t xml:space="preserve">Chúng tôi hoan nghênh những nỗ lực và kết quả hợp tác về đầu tư dài hạn cho cơ sở hạ tầng trong năm APEC 2017, thực hiện định hướng theo Trụ cột 4 của CAP. Trên cơ sở đó, chúng tôi thông qua Tuyên bố chính sách về Đa dạng hóa các nguồn lực tài chính và thúc đẩy sự tham gia của khu vực tư nhân cho đầu tư cơ sở hạ tầng tại các nền kinh tế thành viên APEC (Phụ lục A), và khuyến khích các nền kinh tế cân nhắc các kiến nghị nhằm cải thiện nguồn đầu tư dài hạn cho các dự án cơ sở hạ tầng. </w:t>
      </w:r>
    </w:p>
    <w:p w14:paraId="4B9F233F"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9</w:t>
      </w:r>
      <w:r w:rsidRPr="00C15164">
        <w:rPr>
          <w:rFonts w:ascii="Times New Roman" w:hAnsi="Times New Roman" w:cs="Times New Roman"/>
          <w:sz w:val="24"/>
          <w:szCs w:val="24"/>
        </w:rPr>
        <w:tab/>
        <w:t>Nhận thức tầm quan trọng của việc xây dựng các cơ chế chia sẻ rủi ro và áp dụng các công cụ giảm thiểu rủi ro phù hợp là yếu tố quan trọng của một dự án thành công, chúng tôi hoan nghênh báo cáo Các kinh nghiệm tốt về chia sẻ và giảm rủi ro trong các dự án cơ sở hạ tầng tại các nền kinh tế APEC do Tổ chức Hợp tác và Phát triển kinh tế phối hợp với Trung tâm Cơ sở hạ tầng Toàn cầu và Ngân hàng Phát triển châu Á thực hiện, là tài liệu tham khảo hữu ích giúp các nền kinh tế thành viên APEC xây dựng các dự án cơ sở hạ tầng PPP khả thi về tài chính.</w:t>
      </w:r>
    </w:p>
    <w:p w14:paraId="3317F43D"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10</w:t>
      </w:r>
      <w:r w:rsidRPr="00C15164">
        <w:rPr>
          <w:rFonts w:ascii="Times New Roman" w:hAnsi="Times New Roman" w:cs="Times New Roman"/>
          <w:sz w:val="24"/>
          <w:szCs w:val="24"/>
        </w:rPr>
        <w:tab/>
        <w:t>Chúng tôi khuyến khích các nền kinh tế tiếp tục tăng cường hợp tác khu vực, tìm kiếm và phát triển các giải pháp tài chính hiệu quả cho đầu tư cơ sở hạ tầng, thúc đẩy sự tham gia của khu vực tư nhân vào các dự án cơ sở hạ tầng trong khu vực. Chúng tôi kêu gọi Tổ chức Hợp tác và Phát triển kinh tế, Ngân hàng thế giới, Ngân hàng Phát triển châu Á, Trung tâm Cơ sở hạ tầng Toàn cầu và các tổ chức quốc tế khác tiếp tục phối hợp với các nền kinh tế APEC xây dựng các bài học kinh nghiệm tốt, cung cấp hỗ trợ kỹ thuật, xây dựng năng lực cho các nền kinh tế về đầu tư cơ sở hạ tầng.</w:t>
      </w:r>
    </w:p>
    <w:p w14:paraId="3901A586" w14:textId="06274336"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b/>
          <w:sz w:val="24"/>
          <w:szCs w:val="24"/>
        </w:rPr>
        <w:t>Xói mòn cơ sở thuế và chuyển dịch lợi nhuận</w:t>
      </w:r>
    </w:p>
    <w:p w14:paraId="0F37C599"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11</w:t>
      </w:r>
      <w:r w:rsidRPr="00C15164">
        <w:rPr>
          <w:rFonts w:ascii="Times New Roman" w:hAnsi="Times New Roman" w:cs="Times New Roman"/>
          <w:sz w:val="24"/>
          <w:szCs w:val="24"/>
        </w:rPr>
        <w:tab/>
        <w:t>Chúng tôi nhận thức tác động quan trọng của các vấn đề xói mòn cơ sở thuế và chuyển dịch lợi nhuận (BEPS) đến các nền kinh tế thành viên APEC, và sự cần thiết tăng cường hợp tác trong khu vực nhằm chia sẻ kinh nghiệm, cách tiếp cận và các thông lệ tốt nhất trong việc xây dựng chính sách, pháp luật và quản lý thuế, nhằm giải quyết những thách thức về BEPS trong khu vực, đồng thời nâng cao tính chắc chắn, minh bạch và công bằng của hệ thống thuế.</w:t>
      </w:r>
    </w:p>
    <w:p w14:paraId="69A42FBC"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12</w:t>
      </w:r>
      <w:r w:rsidRPr="00C15164">
        <w:rPr>
          <w:rFonts w:ascii="Times New Roman" w:hAnsi="Times New Roman" w:cs="Times New Roman"/>
          <w:sz w:val="24"/>
          <w:szCs w:val="24"/>
        </w:rPr>
        <w:tab/>
        <w:t>Chúng tôi hoan nghênh những nỗ lực của các nền kinh tế APEC trong việc xây dựng chương trình hỗ trợ lẫn nhau, chia sẻ kinh nghiệm về triển khai thực hiện các tiêu chuẩn tối thiểu BEPS và các hành động BEPS có liên quan khác, trong khuôn khổ Diễn đàn hợp tác thực hiện dự án BEPS trong khu vực APEC, được khởi xướng trong năm Chủ tịch của Việt Nam 2017. Chúng tôi sẽ tiếp tục những nỗ lực này trong năm Chủ tịch của Pa-pua Niu Ghi-nê 2018. Chúng tôi đánh giá cao sự hỗ trợ tích cực của các tổ chức quốc tế như Ngân hàng Phát triển châu Á, Quỹ Tiền tệ quốc tế, Tổ chức Hợp tác và Phát triển kinh tế, Ngân hàng thế giới và khuyến khích các tổ chức này tiếp tục các chương trình hỗ trợ cho các nền kinh tế APEC.</w:t>
      </w:r>
    </w:p>
    <w:p w14:paraId="5AC81F21" w14:textId="2B4A326E"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b/>
          <w:sz w:val="24"/>
          <w:szCs w:val="24"/>
        </w:rPr>
        <w:t>Tài chính và Bảo hiểm rủi ro thiên tai</w:t>
      </w:r>
    </w:p>
    <w:p w14:paraId="4A5F1B0A"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13</w:t>
      </w:r>
      <w:r w:rsidRPr="00C15164">
        <w:rPr>
          <w:rFonts w:ascii="Times New Roman" w:hAnsi="Times New Roman" w:cs="Times New Roman"/>
          <w:sz w:val="24"/>
          <w:szCs w:val="24"/>
        </w:rPr>
        <w:tab/>
        <w:t>Chúng tôi nhận thức tầm quan trọng của việc hoàn thiện thể chế, chính sách tài chính về bảo hiểm rủi ro thiên tai trước những tác động ngày càng tăng của thiên tai và những nghĩa vụ dự phòng của các nền kinh tế trong khu vực. Các chiến lược tài chính và bảo hiểm rủi ro thiên tai hiệu quả, bao gồm cả giải pháp quản lý rủi ro tài chính đối với tài sản công, sẽ giảm thiểu và chuyển giao rủi ro, qua đó hỗ trợ tốt hơn và kịp thời cho công tác phục hồi và tái thiết khi xảy ra thiên tai.</w:t>
      </w:r>
    </w:p>
    <w:p w14:paraId="3D9D379C"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14</w:t>
      </w:r>
      <w:r w:rsidRPr="00C15164">
        <w:rPr>
          <w:rFonts w:ascii="Times New Roman" w:hAnsi="Times New Roman" w:cs="Times New Roman"/>
          <w:sz w:val="24"/>
          <w:szCs w:val="24"/>
        </w:rPr>
        <w:tab/>
        <w:t>Trong bối cảnh các thách thức về thông tin và dữ liệu rủi ro ở nhiều nền kinh tế APEC trong việc đánh giá các nghĩa vụ dự phòng tài chính liên quan đến thiên tai và các tác động đối với tài sản công, chúng tôi hoan nghênh các kết quả hợp tác về tài chính và bảo hiểm rủi ro thiên tai trong năm 2017. Đặc biệt, chúng tôi hoan nghênh báo cáo về Phương pháp phát triển hệ thống cơ sở dữ liệu tài sản công và cơ sở dữ liệu bảo hiểm; và báo cáo Quản lý tài chính tài sản công ứng phó với thiên tai trong khu vực APEC do Ngân hàng thế giới phối hợp với các nền kinh tế APEC thực hiện, là nguồn tham khảo tốt cho các nền kinh tế; và báo cáo Nghĩa vụ nợ dự phòng ứng phó với thiên tai trong khuôn khổ tài chính công, do Ngân hàng thế giới và Tổ chức Hợp tác và Phát triển kinh tế phối hợp với Ngân hàng Phát triển châu Á và sự tham gia tích cực của một số nền kinh tế thành viên cùng xây dựng, được coi là một tài liệu tham khảo tốt. Chúng tôi mong muốn sẽ tiếp tục thảo luận các khuyến nghị trong báo cáo này trong năm 2018. Chúng tôi khuyến khích các nền kinh tế tiếp tục thảo luận đưa ra các khuyến nghị trong năm 2018. Chúng tôi khuyến khích các nền kinh tế tiếp tục cải thiện hệ thống thông tin rủi ro phù hợp với hoàn cảnh của từng nền kinh tế. Nhận thức vai trò quan trọng của khu vực tư nhân trong việc cung cấp các công cụ chuyển đổi rủi ro trên thị trường, chúng tôi khuyến khích các nền kinh tế phát triển quan hệ đối tác với khu vực tư nhân để tìm kiếm các giải pháp tiềm năng.</w:t>
      </w:r>
    </w:p>
    <w:p w14:paraId="536B2181"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15</w:t>
      </w:r>
      <w:r w:rsidRPr="00C15164">
        <w:rPr>
          <w:rFonts w:ascii="Times New Roman" w:hAnsi="Times New Roman" w:cs="Times New Roman"/>
          <w:sz w:val="24"/>
          <w:szCs w:val="24"/>
        </w:rPr>
        <w:tab/>
        <w:t xml:space="preserve">Chúng tôi hoan nghênh các hoạt động của Nhóm Công tác về Tài chính ứng phó với rủi ro thiên tai của APEC, với sự hỗ trợ của Ngân hàng thế giới với vai trò điều phối chính, Tổ chức Hợp tác và Phát triển kinh tế và các tổ chức quốc tế khác, và mong đợi việc tiếp tục triển khai kế hoạch hoạt động cho năm 2018. Chúng tôi khuyến khích các nền kinh tế tiếp tục tham gia vào Nhóm Công tác để tăng cường hợp tác khu vực và chia sẻ kiến thức về chương trình này. Chúng tôi hoan nghênh cổng thông tin kiến thức về tài chính ứng phó với rủi ro thiên tai của APEC do Ngân hàng thế giới xây dựng, là tài liệu tham khảo tốt về các chính sách, thông lệ và bài học kinh nghiệm tốt, giúp các nền kinh tế APEC xây dựng các chương trình hiệu quả về tài chính ứng phó với rủi ro thiên tai. Chúng tôi nhất trí tiếp tục tăng cường hợp tác và trao đổi kiến thức về tài chính ứng phó rủi ro thiên tai, đặc biệt là quản lý rủi ro tài chính đối với tài sản công. </w:t>
      </w:r>
    </w:p>
    <w:p w14:paraId="4FF136CB" w14:textId="587D6832"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b/>
          <w:sz w:val="24"/>
          <w:szCs w:val="24"/>
        </w:rPr>
        <w:t>Tài chính bao trùm</w:t>
      </w:r>
    </w:p>
    <w:p w14:paraId="73CFD6EB"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16</w:t>
      </w:r>
      <w:r w:rsidRPr="00C15164">
        <w:rPr>
          <w:rFonts w:ascii="Times New Roman" w:hAnsi="Times New Roman" w:cs="Times New Roman"/>
          <w:sz w:val="24"/>
          <w:szCs w:val="24"/>
        </w:rPr>
        <w:tab/>
        <w:t>Chúng tôi ghi nhận tầm quan trọng của tài chính bao trùm và đánh giá cao những nỗ lực phối hợp của các nền kinh tế thành viên và các đối tác quốc tế đối với sự phát triển bền vững, sáng tạo và bao trùm của dịch vụ tài chính trong khu vực. Theo đó, chúng tôi hoan nghênh báo cáo tiến độ của Tổ chức Hợp tác và Phát triển kinh tế và Mạng lưới quốc tế về Giáo dục tài chính về nâng cao nhận thức về tài chính và bảo vệ người tiêu dùng trong các nền kinh tế APEC và mong sớm hoàn thành bản báo cáo cuối cùng.</w:t>
      </w:r>
    </w:p>
    <w:p w14:paraId="0774F906"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17</w:t>
      </w:r>
      <w:r w:rsidRPr="00C15164">
        <w:rPr>
          <w:rFonts w:ascii="Times New Roman" w:hAnsi="Times New Roman" w:cs="Times New Roman"/>
          <w:sz w:val="24"/>
          <w:szCs w:val="24"/>
        </w:rPr>
        <w:tab/>
        <w:t>Chúng tôi nhận thức tài chính nông nghiệp là một trong những nội dung quan trọng góp phần thúc đẩy phát triển bền vững khu vực nông nghiệp nông thôn, góp phần thu hẹp chệnh lệch thu nhập thông qua việc nâng cao năng lực cho người dân, hỗ trợ kinh doanh hộ gia đình, các doanh nghiệp quy mô siêu nhỏ, nhỏ và vừa, các chuỗi giá trị, hoạt động sản xuất nông nghiệp dựa trên ứng dụng khoa học kỹ thuật tiên tiến. Việc áp dụng các sản phẩm tài chính mới và đa dạng vào lĩnh vực này sẽ giúp cho người dân và doanh nghiệp có điều kiện tiếp cận thuận lợi hơn các sản phẩm và dịch vụ tài chính phù hợp với điều kiện kinh tế. Về phương diện này, chúng tôi đánh giá cao các khuyến nghị của các đối tác phát triển quốc tế, đặc biệt là  Hội đồng Tư vấn Doanh nghiệp APEC, Tổ chức Hợp tác phát triển và Liên minh không dùng tiền mặt nhằm cải thiện và thúc đẩy hơn nữa việc triển khai tài chính bao trùm, ứng dụng thanh toán số phục vụ mục tiêu an ninh lương thực và nông nghiệp bền vững tại các nền kinh tế thành viên. Chúng tôi khuyến khích các nền kinh tế thành viên, trên nguyên tắc tự nguyện và không ràng buộc, cân nhắc những khuyến nghị này để có thể góp phần thực hiện thành công quá trình tái cơ cấu và phát triển một nền nông nghiệp có chất lượng, bền vững.</w:t>
      </w:r>
    </w:p>
    <w:p w14:paraId="2D821434"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18</w:t>
      </w:r>
      <w:r w:rsidRPr="00C15164">
        <w:rPr>
          <w:rFonts w:ascii="Times New Roman" w:hAnsi="Times New Roman" w:cs="Times New Roman"/>
          <w:sz w:val="24"/>
          <w:szCs w:val="24"/>
        </w:rPr>
        <w:tab/>
        <w:t>Chúng tôi ghi nhận tầm quan trọng của cơ sở hạ tầng tài chính, đặc biệt là hệ thống thông tin tín dụng, giao dịch đảm bảo và hệ thống quy định về phá sản cũng như tài chính hỗ trợ thương mại và chuỗi cung ứng. Chúng tôi cũng đề nghị Ngân hàng thế giới, Công ty Tài chính Quốc tế, Hội đồng Tư vấn Doanh nghiệp APEC và các đối tác phát triển quốc tế khác tiếp tục hỗ trợ các nền kinh tế APEC triển khai các sáng kiến nhằm nâng cao hơn nữa hiệu quả cơ sở hạ tầng tài chính trong khu vực và thúc đẩy hợp tác về thông tin tín dụng nhằm hỗ trợ đầu tư và thương mại xuyên biên giới.</w:t>
      </w:r>
    </w:p>
    <w:p w14:paraId="724DCB21" w14:textId="5E1335E1"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b/>
          <w:sz w:val="24"/>
          <w:szCs w:val="24"/>
        </w:rPr>
        <w:t>Các vấn đề khác</w:t>
      </w:r>
    </w:p>
    <w:p w14:paraId="2D76B2B1"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19</w:t>
      </w:r>
      <w:r w:rsidRPr="00C15164">
        <w:rPr>
          <w:rFonts w:ascii="Times New Roman" w:hAnsi="Times New Roman" w:cs="Times New Roman"/>
          <w:sz w:val="24"/>
          <w:szCs w:val="24"/>
        </w:rPr>
        <w:tab/>
        <w:t>Chúng tôi hoan nghênh những bước tiến mới trong việc triển khai sáng kiến Công nhận lẫn nhau về công ty quản lý quỹ Châu Á (ARFP) và khuyến khích các nền kinh tế thành viên cân nhắc tham gia Sáng kiến này để tăng cường hội nhập tài chính. Chúng tôi khuyến khích các nền kinh tế thành viên đã tham gia điều chỉnh các chính sách trong nước phù hợp, nhằm triển khai có hiệu quả sáng kiến ARFP, đồng thời khuyến khích các nền kinh tế còn lại tham gia sáng kiến nhằm mục tiêu thúc đẩy hội nhập tài chính khu vực APEC.</w:t>
      </w:r>
    </w:p>
    <w:p w14:paraId="3DB1F3F6"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20</w:t>
      </w:r>
      <w:r w:rsidRPr="00C15164">
        <w:rPr>
          <w:rFonts w:ascii="Times New Roman" w:hAnsi="Times New Roman" w:cs="Times New Roman"/>
          <w:sz w:val="24"/>
          <w:szCs w:val="24"/>
        </w:rPr>
        <w:tab/>
        <w:t>Chúng tôi hoan nghênh sự phối hợp và hợp tác tích cực giữa các quan chức kinh tế cao cấp (SOM) và các quan chức tài chính cao cấp (SFOM) trong năm nay, giúp thúc đẩy sự nhất quán trong các hoạt động của APEC và đảm bảo rằng hai tiến trình hỗ trợ chặt chẽ cho nhau. Do vậy, chúng tôi khuyến khích việc xây dựng Chương trình nghị sự Thúc đẩy bao trùm về Kinh tế, Tài chính và Xã hội. Chúng tôi đề nghị các quan chức tài chính cao cấp hợp tác chặt chẽ hơn nữa với các quan chức cao cấp kinh tế để hoàn thiện Chương trình này.</w:t>
      </w:r>
    </w:p>
    <w:p w14:paraId="6EE8FF07"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21</w:t>
      </w:r>
      <w:r w:rsidRPr="00C15164">
        <w:rPr>
          <w:rFonts w:ascii="Times New Roman" w:hAnsi="Times New Roman" w:cs="Times New Roman"/>
          <w:sz w:val="24"/>
          <w:szCs w:val="24"/>
        </w:rPr>
        <w:tab/>
        <w:t>Chúng tôi hoan nghênh Kế hoạch hành động chung giữa các quan chức tài chính và quan chức Ủy ban kinh tế APEC trong năm nay và mong đợi tiếp tục phối hợp hơn nữa nhằm triển khai xây dựng Báo cáo Chính sách Kinh tế APEC 2018 về Cải cách cơ cấu và cơ sở hạ tầng. Chúng tôi khuyến khích các quan chức tài chính tiếp tục phối hợp với Ủy ban kinh tế APEC triển khai các hoạt động chung trong năm 2018.</w:t>
      </w:r>
    </w:p>
    <w:p w14:paraId="7B8CA780"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22</w:t>
      </w:r>
      <w:r w:rsidRPr="00C15164">
        <w:rPr>
          <w:rFonts w:ascii="Times New Roman" w:hAnsi="Times New Roman" w:cs="Times New Roman"/>
          <w:sz w:val="24"/>
          <w:szCs w:val="24"/>
        </w:rPr>
        <w:tab/>
        <w:t>Chúng tôi hoan nghênh các cuộc đối thoại giữa các quan chức tài chính của Diễn đàn Sáng kiến ​​Khoa học Đời sống và Nhóm Công tác Y tế APEC để đánh giá các tác động về kinh tế và tài khóa do vấn đề bệnh dịch và già hóa trong các nền kinh tế APEC. Chúng tôi khuyến khích các nền kinh tế có quan tâm tiếp tục thảo luận để trao đổi về các thông lệ tốt và các giải pháp sáng tạo bền vững để tài trợ cho y tế.</w:t>
      </w:r>
    </w:p>
    <w:p w14:paraId="5E02D25C"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23</w:t>
      </w:r>
      <w:r w:rsidRPr="00C15164">
        <w:rPr>
          <w:rFonts w:ascii="Times New Roman" w:hAnsi="Times New Roman" w:cs="Times New Roman"/>
          <w:sz w:val="24"/>
          <w:szCs w:val="24"/>
        </w:rPr>
        <w:tab/>
        <w:t>Chúng tôi đánh giá cao sự hỗ trợ từ Ngân hàng Phát triển châu Á, Quỹ Tiền tệ quốc tế, Tổ chức Hợp tác và Phát triển kinh tế, Ngân hàng thế giới và  Hội đồng Tư vấn Doanh nghiệp APEC cho Tiến trình Bộ trưởng Tài chính trong năm nay.</w:t>
      </w:r>
    </w:p>
    <w:p w14:paraId="2D4CECD0" w14:textId="77777777" w:rsidR="00C15164" w:rsidRPr="00C15164" w:rsidRDefault="00C15164" w:rsidP="00C15164">
      <w:pPr>
        <w:tabs>
          <w:tab w:val="left" w:pos="945"/>
        </w:tabs>
        <w:ind w:left="380"/>
        <w:jc w:val="both"/>
        <w:rPr>
          <w:rFonts w:ascii="Times New Roman" w:hAnsi="Times New Roman" w:cs="Times New Roman"/>
          <w:sz w:val="24"/>
          <w:szCs w:val="24"/>
        </w:rPr>
      </w:pPr>
      <w:r w:rsidRPr="00C15164">
        <w:rPr>
          <w:rFonts w:ascii="Times New Roman" w:hAnsi="Times New Roman" w:cs="Times New Roman"/>
          <w:sz w:val="24"/>
          <w:szCs w:val="24"/>
        </w:rPr>
        <w:t xml:space="preserve"> 24</w:t>
      </w:r>
      <w:r w:rsidRPr="00C15164">
        <w:rPr>
          <w:rFonts w:ascii="Times New Roman" w:hAnsi="Times New Roman" w:cs="Times New Roman"/>
          <w:sz w:val="24"/>
          <w:szCs w:val="24"/>
        </w:rPr>
        <w:tab/>
        <w:t>Chúng tôi cảm ơn Việt Nam đã đăng cai tổ chức Tiến trình Bộ trưởng Tài chính APEC 2017. Chúng tôi sẽ gặp lại nhau vào Hội nghị Bộ trưởng Tài chính lần thứ 25 tại Pa-pua Niu Ghi-nê vào tháng 10 năm 2018.</w:t>
      </w:r>
    </w:p>
    <w:p w14:paraId="382DF904" w14:textId="77777777" w:rsidR="008C1B40" w:rsidRPr="00171D56" w:rsidRDefault="008C1B40">
      <w:pPr>
        <w:rPr>
          <w:rFonts w:ascii="Times New Roman" w:hAnsi="Times New Roman" w:cs="Times New Roman"/>
          <w:sz w:val="24"/>
          <w:szCs w:val="24"/>
        </w:rPr>
      </w:pPr>
    </w:p>
    <w:p w14:paraId="500CA3D8" w14:textId="77777777" w:rsidR="009173CD" w:rsidRPr="00171D56" w:rsidRDefault="009173CD" w:rsidP="00E259DE">
      <w:pPr>
        <w:rPr>
          <w:rFonts w:ascii="Times New Roman" w:hAnsi="Times New Roman" w:cs="Times New Roman"/>
          <w:sz w:val="24"/>
          <w:szCs w:val="24"/>
        </w:rPr>
        <w:sectPr w:rsidR="009173CD" w:rsidRPr="00171D56" w:rsidSect="00091209">
          <w:headerReference w:type="default" r:id="rId8"/>
          <w:footerReference w:type="default" r:id="rId9"/>
          <w:pgSz w:w="11906" w:h="16838" w:code="9"/>
          <w:pgMar w:top="1134" w:right="1134" w:bottom="1134" w:left="1701" w:header="720" w:footer="420" w:gutter="0"/>
          <w:cols w:space="720"/>
          <w:docGrid w:linePitch="360"/>
        </w:sectPr>
      </w:pPr>
    </w:p>
    <w:p w14:paraId="4EC6DDED" w14:textId="33707CEE" w:rsidR="00C32BCE" w:rsidRPr="00171D56" w:rsidRDefault="00C32BCE" w:rsidP="00C32BCE">
      <w:pPr>
        <w:pStyle w:val="Heading2"/>
        <w:spacing w:before="0" w:after="0"/>
        <w:jc w:val="center"/>
        <w:rPr>
          <w:sz w:val="24"/>
          <w:szCs w:val="24"/>
        </w:rPr>
      </w:pPr>
      <w:bookmarkStart w:id="0" w:name="_GoBack"/>
      <w:bookmarkEnd w:id="0"/>
      <w:r>
        <w:rPr>
          <w:sz w:val="24"/>
          <w:szCs w:val="24"/>
        </w:rPr>
        <w:t xml:space="preserve">Hội nghị Bộ trưởng Tài chính </w:t>
      </w:r>
      <w:r w:rsidRPr="00171D56">
        <w:rPr>
          <w:sz w:val="24"/>
          <w:szCs w:val="24"/>
        </w:rPr>
        <w:t>APEC</w:t>
      </w:r>
      <w:r>
        <w:rPr>
          <w:sz w:val="24"/>
          <w:szCs w:val="24"/>
        </w:rPr>
        <w:t xml:space="preserve"> 2017</w:t>
      </w:r>
    </w:p>
    <w:p w14:paraId="3E3CA3A4" w14:textId="77777777" w:rsidR="00C32BCE" w:rsidRPr="00171D56" w:rsidRDefault="00C32BCE" w:rsidP="00C32BCE">
      <w:pPr>
        <w:pStyle w:val="Heading2"/>
        <w:spacing w:before="0" w:after="0"/>
        <w:jc w:val="center"/>
        <w:rPr>
          <w:sz w:val="24"/>
          <w:szCs w:val="24"/>
        </w:rPr>
      </w:pPr>
      <w:r>
        <w:rPr>
          <w:sz w:val="24"/>
          <w:szCs w:val="24"/>
        </w:rPr>
        <w:t>21 tháng 10,</w:t>
      </w:r>
      <w:r w:rsidRPr="00171D56">
        <w:rPr>
          <w:sz w:val="24"/>
          <w:szCs w:val="24"/>
        </w:rPr>
        <w:t xml:space="preserve"> 2017</w:t>
      </w:r>
    </w:p>
    <w:p w14:paraId="375E9C8D" w14:textId="77777777" w:rsidR="00C32BCE" w:rsidRPr="00171D56" w:rsidRDefault="00C32BCE" w:rsidP="00C32BCE">
      <w:pPr>
        <w:pStyle w:val="Heading2"/>
        <w:spacing w:before="0" w:after="0"/>
        <w:jc w:val="center"/>
        <w:rPr>
          <w:sz w:val="24"/>
          <w:szCs w:val="24"/>
        </w:rPr>
      </w:pPr>
      <w:r>
        <w:rPr>
          <w:sz w:val="24"/>
          <w:szCs w:val="24"/>
        </w:rPr>
        <w:t>Hội An, Việ</w:t>
      </w:r>
      <w:r w:rsidRPr="00171D56">
        <w:rPr>
          <w:sz w:val="24"/>
          <w:szCs w:val="24"/>
        </w:rPr>
        <w:t>t Nam</w:t>
      </w:r>
    </w:p>
    <w:p w14:paraId="43A89C1F" w14:textId="77777777" w:rsidR="00C32BCE" w:rsidRPr="00171D56" w:rsidRDefault="00C32BCE" w:rsidP="00C32BCE">
      <w:pPr>
        <w:pStyle w:val="Heading2"/>
        <w:spacing w:before="0" w:after="0"/>
        <w:jc w:val="center"/>
        <w:rPr>
          <w:sz w:val="24"/>
          <w:szCs w:val="24"/>
        </w:rPr>
      </w:pPr>
    </w:p>
    <w:p w14:paraId="3D3F52CD" w14:textId="367A355E" w:rsidR="009173CD" w:rsidRPr="00DC1B6C" w:rsidRDefault="00C32BCE" w:rsidP="00C32BCE">
      <w:pPr>
        <w:pStyle w:val="Heading2"/>
        <w:spacing w:before="0" w:after="0"/>
        <w:jc w:val="center"/>
        <w:rPr>
          <w:sz w:val="24"/>
          <w:szCs w:val="24"/>
        </w:rPr>
      </w:pPr>
      <w:r>
        <w:rPr>
          <w:sz w:val="24"/>
          <w:szCs w:val="24"/>
        </w:rPr>
        <w:t>Tuyên bố chung của các Bộ trưởng</w:t>
      </w:r>
    </w:p>
    <w:p w14:paraId="2DBC368E" w14:textId="693B0F7B" w:rsidR="00C32BCE" w:rsidRDefault="00C32BCE" w:rsidP="009173CD">
      <w:pPr>
        <w:pStyle w:val="Heading2"/>
        <w:spacing w:before="0" w:after="0"/>
        <w:jc w:val="center"/>
        <w:rPr>
          <w:sz w:val="24"/>
          <w:szCs w:val="24"/>
        </w:rPr>
      </w:pPr>
      <w:r>
        <w:rPr>
          <w:sz w:val="24"/>
          <w:szCs w:val="24"/>
        </w:rPr>
        <w:t>Phụ lục</w:t>
      </w:r>
      <w:r w:rsidR="009173CD" w:rsidRPr="00171D56">
        <w:rPr>
          <w:sz w:val="24"/>
          <w:szCs w:val="24"/>
        </w:rPr>
        <w:t xml:space="preserve"> A. </w:t>
      </w:r>
      <w:r>
        <w:rPr>
          <w:sz w:val="24"/>
          <w:szCs w:val="24"/>
        </w:rPr>
        <w:t>Đa dạng hóa các nguồn lực tài chính và thúc đẩy sự tham gia của khu vực tư nhân vào đầu tư cơ sở hạ tầng trong các nền kinh tế APEC</w:t>
      </w:r>
    </w:p>
    <w:p w14:paraId="2BB969D6" w14:textId="77777777" w:rsidR="00EF007E" w:rsidRDefault="00EF007E" w:rsidP="00EF007E">
      <w:pPr>
        <w:tabs>
          <w:tab w:val="left" w:pos="534"/>
        </w:tabs>
        <w:rPr>
          <w:rFonts w:ascii="Times New Roman" w:eastAsia="Times New Roman" w:hAnsi="Times New Roman" w:cs="Times New Roman"/>
          <w:color w:val="000000"/>
          <w:sz w:val="24"/>
        </w:rPr>
      </w:pPr>
    </w:p>
    <w:p w14:paraId="6C55F4D2" w14:textId="77777777"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sz w:val="24"/>
          <w:szCs w:val="24"/>
        </w:rPr>
        <w:t>1</w:t>
      </w:r>
      <w:r w:rsidRPr="00C15164">
        <w:rPr>
          <w:rFonts w:ascii="Times New Roman" w:hAnsi="Times New Roman" w:cs="Times New Roman"/>
          <w:sz w:val="24"/>
          <w:szCs w:val="24"/>
        </w:rPr>
        <w:tab/>
        <w:t>Chúng tôi, các Bộ trưởng Tài chí</w:t>
      </w:r>
      <w:r w:rsidRPr="00C15164">
        <w:rPr>
          <w:rFonts w:ascii="Times New Roman" w:hAnsi="Times New Roman" w:cs="Times New Roman"/>
          <w:sz w:val="24"/>
          <w:szCs w:val="24"/>
          <w:lang w:val="de-DE"/>
        </w:rPr>
        <w:t xml:space="preserve">nh </w:t>
      </w:r>
      <w:r w:rsidRPr="00C15164">
        <w:rPr>
          <w:rFonts w:ascii="Times New Roman" w:hAnsi="Times New Roman" w:cs="Times New Roman"/>
          <w:sz w:val="24"/>
          <w:szCs w:val="24"/>
        </w:rPr>
        <w:t>các nề</w:t>
      </w:r>
      <w:r w:rsidRPr="00C15164">
        <w:rPr>
          <w:rFonts w:ascii="Times New Roman" w:hAnsi="Times New Roman" w:cs="Times New Roman"/>
          <w:sz w:val="24"/>
          <w:szCs w:val="24"/>
          <w:lang w:val="nl-NL"/>
        </w:rPr>
        <w:t>n kinh t</w:t>
      </w:r>
      <w:r w:rsidRPr="00C15164">
        <w:rPr>
          <w:rFonts w:ascii="Times New Roman" w:hAnsi="Times New Roman" w:cs="Times New Roman"/>
          <w:sz w:val="24"/>
          <w:szCs w:val="24"/>
        </w:rPr>
        <w:t xml:space="preserve">ế </w:t>
      </w:r>
      <w:r w:rsidRPr="00C15164">
        <w:rPr>
          <w:rFonts w:ascii="Times New Roman" w:hAnsi="Times New Roman" w:cs="Times New Roman"/>
          <w:sz w:val="24"/>
          <w:szCs w:val="24"/>
          <w:lang w:val="nl-NL"/>
        </w:rPr>
        <w:t>APEC, nhận thức được tính phức tạp của tài chính cho cơ sở hạ tầng và vai trò của khu vực tư nhân trong đầu tư cơ sở hạ tầng, nh</w:t>
      </w:r>
      <w:r w:rsidRPr="00C15164">
        <w:rPr>
          <w:rFonts w:ascii="Times New Roman" w:hAnsi="Times New Roman" w:cs="Times New Roman"/>
          <w:sz w:val="24"/>
          <w:szCs w:val="24"/>
        </w:rPr>
        <w:t>ất trí với tuyên bố chí</w:t>
      </w:r>
      <w:r w:rsidRPr="00C15164">
        <w:rPr>
          <w:rFonts w:ascii="Times New Roman" w:hAnsi="Times New Roman" w:cs="Times New Roman"/>
          <w:sz w:val="24"/>
          <w:szCs w:val="24"/>
          <w:lang w:val="pt-PT"/>
        </w:rPr>
        <w:t>nh s</w:t>
      </w:r>
      <w:r w:rsidRPr="00C15164">
        <w:rPr>
          <w:rFonts w:ascii="Times New Roman" w:hAnsi="Times New Roman" w:cs="Times New Roman"/>
          <w:sz w:val="24"/>
          <w:szCs w:val="24"/>
        </w:rPr>
        <w:t xml:space="preserve">ách và ủng hộ việc thực hiện, trên cơ sở tự nguyện và không bắt buộc, cụ thể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ư sau:</w:t>
      </w:r>
    </w:p>
    <w:p w14:paraId="389E06D6" w14:textId="31A4202D"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b/>
          <w:sz w:val="24"/>
          <w:szCs w:val="24"/>
        </w:rPr>
        <w:t>Đa dạng hoá nguồ</w:t>
      </w:r>
      <w:r w:rsidRPr="00C15164">
        <w:rPr>
          <w:rFonts w:ascii="Times New Roman" w:hAnsi="Times New Roman" w:cs="Times New Roman"/>
          <w:b/>
          <w:sz w:val="24"/>
          <w:szCs w:val="24"/>
          <w:lang w:val="es-ES_tradnl"/>
        </w:rPr>
        <w:t>n l</w:t>
      </w:r>
      <w:r w:rsidRPr="00C15164">
        <w:rPr>
          <w:rFonts w:ascii="Times New Roman" w:hAnsi="Times New Roman" w:cs="Times New Roman"/>
          <w:b/>
          <w:sz w:val="24"/>
          <w:szCs w:val="24"/>
        </w:rPr>
        <w:t xml:space="preserve">ực và công cụ đầu tư </w:t>
      </w:r>
      <w:r w:rsidRPr="00C15164">
        <w:rPr>
          <w:rFonts w:ascii="Times New Roman" w:hAnsi="Times New Roman" w:cs="Times New Roman"/>
          <w:b/>
          <w:sz w:val="24"/>
          <w:szCs w:val="24"/>
          <w:lang w:val="es-ES_tradnl"/>
        </w:rPr>
        <w:t>cho cơ sở hạ tầng</w:t>
      </w:r>
    </w:p>
    <w:p w14:paraId="217924F9" w14:textId="77777777" w:rsidR="00C15164" w:rsidRPr="00C15164" w:rsidRDefault="00C15164" w:rsidP="00C15164">
      <w:pPr>
        <w:tabs>
          <w:tab w:val="left" w:pos="558"/>
        </w:tabs>
        <w:rPr>
          <w:rFonts w:ascii="Times New Roman" w:hAnsi="Times New Roman" w:cs="Times New Roman"/>
          <w:sz w:val="24"/>
          <w:szCs w:val="24"/>
          <w:lang w:val="it-IT"/>
        </w:rPr>
      </w:pPr>
      <w:r w:rsidRPr="00C15164">
        <w:rPr>
          <w:rFonts w:ascii="Times New Roman" w:hAnsi="Times New Roman" w:cs="Times New Roman"/>
          <w:sz w:val="24"/>
          <w:szCs w:val="24"/>
        </w:rPr>
        <w:t>2</w:t>
      </w:r>
      <w:r w:rsidRPr="00C15164">
        <w:rPr>
          <w:rFonts w:ascii="Times New Roman" w:hAnsi="Times New Roman" w:cs="Times New Roman"/>
          <w:sz w:val="24"/>
          <w:szCs w:val="24"/>
        </w:rPr>
        <w:tab/>
      </w:r>
      <w:r w:rsidRPr="00C15164">
        <w:rPr>
          <w:rFonts w:ascii="Times New Roman" w:hAnsi="Times New Roman" w:cs="Times New Roman"/>
          <w:sz w:val="24"/>
          <w:szCs w:val="24"/>
          <w:lang w:val="it-IT"/>
        </w:rPr>
        <w:t>Việc phân tích các công cụ đầu tư đa dạng là yếu tố quan trọng làm cơ sở cho việc xác định các cách tiếp cận hiệu quả, công cụ và cách thức giúp mở rộng các khả năng lựa chọn tài chính cho các dự án cơ sở hạ tầng, gia tăng và đa dạng hoá nhà đầu tư. Việc phân tích cũng sẽ góp phần làm giảm chi phí huy động vốn đầu tư và gia tăng nguồn lực đầu tư vào các lĩnh vực cơ sở hạ tầng hoặc theo từng khu vực còn tồn tại lỗ hổng tài chính. Việc hình thành các thị trường vốn tại các nền kinh tế, đặc biệt là các thị trường nợ và tài sản tài chính, là bước đi quan trọng trong việc huy động các nguồn lực dài hạn cho các dự án cơ sở hạ tầng và gia tăng các lựa chọn cho chính phủ. Thông qua việc sử dụng cơ chế “tài trợ hỗn hợp” - sử dụng nguồn tài chính công kết hợp với huy động thêm các nguồn đầu tư từ khu vực tư nhân - chính phủ có thể giảm rủi ro và gia tăng nguồn đầu tư tư nhân vào cơ sở hạ tầng</w:t>
      </w:r>
      <w:r w:rsidRPr="00C15164">
        <w:rPr>
          <w:rStyle w:val="FootnoteReference"/>
          <w:rFonts w:ascii="Times New Roman" w:hAnsi="Times New Roman" w:cs="Times New Roman"/>
          <w:sz w:val="24"/>
          <w:szCs w:val="24"/>
          <w:lang w:val="it-IT"/>
        </w:rPr>
        <w:footnoteReference w:id="1"/>
      </w:r>
      <w:r w:rsidRPr="00C15164">
        <w:rPr>
          <w:rFonts w:ascii="Times New Roman" w:hAnsi="Times New Roman" w:cs="Times New Roman"/>
          <w:sz w:val="24"/>
          <w:szCs w:val="24"/>
          <w:lang w:val="it-IT"/>
        </w:rPr>
        <w:t>.</w:t>
      </w:r>
    </w:p>
    <w:p w14:paraId="3F8C2725" w14:textId="77777777" w:rsidR="00C15164" w:rsidRPr="00C15164" w:rsidRDefault="00C15164" w:rsidP="00C15164">
      <w:pPr>
        <w:tabs>
          <w:tab w:val="left" w:pos="558"/>
        </w:tabs>
        <w:rPr>
          <w:rFonts w:ascii="Times New Roman" w:hAnsi="Times New Roman" w:cs="Times New Roman"/>
          <w:sz w:val="24"/>
          <w:szCs w:val="24"/>
          <w:lang w:val="it-IT"/>
        </w:rPr>
      </w:pPr>
      <w:r w:rsidRPr="00C15164">
        <w:rPr>
          <w:rFonts w:ascii="Times New Roman" w:hAnsi="Times New Roman" w:cs="Times New Roman"/>
          <w:sz w:val="24"/>
          <w:szCs w:val="24"/>
        </w:rPr>
        <w:t>3</w:t>
      </w:r>
      <w:r w:rsidRPr="00C15164">
        <w:rPr>
          <w:rFonts w:ascii="Times New Roman" w:hAnsi="Times New Roman" w:cs="Times New Roman"/>
          <w:sz w:val="24"/>
          <w:szCs w:val="24"/>
        </w:rPr>
        <w:tab/>
      </w:r>
      <w:r w:rsidRPr="00C15164">
        <w:rPr>
          <w:rFonts w:ascii="Times New Roman" w:hAnsi="Times New Roman" w:cs="Times New Roman"/>
          <w:sz w:val="24"/>
          <w:szCs w:val="24"/>
          <w:lang w:val="it-IT"/>
        </w:rPr>
        <w:t>Đối với các công cụ tài sản tài chính, có thể cân nhắc một vài lĩnh vực chủ yếu, bao gồm việc thành lập các thị trường không niêm yết đối với tài sản tài chính cho cơ sở hạ tầng và các quỹ tài sản tài chính (quỹ đầu tư qua biên giới) nhằm tiếp cận các dự án cơ sở hạ tầng trong thị trường nội địa. Các công cụ tài sản tài chính niêm yết, bao gồm các quỹ tín thác, quỹ đóng và quỹ mở, có thể được coi như các công cụ tiềm năng để huy động vốn cho cơ sở hạ tầng trong các nền kinh tế APEC.</w:t>
      </w:r>
    </w:p>
    <w:p w14:paraId="7EC6833D" w14:textId="77777777"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sz w:val="24"/>
          <w:szCs w:val="24"/>
        </w:rPr>
        <w:t>4</w:t>
      </w:r>
      <w:r w:rsidRPr="00C15164">
        <w:rPr>
          <w:rFonts w:ascii="Times New Roman" w:hAnsi="Times New Roman" w:cs="Times New Roman"/>
          <w:sz w:val="24"/>
          <w:szCs w:val="24"/>
        </w:rPr>
        <w:tab/>
      </w:r>
      <w:r w:rsidRPr="00C15164">
        <w:rPr>
          <w:rFonts w:ascii="Times New Roman" w:hAnsi="Times New Roman" w:cs="Times New Roman"/>
          <w:sz w:val="24"/>
          <w:szCs w:val="24"/>
          <w:lang w:val="it-IT"/>
        </w:rPr>
        <w:t>Trong ph</w:t>
      </w:r>
      <w:r w:rsidRPr="00C15164">
        <w:rPr>
          <w:rFonts w:ascii="Times New Roman" w:hAnsi="Times New Roman" w:cs="Times New Roman"/>
          <w:sz w:val="24"/>
          <w:szCs w:val="24"/>
        </w:rPr>
        <w:t>ầ</w:t>
      </w:r>
      <w:r w:rsidRPr="00C15164">
        <w:rPr>
          <w:rFonts w:ascii="Times New Roman" w:hAnsi="Times New Roman" w:cs="Times New Roman"/>
          <w:sz w:val="24"/>
          <w:szCs w:val="24"/>
          <w:lang w:val="es-ES_tradnl"/>
        </w:rPr>
        <w:t>n l</w:t>
      </w:r>
      <w:r w:rsidRPr="00C15164">
        <w:rPr>
          <w:rFonts w:ascii="Times New Roman" w:hAnsi="Times New Roman" w:cs="Times New Roman"/>
          <w:sz w:val="24"/>
          <w:szCs w:val="24"/>
        </w:rPr>
        <w:t>ớ</w:t>
      </w:r>
      <w:r w:rsidRPr="00C15164">
        <w:rPr>
          <w:rFonts w:ascii="Times New Roman" w:hAnsi="Times New Roman" w:cs="Times New Roman"/>
          <w:sz w:val="24"/>
          <w:szCs w:val="24"/>
          <w:lang w:val="it-IT"/>
        </w:rPr>
        <w:t>n c</w:t>
      </w:r>
      <w:r w:rsidRPr="00C15164">
        <w:rPr>
          <w:rFonts w:ascii="Times New Roman" w:hAnsi="Times New Roman" w:cs="Times New Roman"/>
          <w:sz w:val="24"/>
          <w:szCs w:val="24"/>
        </w:rPr>
        <w:t>ác nề</w:t>
      </w:r>
      <w:r w:rsidRPr="00C15164">
        <w:rPr>
          <w:rFonts w:ascii="Times New Roman" w:hAnsi="Times New Roman" w:cs="Times New Roman"/>
          <w:sz w:val="24"/>
          <w:szCs w:val="24"/>
          <w:lang w:val="nl-NL"/>
        </w:rPr>
        <w:t>n kinh t</w:t>
      </w:r>
      <w:r w:rsidRPr="00C15164">
        <w:rPr>
          <w:rFonts w:ascii="Times New Roman" w:hAnsi="Times New Roman" w:cs="Times New Roman"/>
          <w:sz w:val="24"/>
          <w:szCs w:val="24"/>
        </w:rPr>
        <w:t>ế, nguồ</w:t>
      </w:r>
      <w:r w:rsidRPr="00C15164">
        <w:rPr>
          <w:rFonts w:ascii="Times New Roman" w:hAnsi="Times New Roman" w:cs="Times New Roman"/>
          <w:sz w:val="24"/>
          <w:szCs w:val="24"/>
          <w:lang w:val="es-ES_tradnl"/>
        </w:rPr>
        <w:t>n vay ng</w:t>
      </w:r>
      <w:r w:rsidRPr="00C15164">
        <w:rPr>
          <w:rFonts w:ascii="Times New Roman" w:hAnsi="Times New Roman" w:cs="Times New Roman"/>
          <w:sz w:val="24"/>
          <w:szCs w:val="24"/>
        </w:rPr>
        <w:t>ân h</w:t>
      </w:r>
      <w:r w:rsidRPr="00C15164">
        <w:rPr>
          <w:rFonts w:ascii="Times New Roman" w:hAnsi="Times New Roman" w:cs="Times New Roman"/>
          <w:sz w:val="24"/>
          <w:szCs w:val="24"/>
          <w:lang w:val="it-IT"/>
        </w:rPr>
        <w:t>àng th</w:t>
      </w:r>
      <w:r w:rsidRPr="00C15164">
        <w:rPr>
          <w:rFonts w:ascii="Times New Roman" w:hAnsi="Times New Roman" w:cs="Times New Roman"/>
          <w:sz w:val="24"/>
          <w:szCs w:val="24"/>
        </w:rPr>
        <w:t>ươ</w:t>
      </w:r>
      <w:r w:rsidRPr="00C15164">
        <w:rPr>
          <w:rFonts w:ascii="Times New Roman" w:hAnsi="Times New Roman" w:cs="Times New Roman"/>
          <w:sz w:val="24"/>
          <w:szCs w:val="24"/>
          <w:lang w:val="it-IT"/>
        </w:rPr>
        <w:t>ng m</w:t>
      </w:r>
      <w:r w:rsidRPr="00C15164">
        <w:rPr>
          <w:rFonts w:ascii="Times New Roman" w:hAnsi="Times New Roman" w:cs="Times New Roman"/>
          <w:sz w:val="24"/>
          <w:szCs w:val="24"/>
        </w:rPr>
        <w:t>ại l</w:t>
      </w:r>
      <w:r w:rsidRPr="00C15164">
        <w:rPr>
          <w:rFonts w:ascii="Times New Roman" w:hAnsi="Times New Roman" w:cs="Times New Roman"/>
          <w:sz w:val="24"/>
          <w:szCs w:val="24"/>
          <w:lang w:val="it-IT"/>
        </w:rPr>
        <w:t xml:space="preserve">à </w:t>
      </w:r>
      <w:r w:rsidRPr="00C15164">
        <w:rPr>
          <w:rFonts w:ascii="Times New Roman" w:hAnsi="Times New Roman" w:cs="Times New Roman"/>
          <w:sz w:val="24"/>
          <w:szCs w:val="24"/>
        </w:rPr>
        <w:t>nguồn t</w:t>
      </w:r>
      <w:r w:rsidRPr="00C15164">
        <w:rPr>
          <w:rFonts w:ascii="Times New Roman" w:hAnsi="Times New Roman" w:cs="Times New Roman"/>
          <w:sz w:val="24"/>
          <w:szCs w:val="24"/>
          <w:lang w:val="it-IT"/>
        </w:rPr>
        <w:t>ài ch</w:t>
      </w:r>
      <w:r w:rsidRPr="00C15164">
        <w:rPr>
          <w:rFonts w:ascii="Times New Roman" w:hAnsi="Times New Roman" w:cs="Times New Roman"/>
          <w:sz w:val="24"/>
          <w:szCs w:val="24"/>
        </w:rPr>
        <w:t>í</w:t>
      </w:r>
      <w:r w:rsidRPr="00C15164">
        <w:rPr>
          <w:rFonts w:ascii="Times New Roman" w:hAnsi="Times New Roman" w:cs="Times New Roman"/>
          <w:sz w:val="24"/>
          <w:szCs w:val="24"/>
          <w:lang w:val="it-IT"/>
        </w:rPr>
        <w:t>nh ph</w:t>
      </w:r>
      <w:r w:rsidRPr="00C15164">
        <w:rPr>
          <w:rFonts w:ascii="Times New Roman" w:hAnsi="Times New Roman" w:cs="Times New Roman"/>
          <w:sz w:val="24"/>
          <w:szCs w:val="24"/>
        </w:rPr>
        <w:t>ổ biến sử dụ</w:t>
      </w:r>
      <w:r w:rsidRPr="00C15164">
        <w:rPr>
          <w:rFonts w:ascii="Times New Roman" w:hAnsi="Times New Roman" w:cs="Times New Roman"/>
          <w:sz w:val="24"/>
          <w:szCs w:val="24"/>
          <w:lang w:val="it-IT"/>
        </w:rPr>
        <w:t>ng cho c</w:t>
      </w:r>
      <w:r w:rsidRPr="00C15164">
        <w:rPr>
          <w:rFonts w:ascii="Times New Roman" w:hAnsi="Times New Roman" w:cs="Times New Roman"/>
          <w:sz w:val="24"/>
          <w:szCs w:val="24"/>
        </w:rPr>
        <w:t>ác khoả</w:t>
      </w:r>
      <w:r w:rsidRPr="00C15164">
        <w:rPr>
          <w:rFonts w:ascii="Times New Roman" w:hAnsi="Times New Roman" w:cs="Times New Roman"/>
          <w:sz w:val="24"/>
          <w:szCs w:val="24"/>
          <w:lang w:val="es-ES_tradnl"/>
        </w:rPr>
        <w:t xml:space="preserve">n vay </w:t>
      </w:r>
      <w:r w:rsidRPr="00C15164">
        <w:rPr>
          <w:rFonts w:ascii="Times New Roman" w:hAnsi="Times New Roman" w:cs="Times New Roman"/>
          <w:sz w:val="24"/>
          <w:szCs w:val="24"/>
        </w:rPr>
        <w:t xml:space="preserve">đầu tư </w:t>
      </w:r>
      <w:r w:rsidRPr="00C15164">
        <w:rPr>
          <w:rFonts w:ascii="Times New Roman" w:hAnsi="Times New Roman" w:cs="Times New Roman"/>
          <w:sz w:val="24"/>
          <w:szCs w:val="24"/>
          <w:lang w:val="it-IT"/>
        </w:rPr>
        <w:t>cơ sở hạ tầng</w:t>
      </w:r>
      <w:r w:rsidRPr="00C15164">
        <w:rPr>
          <w:rFonts w:ascii="Times New Roman" w:hAnsi="Times New Roman" w:cs="Times New Roman"/>
          <w:sz w:val="24"/>
          <w:szCs w:val="24"/>
        </w:rPr>
        <w:t>. Hệ thống tài chính được chi phối bởi các ngân hàng đồng nghĩa với việc hệ thống ngân hàng sẽ tiềm ẩn rủi ro cao. Việc chi phối này và sự kêu gọi đa dạng hóa nguồn lực tài chính đóng vai trò khuyến khích sự phát triển của thị trường vốn. Nguồ</w:t>
      </w:r>
      <w:r w:rsidRPr="00C15164">
        <w:rPr>
          <w:rFonts w:ascii="Times New Roman" w:hAnsi="Times New Roman" w:cs="Times New Roman"/>
          <w:sz w:val="24"/>
          <w:szCs w:val="24"/>
          <w:lang w:val="es-ES_tradnl"/>
        </w:rPr>
        <w:t>n vay truy</w:t>
      </w:r>
      <w:r w:rsidRPr="00C15164">
        <w:rPr>
          <w:rFonts w:ascii="Times New Roman" w:hAnsi="Times New Roman" w:cs="Times New Roman"/>
          <w:sz w:val="24"/>
          <w:szCs w:val="24"/>
        </w:rPr>
        <w:t>ền thống này c</w:t>
      </w:r>
      <w:r w:rsidRPr="00C15164">
        <w:rPr>
          <w:rFonts w:ascii="Times New Roman" w:hAnsi="Times New Roman" w:cs="Times New Roman"/>
          <w:sz w:val="24"/>
          <w:szCs w:val="24"/>
          <w:lang w:val="es-ES_tradnl"/>
        </w:rPr>
        <w:t xml:space="preserve">ó </w:t>
      </w:r>
      <w:r w:rsidRPr="00C15164">
        <w:rPr>
          <w:rFonts w:ascii="Times New Roman" w:hAnsi="Times New Roman" w:cs="Times New Roman"/>
          <w:sz w:val="24"/>
          <w:szCs w:val="24"/>
        </w:rPr>
        <w:t xml:space="preserve">thể được bổ </w:t>
      </w:r>
      <w:r w:rsidRPr="00C15164">
        <w:rPr>
          <w:rFonts w:ascii="Times New Roman" w:hAnsi="Times New Roman" w:cs="Times New Roman"/>
          <w:sz w:val="24"/>
          <w:szCs w:val="24"/>
          <w:lang w:val="de-DE"/>
        </w:rPr>
        <w:t>sung b</w:t>
      </w:r>
      <w:r w:rsidRPr="00C15164">
        <w:rPr>
          <w:rFonts w:ascii="Times New Roman" w:hAnsi="Times New Roman" w:cs="Times New Roman"/>
          <w:sz w:val="24"/>
          <w:szCs w:val="24"/>
        </w:rPr>
        <w:t>ằng các giải phá</w:t>
      </w:r>
      <w:r w:rsidRPr="00C15164">
        <w:rPr>
          <w:rFonts w:ascii="Times New Roman" w:hAnsi="Times New Roman" w:cs="Times New Roman"/>
          <w:sz w:val="24"/>
          <w:szCs w:val="24"/>
          <w:lang w:val="nl-NL"/>
        </w:rPr>
        <w:t>p m</w:t>
      </w:r>
      <w:r w:rsidRPr="00C15164">
        <w:rPr>
          <w:rFonts w:ascii="Times New Roman" w:hAnsi="Times New Roman" w:cs="Times New Roman"/>
          <w:sz w:val="24"/>
          <w:szCs w:val="24"/>
        </w:rPr>
        <w:t>ớ</w:t>
      </w:r>
      <w:r w:rsidRPr="00C15164">
        <w:rPr>
          <w:rFonts w:ascii="Times New Roman" w:hAnsi="Times New Roman" w:cs="Times New Roman"/>
          <w:sz w:val="24"/>
          <w:szCs w:val="24"/>
          <w:lang w:val="pt-PT"/>
        </w:rPr>
        <w:t>i nh</w:t>
      </w:r>
      <w:r w:rsidRPr="00C15164">
        <w:rPr>
          <w:rFonts w:ascii="Times New Roman" w:hAnsi="Times New Roman" w:cs="Times New Roman"/>
          <w:sz w:val="24"/>
          <w:szCs w:val="24"/>
        </w:rPr>
        <w:t>ư (i) tổng hợp các khoả</w:t>
      </w:r>
      <w:r w:rsidRPr="00C15164">
        <w:rPr>
          <w:rFonts w:ascii="Times New Roman" w:hAnsi="Times New Roman" w:cs="Times New Roman"/>
          <w:sz w:val="24"/>
          <w:szCs w:val="24"/>
          <w:lang w:val="es-ES_tradnl"/>
        </w:rPr>
        <w:t>n vay ng</w:t>
      </w:r>
      <w:r w:rsidRPr="00C15164">
        <w:rPr>
          <w:rFonts w:ascii="Times New Roman" w:hAnsi="Times New Roman" w:cs="Times New Roman"/>
          <w:sz w:val="24"/>
          <w:szCs w:val="24"/>
        </w:rPr>
        <w:t>ân hàng thông qua thị trườ</w:t>
      </w:r>
      <w:r w:rsidRPr="00C15164">
        <w:rPr>
          <w:rFonts w:ascii="Times New Roman" w:hAnsi="Times New Roman" w:cs="Times New Roman"/>
          <w:sz w:val="24"/>
          <w:szCs w:val="24"/>
          <w:lang w:val="nl-NL"/>
        </w:rPr>
        <w:t>ng v</w:t>
      </w:r>
      <w:r w:rsidRPr="00C15164">
        <w:rPr>
          <w:rFonts w:ascii="Times New Roman" w:hAnsi="Times New Roman" w:cs="Times New Roman"/>
          <w:sz w:val="24"/>
          <w:szCs w:val="24"/>
        </w:rPr>
        <w:t>ốn, cho phé</w:t>
      </w:r>
      <w:r w:rsidRPr="00C15164">
        <w:rPr>
          <w:rFonts w:ascii="Times New Roman" w:hAnsi="Times New Roman" w:cs="Times New Roman"/>
          <w:sz w:val="24"/>
          <w:szCs w:val="24"/>
          <w:lang w:val="nl-NL"/>
        </w:rPr>
        <w:t>p c</w:t>
      </w:r>
      <w:r w:rsidRPr="00C15164">
        <w:rPr>
          <w:rFonts w:ascii="Times New Roman" w:hAnsi="Times New Roman" w:cs="Times New Roman"/>
          <w:sz w:val="24"/>
          <w:szCs w:val="24"/>
        </w:rPr>
        <w:t>ác ngân hàng tá</w:t>
      </w:r>
      <w:r w:rsidRPr="00C15164">
        <w:rPr>
          <w:rFonts w:ascii="Times New Roman" w:hAnsi="Times New Roman" w:cs="Times New Roman"/>
          <w:sz w:val="24"/>
          <w:szCs w:val="24"/>
          <w:lang w:val="es-ES_tradnl"/>
        </w:rPr>
        <w:t xml:space="preserve">i huy </w:t>
      </w:r>
      <w:r w:rsidRPr="00C15164">
        <w:rPr>
          <w:rFonts w:ascii="Times New Roman" w:hAnsi="Times New Roman" w:cs="Times New Roman"/>
          <w:sz w:val="24"/>
          <w:szCs w:val="24"/>
        </w:rPr>
        <w:t>độ</w:t>
      </w:r>
      <w:r w:rsidRPr="00C15164">
        <w:rPr>
          <w:rFonts w:ascii="Times New Roman" w:hAnsi="Times New Roman" w:cs="Times New Roman"/>
          <w:sz w:val="24"/>
          <w:szCs w:val="24"/>
          <w:lang w:val="da-DK"/>
        </w:rPr>
        <w:t>ng kho</w:t>
      </w:r>
      <w:r w:rsidRPr="00C15164">
        <w:rPr>
          <w:rFonts w:ascii="Times New Roman" w:hAnsi="Times New Roman" w:cs="Times New Roman"/>
          <w:sz w:val="24"/>
          <w:szCs w:val="24"/>
        </w:rPr>
        <w:t>ả</w:t>
      </w:r>
      <w:r w:rsidRPr="00C15164">
        <w:rPr>
          <w:rFonts w:ascii="Times New Roman" w:hAnsi="Times New Roman" w:cs="Times New Roman"/>
          <w:sz w:val="24"/>
          <w:szCs w:val="24"/>
          <w:lang w:val="de-DE"/>
        </w:rPr>
        <w:t>n v</w:t>
      </w:r>
      <w:r w:rsidRPr="00C15164">
        <w:rPr>
          <w:rFonts w:ascii="Times New Roman" w:hAnsi="Times New Roman" w:cs="Times New Roman"/>
          <w:sz w:val="24"/>
          <w:szCs w:val="24"/>
        </w:rPr>
        <w:t>ố</w:t>
      </w:r>
      <w:r w:rsidRPr="00C15164">
        <w:rPr>
          <w:rFonts w:ascii="Times New Roman" w:hAnsi="Times New Roman" w:cs="Times New Roman"/>
          <w:sz w:val="24"/>
          <w:szCs w:val="24"/>
          <w:lang w:val="es-ES_tradnl"/>
        </w:rPr>
        <w:t>n cho c</w:t>
      </w:r>
      <w:r w:rsidRPr="00C15164">
        <w:rPr>
          <w:rFonts w:ascii="Times New Roman" w:hAnsi="Times New Roman" w:cs="Times New Roman"/>
          <w:sz w:val="24"/>
          <w:szCs w:val="24"/>
        </w:rPr>
        <w:t>ác dự án mới; (ii) phát triển các thị trường tà</w:t>
      </w:r>
      <w:r w:rsidRPr="00C15164">
        <w:rPr>
          <w:rFonts w:ascii="Times New Roman" w:hAnsi="Times New Roman" w:cs="Times New Roman"/>
          <w:sz w:val="24"/>
          <w:szCs w:val="24"/>
          <w:lang w:val="it-IT"/>
        </w:rPr>
        <w:t>i ch</w:t>
      </w:r>
      <w:r w:rsidRPr="00C15164">
        <w:rPr>
          <w:rFonts w:ascii="Times New Roman" w:hAnsi="Times New Roman" w:cs="Times New Roman"/>
          <w:sz w:val="24"/>
          <w:szCs w:val="24"/>
        </w:rPr>
        <w:t>í</w:t>
      </w:r>
      <w:r w:rsidRPr="00C15164">
        <w:rPr>
          <w:rFonts w:ascii="Times New Roman" w:hAnsi="Times New Roman" w:cs="Times New Roman"/>
          <w:sz w:val="24"/>
          <w:szCs w:val="24"/>
          <w:lang w:val="es-ES_tradnl"/>
        </w:rPr>
        <w:t>nh cho d</w:t>
      </w:r>
      <w:r w:rsidRPr="00C15164">
        <w:rPr>
          <w:rFonts w:ascii="Times New Roman" w:hAnsi="Times New Roman" w:cs="Times New Roman"/>
          <w:sz w:val="24"/>
          <w:szCs w:val="24"/>
        </w:rPr>
        <w:t>ự án (ví dụ các trái phiếu dự án) nhằm thêm lự</w:t>
      </w:r>
      <w:r w:rsidRPr="00C15164">
        <w:rPr>
          <w:rFonts w:ascii="Times New Roman" w:hAnsi="Times New Roman" w:cs="Times New Roman"/>
          <w:sz w:val="24"/>
          <w:szCs w:val="24"/>
          <w:lang w:val="it-IT"/>
        </w:rPr>
        <w:t>a ch</w:t>
      </w:r>
      <w:r w:rsidRPr="00C15164">
        <w:rPr>
          <w:rFonts w:ascii="Times New Roman" w:hAnsi="Times New Roman" w:cs="Times New Roman"/>
          <w:sz w:val="24"/>
          <w:szCs w:val="24"/>
        </w:rPr>
        <w:t>ọn thay thế các khoả</w:t>
      </w:r>
      <w:r w:rsidRPr="00C15164">
        <w:rPr>
          <w:rFonts w:ascii="Times New Roman" w:hAnsi="Times New Roman" w:cs="Times New Roman"/>
          <w:sz w:val="24"/>
          <w:szCs w:val="24"/>
          <w:lang w:val="es-ES_tradnl"/>
        </w:rPr>
        <w:t>n vay truy</w:t>
      </w:r>
      <w:r w:rsidRPr="00C15164">
        <w:rPr>
          <w:rFonts w:ascii="Times New Roman" w:hAnsi="Times New Roman" w:cs="Times New Roman"/>
          <w:sz w:val="24"/>
          <w:szCs w:val="24"/>
        </w:rPr>
        <w:t>ền thống; (iii) h</w:t>
      </w:r>
      <w:r w:rsidRPr="00C15164">
        <w:rPr>
          <w:rFonts w:ascii="Times New Roman" w:hAnsi="Times New Roman" w:cs="Times New Roman"/>
          <w:sz w:val="24"/>
          <w:szCs w:val="24"/>
          <w:lang w:val="it-IT"/>
        </w:rPr>
        <w:t>ì</w:t>
      </w:r>
      <w:r w:rsidRPr="00C15164">
        <w:rPr>
          <w:rFonts w:ascii="Times New Roman" w:hAnsi="Times New Roman" w:cs="Times New Roman"/>
          <w:sz w:val="24"/>
          <w:szCs w:val="24"/>
        </w:rPr>
        <w:t>nh thành các tậ</w:t>
      </w:r>
      <w:r w:rsidRPr="00C15164">
        <w:rPr>
          <w:rFonts w:ascii="Times New Roman" w:hAnsi="Times New Roman" w:cs="Times New Roman"/>
          <w:sz w:val="24"/>
          <w:szCs w:val="24"/>
          <w:lang w:val="nl-NL"/>
        </w:rPr>
        <w:t xml:space="preserve">p </w:t>
      </w:r>
      <w:r w:rsidRPr="00C15164">
        <w:rPr>
          <w:rFonts w:ascii="Times New Roman" w:hAnsi="Times New Roman" w:cs="Times New Roman"/>
          <w:sz w:val="24"/>
          <w:szCs w:val="24"/>
        </w:rPr>
        <w:t>đoàn cho vay thô</w:t>
      </w:r>
      <w:r w:rsidRPr="00C15164">
        <w:rPr>
          <w:rFonts w:ascii="Times New Roman" w:hAnsi="Times New Roman" w:cs="Times New Roman"/>
          <w:sz w:val="24"/>
          <w:szCs w:val="24"/>
          <w:lang w:val="pt-PT"/>
        </w:rPr>
        <w:t>ng qua c</w:t>
      </w:r>
      <w:r w:rsidRPr="00C15164">
        <w:rPr>
          <w:rFonts w:ascii="Times New Roman" w:hAnsi="Times New Roman" w:cs="Times New Roman"/>
          <w:sz w:val="24"/>
          <w:szCs w:val="24"/>
        </w:rPr>
        <w:t xml:space="preserve">ác quỹ </w:t>
      </w:r>
      <w:r w:rsidRPr="00C15164">
        <w:rPr>
          <w:rFonts w:ascii="Times New Roman" w:hAnsi="Times New Roman" w:cs="Times New Roman"/>
          <w:sz w:val="24"/>
          <w:szCs w:val="24"/>
          <w:lang w:val="es-ES_tradnl"/>
        </w:rPr>
        <w:t>vay n</w:t>
      </w:r>
      <w:r w:rsidRPr="00C15164">
        <w:rPr>
          <w:rFonts w:ascii="Times New Roman" w:hAnsi="Times New Roman" w:cs="Times New Roman"/>
          <w:sz w:val="24"/>
          <w:szCs w:val="24"/>
        </w:rPr>
        <w:t>ợ được đầu tư trực tiế</w:t>
      </w:r>
      <w:r w:rsidRPr="00C15164">
        <w:rPr>
          <w:rFonts w:ascii="Times New Roman" w:hAnsi="Times New Roman" w:cs="Times New Roman"/>
          <w:sz w:val="24"/>
          <w:szCs w:val="24"/>
          <w:lang w:val="nl-NL"/>
        </w:rPr>
        <w:t>p t</w:t>
      </w:r>
      <w:r w:rsidRPr="00C15164">
        <w:rPr>
          <w:rFonts w:ascii="Times New Roman" w:hAnsi="Times New Roman" w:cs="Times New Roman"/>
          <w:sz w:val="24"/>
          <w:szCs w:val="24"/>
        </w:rPr>
        <w:t>ừ cá</w:t>
      </w:r>
      <w:r w:rsidRPr="00C15164">
        <w:rPr>
          <w:rFonts w:ascii="Times New Roman" w:hAnsi="Times New Roman" w:cs="Times New Roman"/>
          <w:sz w:val="24"/>
          <w:szCs w:val="24"/>
          <w:lang w:val="pt-PT"/>
        </w:rPr>
        <w:t>c nh</w:t>
      </w:r>
      <w:r w:rsidRPr="00C15164">
        <w:rPr>
          <w:rFonts w:ascii="Times New Roman" w:hAnsi="Times New Roman" w:cs="Times New Roman"/>
          <w:sz w:val="24"/>
          <w:szCs w:val="24"/>
        </w:rPr>
        <w:t>à đầu tư thể chế và các đối tác lớ</w:t>
      </w:r>
      <w:r w:rsidRPr="00C15164">
        <w:rPr>
          <w:rFonts w:ascii="Times New Roman" w:hAnsi="Times New Roman" w:cs="Times New Roman"/>
          <w:sz w:val="24"/>
          <w:szCs w:val="24"/>
          <w:lang w:val="pt-PT"/>
        </w:rPr>
        <w:t>n nh</w:t>
      </w:r>
      <w:r w:rsidRPr="00C15164">
        <w:rPr>
          <w:rFonts w:ascii="Times New Roman" w:hAnsi="Times New Roman" w:cs="Times New Roman"/>
          <w:sz w:val="24"/>
          <w:szCs w:val="24"/>
        </w:rPr>
        <w:t>ư các ngân hàng đầu tư khu vực (MDB) và các chính phủ; và (iv) chứ</w:t>
      </w:r>
      <w:r w:rsidRPr="00C15164">
        <w:rPr>
          <w:rFonts w:ascii="Times New Roman" w:hAnsi="Times New Roman" w:cs="Times New Roman"/>
          <w:sz w:val="24"/>
          <w:szCs w:val="24"/>
          <w:lang w:val="da-DK"/>
        </w:rPr>
        <w:t>ng kho</w:t>
      </w:r>
      <w:r w:rsidRPr="00C15164">
        <w:rPr>
          <w:rFonts w:ascii="Times New Roman" w:hAnsi="Times New Roman" w:cs="Times New Roman"/>
          <w:sz w:val="24"/>
          <w:szCs w:val="24"/>
        </w:rPr>
        <w:t>án hoá các khoả</w:t>
      </w:r>
      <w:r w:rsidRPr="00C15164">
        <w:rPr>
          <w:rFonts w:ascii="Times New Roman" w:hAnsi="Times New Roman" w:cs="Times New Roman"/>
          <w:sz w:val="24"/>
          <w:szCs w:val="24"/>
          <w:lang w:val="es-ES_tradnl"/>
        </w:rPr>
        <w:t>n vay nh</w:t>
      </w:r>
      <w:r w:rsidRPr="00C15164">
        <w:rPr>
          <w:rFonts w:ascii="Times New Roman" w:hAnsi="Times New Roman" w:cs="Times New Roman"/>
          <w:sz w:val="24"/>
          <w:szCs w:val="24"/>
        </w:rPr>
        <w:t>ỏ để tạ</w:t>
      </w:r>
      <w:r w:rsidRPr="00C15164">
        <w:rPr>
          <w:rFonts w:ascii="Times New Roman" w:hAnsi="Times New Roman" w:cs="Times New Roman"/>
          <w:sz w:val="24"/>
          <w:szCs w:val="24"/>
          <w:lang w:val="it-IT"/>
        </w:rPr>
        <w:t>o ra c</w:t>
      </w:r>
      <w:r w:rsidRPr="00C15164">
        <w:rPr>
          <w:rFonts w:ascii="Times New Roman" w:hAnsi="Times New Roman" w:cs="Times New Roman"/>
          <w:sz w:val="24"/>
          <w:szCs w:val="24"/>
        </w:rPr>
        <w:t>ác sản phẩm tà</w:t>
      </w:r>
      <w:r w:rsidRPr="00C15164">
        <w:rPr>
          <w:rFonts w:ascii="Times New Roman" w:hAnsi="Times New Roman" w:cs="Times New Roman"/>
          <w:sz w:val="24"/>
          <w:szCs w:val="24"/>
          <w:lang w:val="it-IT"/>
        </w:rPr>
        <w:t>i ch</w:t>
      </w:r>
      <w:r w:rsidRPr="00C15164">
        <w:rPr>
          <w:rFonts w:ascii="Times New Roman" w:hAnsi="Times New Roman" w:cs="Times New Roman"/>
          <w:sz w:val="24"/>
          <w:szCs w:val="24"/>
        </w:rPr>
        <w:t>í</w:t>
      </w:r>
      <w:r w:rsidRPr="00C15164">
        <w:rPr>
          <w:rFonts w:ascii="Times New Roman" w:hAnsi="Times New Roman" w:cs="Times New Roman"/>
          <w:sz w:val="24"/>
          <w:szCs w:val="24"/>
          <w:lang w:val="es-ES_tradnl"/>
        </w:rPr>
        <w:t>nh quy m</w:t>
      </w:r>
      <w:r w:rsidRPr="00C15164">
        <w:rPr>
          <w:rFonts w:ascii="Times New Roman" w:hAnsi="Times New Roman" w:cs="Times New Roman"/>
          <w:sz w:val="24"/>
          <w:szCs w:val="24"/>
        </w:rPr>
        <w:t>ô lớ</w:t>
      </w:r>
      <w:r w:rsidRPr="00C15164">
        <w:rPr>
          <w:rFonts w:ascii="Times New Roman" w:hAnsi="Times New Roman" w:cs="Times New Roman"/>
          <w:sz w:val="24"/>
          <w:szCs w:val="24"/>
          <w:lang w:val="de-DE"/>
        </w:rPr>
        <w:t>n v</w:t>
      </w:r>
      <w:r w:rsidRPr="00C15164">
        <w:rPr>
          <w:rFonts w:ascii="Times New Roman" w:hAnsi="Times New Roman" w:cs="Times New Roman"/>
          <w:sz w:val="24"/>
          <w:szCs w:val="24"/>
        </w:rPr>
        <w:t>à đ</w:t>
      </w:r>
      <w:r w:rsidRPr="00C15164">
        <w:rPr>
          <w:rFonts w:ascii="Times New Roman" w:hAnsi="Times New Roman" w:cs="Times New Roman"/>
          <w:sz w:val="24"/>
          <w:szCs w:val="24"/>
          <w:lang w:val="it-IT"/>
        </w:rPr>
        <w:t>a d</w:t>
      </w:r>
      <w:r w:rsidRPr="00C15164">
        <w:rPr>
          <w:rFonts w:ascii="Times New Roman" w:hAnsi="Times New Roman" w:cs="Times New Roman"/>
          <w:sz w:val="24"/>
          <w:szCs w:val="24"/>
        </w:rPr>
        <w:t xml:space="preserve">ạng. </w:t>
      </w:r>
    </w:p>
    <w:p w14:paraId="20A5C255" w14:textId="77777777" w:rsidR="00C15164" w:rsidRPr="00C15164" w:rsidRDefault="00C15164" w:rsidP="00C15164">
      <w:pPr>
        <w:tabs>
          <w:tab w:val="left" w:pos="558"/>
        </w:tabs>
        <w:rPr>
          <w:rFonts w:ascii="Times New Roman" w:hAnsi="Times New Roman" w:cs="Times New Roman"/>
          <w:sz w:val="24"/>
          <w:szCs w:val="24"/>
          <w:lang w:val="it-IT"/>
        </w:rPr>
      </w:pPr>
      <w:r w:rsidRPr="00C15164">
        <w:rPr>
          <w:rFonts w:ascii="Times New Roman" w:hAnsi="Times New Roman" w:cs="Times New Roman"/>
          <w:sz w:val="24"/>
          <w:szCs w:val="24"/>
        </w:rPr>
        <w:t>5</w:t>
      </w:r>
      <w:r w:rsidRPr="00C15164">
        <w:rPr>
          <w:rFonts w:ascii="Times New Roman" w:hAnsi="Times New Roman" w:cs="Times New Roman"/>
          <w:sz w:val="24"/>
          <w:szCs w:val="24"/>
        </w:rPr>
        <w:tab/>
        <w:t>Sự hấ</w:t>
      </w:r>
      <w:r w:rsidRPr="00C15164">
        <w:rPr>
          <w:rFonts w:ascii="Times New Roman" w:hAnsi="Times New Roman" w:cs="Times New Roman"/>
          <w:sz w:val="24"/>
          <w:szCs w:val="24"/>
          <w:lang w:val="nl-NL"/>
        </w:rPr>
        <w:t>p d</w:t>
      </w:r>
      <w:r w:rsidRPr="00C15164">
        <w:rPr>
          <w:rFonts w:ascii="Times New Roman" w:hAnsi="Times New Roman" w:cs="Times New Roman"/>
          <w:sz w:val="24"/>
          <w:szCs w:val="24"/>
        </w:rPr>
        <w:t>ẫ</w:t>
      </w:r>
      <w:r w:rsidRPr="00C15164">
        <w:rPr>
          <w:rFonts w:ascii="Times New Roman" w:hAnsi="Times New Roman" w:cs="Times New Roman"/>
          <w:sz w:val="24"/>
          <w:szCs w:val="24"/>
          <w:lang w:val="de-DE"/>
        </w:rPr>
        <w:t>n v</w:t>
      </w:r>
      <w:r w:rsidRPr="00C15164">
        <w:rPr>
          <w:rFonts w:ascii="Times New Roman" w:hAnsi="Times New Roman" w:cs="Times New Roman"/>
          <w:sz w:val="24"/>
          <w:szCs w:val="24"/>
        </w:rPr>
        <w:t>ề tà</w:t>
      </w:r>
      <w:r w:rsidRPr="00C15164">
        <w:rPr>
          <w:rFonts w:ascii="Times New Roman" w:hAnsi="Times New Roman" w:cs="Times New Roman"/>
          <w:sz w:val="24"/>
          <w:szCs w:val="24"/>
          <w:lang w:val="it-IT"/>
        </w:rPr>
        <w:t>i ch</w:t>
      </w:r>
      <w:r w:rsidRPr="00C15164">
        <w:rPr>
          <w:rFonts w:ascii="Times New Roman" w:hAnsi="Times New Roman" w:cs="Times New Roman"/>
          <w:sz w:val="24"/>
          <w:szCs w:val="24"/>
        </w:rPr>
        <w:t>ính của một dự án phụ thuộc phần nà</w:t>
      </w:r>
      <w:r w:rsidRPr="00C15164">
        <w:rPr>
          <w:rFonts w:ascii="Times New Roman" w:hAnsi="Times New Roman" w:cs="Times New Roman"/>
          <w:sz w:val="24"/>
          <w:szCs w:val="24"/>
          <w:lang w:val="it-IT"/>
        </w:rPr>
        <w:t>o v</w:t>
      </w:r>
      <w:r w:rsidRPr="00C15164">
        <w:rPr>
          <w:rFonts w:ascii="Times New Roman" w:hAnsi="Times New Roman" w:cs="Times New Roman"/>
          <w:sz w:val="24"/>
          <w:szCs w:val="24"/>
        </w:rPr>
        <w:t>ào từng giai đoạn phát triển củ</w:t>
      </w:r>
      <w:r w:rsidRPr="00C15164">
        <w:rPr>
          <w:rFonts w:ascii="Times New Roman" w:hAnsi="Times New Roman" w:cs="Times New Roman"/>
          <w:sz w:val="24"/>
          <w:szCs w:val="24"/>
          <w:lang w:val="it-IT"/>
        </w:rPr>
        <w:t>a d</w:t>
      </w:r>
      <w:r w:rsidRPr="00C15164">
        <w:rPr>
          <w:rFonts w:ascii="Times New Roman" w:hAnsi="Times New Roman" w:cs="Times New Roman"/>
          <w:sz w:val="24"/>
          <w:szCs w:val="24"/>
        </w:rPr>
        <w:t>ự á</w:t>
      </w:r>
      <w:r w:rsidRPr="00C15164">
        <w:rPr>
          <w:rFonts w:ascii="Times New Roman" w:hAnsi="Times New Roman" w:cs="Times New Roman"/>
          <w:sz w:val="24"/>
          <w:szCs w:val="24"/>
          <w:lang w:val="de-DE"/>
        </w:rPr>
        <w:t>n v</w:t>
      </w:r>
      <w:r w:rsidRPr="00C15164">
        <w:rPr>
          <w:rFonts w:ascii="Times New Roman" w:hAnsi="Times New Roman" w:cs="Times New Roman"/>
          <w:sz w:val="24"/>
          <w:szCs w:val="24"/>
        </w:rPr>
        <w:t>à mức độ đảm bả</w:t>
      </w:r>
      <w:r w:rsidRPr="00C15164">
        <w:rPr>
          <w:rFonts w:ascii="Times New Roman" w:hAnsi="Times New Roman" w:cs="Times New Roman"/>
          <w:sz w:val="24"/>
          <w:szCs w:val="24"/>
          <w:lang w:val="it-IT"/>
        </w:rPr>
        <w:t>o v</w:t>
      </w:r>
      <w:r w:rsidRPr="00C15164">
        <w:rPr>
          <w:rFonts w:ascii="Times New Roman" w:hAnsi="Times New Roman" w:cs="Times New Roman"/>
          <w:sz w:val="24"/>
          <w:szCs w:val="24"/>
        </w:rPr>
        <w:t>ề doanh thu, so sá</w:t>
      </w:r>
      <w:r w:rsidRPr="00C15164">
        <w:rPr>
          <w:rFonts w:ascii="Times New Roman" w:hAnsi="Times New Roman" w:cs="Times New Roman"/>
          <w:sz w:val="24"/>
          <w:szCs w:val="24"/>
          <w:lang w:val="de-DE"/>
        </w:rPr>
        <w:t>nh v</w:t>
      </w:r>
      <w:r w:rsidRPr="00C15164">
        <w:rPr>
          <w:rFonts w:ascii="Times New Roman" w:hAnsi="Times New Roman" w:cs="Times New Roman"/>
          <w:sz w:val="24"/>
          <w:szCs w:val="24"/>
        </w:rPr>
        <w:t>ới mức độ rủ</w:t>
      </w:r>
      <w:r w:rsidRPr="00C15164">
        <w:rPr>
          <w:rFonts w:ascii="Times New Roman" w:hAnsi="Times New Roman" w:cs="Times New Roman"/>
          <w:sz w:val="24"/>
          <w:szCs w:val="24"/>
          <w:lang w:val="it-IT"/>
        </w:rPr>
        <w:t>i ro c</w:t>
      </w:r>
      <w:r w:rsidRPr="00C15164">
        <w:rPr>
          <w:rFonts w:ascii="Times New Roman" w:hAnsi="Times New Roman" w:cs="Times New Roman"/>
          <w:sz w:val="24"/>
          <w:szCs w:val="24"/>
        </w:rPr>
        <w:t>ủ</w:t>
      </w:r>
      <w:r w:rsidRPr="00C15164">
        <w:rPr>
          <w:rFonts w:ascii="Times New Roman" w:hAnsi="Times New Roman" w:cs="Times New Roman"/>
          <w:sz w:val="24"/>
          <w:szCs w:val="24"/>
          <w:lang w:val="it-IT"/>
        </w:rPr>
        <w:t>a d</w:t>
      </w:r>
      <w:r w:rsidRPr="00C15164">
        <w:rPr>
          <w:rFonts w:ascii="Times New Roman" w:hAnsi="Times New Roman" w:cs="Times New Roman"/>
          <w:sz w:val="24"/>
          <w:szCs w:val="24"/>
        </w:rPr>
        <w:t>ự án trong giai đoạn hiện tại. Thô</w:t>
      </w:r>
      <w:r w:rsidRPr="00C15164">
        <w:rPr>
          <w:rFonts w:ascii="Times New Roman" w:hAnsi="Times New Roman" w:cs="Times New Roman"/>
          <w:sz w:val="24"/>
          <w:szCs w:val="24"/>
          <w:lang w:val="pt-PT"/>
        </w:rPr>
        <w:t>ng qua vi</w:t>
      </w:r>
      <w:r w:rsidRPr="00C15164">
        <w:rPr>
          <w:rFonts w:ascii="Times New Roman" w:hAnsi="Times New Roman" w:cs="Times New Roman"/>
          <w:sz w:val="24"/>
          <w:szCs w:val="24"/>
        </w:rPr>
        <w:t>ệc cải thiện khung chí</w:t>
      </w:r>
      <w:r w:rsidRPr="00C15164">
        <w:rPr>
          <w:rFonts w:ascii="Times New Roman" w:hAnsi="Times New Roman" w:cs="Times New Roman"/>
          <w:sz w:val="24"/>
          <w:szCs w:val="24"/>
          <w:lang w:val="pt-PT"/>
        </w:rPr>
        <w:t>nh s</w:t>
      </w:r>
      <w:r w:rsidRPr="00C15164">
        <w:rPr>
          <w:rFonts w:ascii="Times New Roman" w:hAnsi="Times New Roman" w:cs="Times New Roman"/>
          <w:sz w:val="24"/>
          <w:szCs w:val="24"/>
        </w:rPr>
        <w:t>ách và quả</w:t>
      </w:r>
      <w:r w:rsidRPr="00C15164">
        <w:rPr>
          <w:rFonts w:ascii="Times New Roman" w:hAnsi="Times New Roman" w:cs="Times New Roman"/>
          <w:sz w:val="24"/>
          <w:szCs w:val="24"/>
          <w:lang w:val="es-ES_tradnl"/>
        </w:rPr>
        <w:t>n l</w:t>
      </w:r>
      <w:r w:rsidRPr="00C15164">
        <w:rPr>
          <w:rFonts w:ascii="Times New Roman" w:hAnsi="Times New Roman" w:cs="Times New Roman"/>
          <w:sz w:val="24"/>
          <w:szCs w:val="24"/>
        </w:rPr>
        <w:t>ý, các chính phủ c</w:t>
      </w:r>
      <w:r w:rsidRPr="00C15164">
        <w:rPr>
          <w:rFonts w:ascii="Times New Roman" w:hAnsi="Times New Roman" w:cs="Times New Roman"/>
          <w:sz w:val="24"/>
          <w:szCs w:val="24"/>
          <w:lang w:val="es-ES_tradnl"/>
        </w:rPr>
        <w:t xml:space="preserve">ó </w:t>
      </w:r>
      <w:r w:rsidRPr="00C15164">
        <w:rPr>
          <w:rFonts w:ascii="Times New Roman" w:hAnsi="Times New Roman" w:cs="Times New Roman"/>
          <w:sz w:val="24"/>
          <w:szCs w:val="24"/>
        </w:rPr>
        <w:t>thể củng cố nền tảng huy độ</w:t>
      </w:r>
      <w:r w:rsidRPr="00C15164">
        <w:rPr>
          <w:rFonts w:ascii="Times New Roman" w:hAnsi="Times New Roman" w:cs="Times New Roman"/>
          <w:sz w:val="24"/>
          <w:szCs w:val="24"/>
          <w:lang w:val="nl-NL"/>
        </w:rPr>
        <w:t>ng v</w:t>
      </w:r>
      <w:r w:rsidRPr="00C15164">
        <w:rPr>
          <w:rFonts w:ascii="Times New Roman" w:hAnsi="Times New Roman" w:cs="Times New Roman"/>
          <w:sz w:val="24"/>
          <w:szCs w:val="24"/>
        </w:rPr>
        <w:t>ố</w:t>
      </w:r>
      <w:r w:rsidRPr="00C15164">
        <w:rPr>
          <w:rFonts w:ascii="Times New Roman" w:hAnsi="Times New Roman" w:cs="Times New Roman"/>
          <w:sz w:val="24"/>
          <w:szCs w:val="24"/>
          <w:lang w:val="de-DE"/>
        </w:rPr>
        <w:t>n d</w:t>
      </w:r>
      <w:r w:rsidRPr="00C15164">
        <w:rPr>
          <w:rFonts w:ascii="Times New Roman" w:hAnsi="Times New Roman" w:cs="Times New Roman"/>
          <w:sz w:val="24"/>
          <w:szCs w:val="24"/>
        </w:rPr>
        <w:t>ài hạn của các dự án cơ sở hạ tầng (thô</w:t>
      </w:r>
      <w:r w:rsidRPr="00C15164">
        <w:rPr>
          <w:rFonts w:ascii="Times New Roman" w:hAnsi="Times New Roman" w:cs="Times New Roman"/>
          <w:sz w:val="24"/>
          <w:szCs w:val="24"/>
          <w:lang w:val="pt-PT"/>
        </w:rPr>
        <w:t>ng qua c</w:t>
      </w:r>
      <w:r w:rsidRPr="00C15164">
        <w:rPr>
          <w:rFonts w:ascii="Times New Roman" w:hAnsi="Times New Roman" w:cs="Times New Roman"/>
          <w:sz w:val="24"/>
          <w:szCs w:val="24"/>
        </w:rPr>
        <w:t>ác cấu trúc d</w:t>
      </w:r>
      <w:r w:rsidRPr="00C15164">
        <w:rPr>
          <w:rFonts w:ascii="Times New Roman" w:hAnsi="Times New Roman" w:cs="Times New Roman"/>
          <w:sz w:val="24"/>
          <w:szCs w:val="24"/>
          <w:lang w:val="it-IT"/>
        </w:rPr>
        <w:t>ò</w:t>
      </w:r>
      <w:r w:rsidRPr="00C15164">
        <w:rPr>
          <w:rFonts w:ascii="Times New Roman" w:hAnsi="Times New Roman" w:cs="Times New Roman"/>
          <w:sz w:val="24"/>
          <w:szCs w:val="24"/>
        </w:rPr>
        <w:t>ng tiền ph</w:t>
      </w:r>
      <w:r w:rsidRPr="00C15164">
        <w:rPr>
          <w:rFonts w:ascii="Times New Roman" w:hAnsi="Times New Roman" w:cs="Times New Roman"/>
          <w:sz w:val="24"/>
          <w:szCs w:val="24"/>
          <w:lang w:val="it-IT"/>
        </w:rPr>
        <w:t xml:space="preserve">ù </w:t>
      </w:r>
      <w:r w:rsidRPr="00C15164">
        <w:rPr>
          <w:rFonts w:ascii="Times New Roman" w:hAnsi="Times New Roman" w:cs="Times New Roman"/>
          <w:sz w:val="24"/>
          <w:szCs w:val="24"/>
        </w:rPr>
        <w:t>hợ</w:t>
      </w:r>
      <w:r w:rsidRPr="00C15164">
        <w:rPr>
          <w:rFonts w:ascii="Times New Roman" w:hAnsi="Times New Roman" w:cs="Times New Roman"/>
          <w:sz w:val="24"/>
          <w:szCs w:val="24"/>
          <w:lang w:val="it-IT"/>
        </w:rPr>
        <w:t xml:space="preserve">p) qua </w:t>
      </w:r>
      <w:r w:rsidRPr="00C15164">
        <w:rPr>
          <w:rFonts w:ascii="Times New Roman" w:hAnsi="Times New Roman" w:cs="Times New Roman"/>
          <w:sz w:val="24"/>
          <w:szCs w:val="24"/>
        </w:rPr>
        <w:t>đó đảm bả</w:t>
      </w:r>
      <w:r w:rsidRPr="00C15164">
        <w:rPr>
          <w:rFonts w:ascii="Times New Roman" w:hAnsi="Times New Roman" w:cs="Times New Roman"/>
          <w:sz w:val="24"/>
          <w:szCs w:val="24"/>
          <w:lang w:val="it-IT"/>
        </w:rPr>
        <w:t>o ngu</w:t>
      </w:r>
      <w:r w:rsidRPr="00C15164">
        <w:rPr>
          <w:rFonts w:ascii="Times New Roman" w:hAnsi="Times New Roman" w:cs="Times New Roman"/>
          <w:sz w:val="24"/>
          <w:szCs w:val="24"/>
        </w:rPr>
        <w:t>ồn doanh thu hấ</w:t>
      </w:r>
      <w:r w:rsidRPr="00C15164">
        <w:rPr>
          <w:rFonts w:ascii="Times New Roman" w:hAnsi="Times New Roman" w:cs="Times New Roman"/>
          <w:sz w:val="24"/>
          <w:szCs w:val="24"/>
          <w:lang w:val="nl-NL"/>
        </w:rPr>
        <w:t>p d</w:t>
      </w:r>
      <w:r w:rsidRPr="00C15164">
        <w:rPr>
          <w:rFonts w:ascii="Times New Roman" w:hAnsi="Times New Roman" w:cs="Times New Roman"/>
          <w:sz w:val="24"/>
          <w:szCs w:val="24"/>
        </w:rPr>
        <w:t>ẫn đối vớ</w:t>
      </w:r>
      <w:r w:rsidRPr="00C15164">
        <w:rPr>
          <w:rFonts w:ascii="Times New Roman" w:hAnsi="Times New Roman" w:cs="Times New Roman"/>
          <w:sz w:val="24"/>
          <w:szCs w:val="24"/>
          <w:lang w:val="it-IT"/>
        </w:rPr>
        <w:t>i c</w:t>
      </w:r>
      <w:r w:rsidRPr="00C15164">
        <w:rPr>
          <w:rFonts w:ascii="Times New Roman" w:hAnsi="Times New Roman" w:cs="Times New Roman"/>
          <w:sz w:val="24"/>
          <w:szCs w:val="24"/>
        </w:rPr>
        <w:t>á</w:t>
      </w:r>
      <w:r w:rsidRPr="00C15164">
        <w:rPr>
          <w:rFonts w:ascii="Times New Roman" w:hAnsi="Times New Roman" w:cs="Times New Roman"/>
          <w:sz w:val="24"/>
          <w:szCs w:val="24"/>
          <w:lang w:val="pt-PT"/>
        </w:rPr>
        <w:t>c nh</w:t>
      </w:r>
      <w:r w:rsidRPr="00C15164">
        <w:rPr>
          <w:rFonts w:ascii="Times New Roman" w:hAnsi="Times New Roman" w:cs="Times New Roman"/>
          <w:sz w:val="24"/>
          <w:szCs w:val="24"/>
        </w:rPr>
        <w:t xml:space="preserve">à đầu tư tư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ân.</w:t>
      </w:r>
    </w:p>
    <w:p w14:paraId="121D046F" w14:textId="00731CC4" w:rsidR="00C15164" w:rsidRPr="00C15164" w:rsidRDefault="00C15164" w:rsidP="00C15164">
      <w:pPr>
        <w:tabs>
          <w:tab w:val="left" w:pos="558"/>
        </w:tabs>
        <w:rPr>
          <w:rFonts w:ascii="Times New Roman" w:hAnsi="Times New Roman" w:cs="Times New Roman"/>
          <w:sz w:val="24"/>
          <w:szCs w:val="24"/>
          <w:lang w:val="it-IT"/>
        </w:rPr>
      </w:pPr>
      <w:r w:rsidRPr="00C15164">
        <w:rPr>
          <w:rFonts w:ascii="Times New Roman" w:hAnsi="Times New Roman" w:cs="Times New Roman"/>
          <w:b/>
          <w:sz w:val="24"/>
          <w:szCs w:val="24"/>
        </w:rPr>
        <w:t>Nhà đầu tư thể chế và thúc đẩy cơ sở hạ tầng</w:t>
      </w:r>
      <w:r w:rsidRPr="00C15164">
        <w:rPr>
          <w:rFonts w:ascii="Times New Roman" w:hAnsi="Times New Roman" w:cs="Times New Roman"/>
          <w:b/>
          <w:sz w:val="24"/>
          <w:szCs w:val="24"/>
          <w:lang w:val="de-DE"/>
        </w:rPr>
        <w:t xml:space="preserve"> nh</w:t>
      </w:r>
      <w:r w:rsidRPr="00C15164">
        <w:rPr>
          <w:rFonts w:ascii="Times New Roman" w:hAnsi="Times New Roman" w:cs="Times New Roman"/>
          <w:b/>
          <w:sz w:val="24"/>
          <w:szCs w:val="24"/>
        </w:rPr>
        <w:t>ư là một loại tài sản</w:t>
      </w:r>
    </w:p>
    <w:p w14:paraId="7E3FC9B9" w14:textId="77777777"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sz w:val="24"/>
          <w:szCs w:val="24"/>
        </w:rPr>
        <w:t>6</w:t>
      </w:r>
      <w:r w:rsidRPr="00C15164">
        <w:rPr>
          <w:rFonts w:ascii="Times New Roman" w:hAnsi="Times New Roman" w:cs="Times New Roman"/>
          <w:sz w:val="24"/>
          <w:szCs w:val="24"/>
        </w:rPr>
        <w:tab/>
        <w:t>C</w:t>
      </w:r>
      <w:r w:rsidRPr="00C15164">
        <w:rPr>
          <w:rFonts w:ascii="Times New Roman" w:hAnsi="Times New Roman" w:cs="Times New Roman"/>
          <w:sz w:val="24"/>
          <w:szCs w:val="24"/>
          <w:lang w:val="es-ES_tradnl"/>
        </w:rPr>
        <w:t xml:space="preserve">ó </w:t>
      </w:r>
      <w:r w:rsidRPr="00C15164">
        <w:rPr>
          <w:rFonts w:ascii="Times New Roman" w:hAnsi="Times New Roman" w:cs="Times New Roman"/>
          <w:sz w:val="24"/>
          <w:szCs w:val="24"/>
          <w:lang w:val="pt-PT"/>
        </w:rPr>
        <w:t>nhi</w:t>
      </w:r>
      <w:r w:rsidRPr="00C15164">
        <w:rPr>
          <w:rFonts w:ascii="Times New Roman" w:hAnsi="Times New Roman" w:cs="Times New Roman"/>
          <w:sz w:val="24"/>
          <w:szCs w:val="24"/>
        </w:rPr>
        <w:t>ều tiềm nă</w:t>
      </w:r>
      <w:r w:rsidRPr="00C15164">
        <w:rPr>
          <w:rFonts w:ascii="Times New Roman" w:hAnsi="Times New Roman" w:cs="Times New Roman"/>
          <w:sz w:val="24"/>
          <w:szCs w:val="24"/>
          <w:lang w:val="it-IT"/>
        </w:rPr>
        <w:t xml:space="preserve">ng </w:t>
      </w:r>
      <w:r w:rsidRPr="00C15164">
        <w:rPr>
          <w:rFonts w:ascii="Times New Roman" w:hAnsi="Times New Roman" w:cs="Times New Roman"/>
          <w:sz w:val="24"/>
          <w:szCs w:val="24"/>
        </w:rPr>
        <w:t>để mở rộ</w:t>
      </w:r>
      <w:r w:rsidRPr="00C15164">
        <w:rPr>
          <w:rFonts w:ascii="Times New Roman" w:hAnsi="Times New Roman" w:cs="Times New Roman"/>
          <w:sz w:val="24"/>
          <w:szCs w:val="24"/>
          <w:lang w:val="it-IT"/>
        </w:rPr>
        <w:t xml:space="preserve">ng </w:t>
      </w:r>
      <w:r w:rsidRPr="00C15164">
        <w:rPr>
          <w:rFonts w:ascii="Times New Roman" w:hAnsi="Times New Roman" w:cs="Times New Roman"/>
          <w:sz w:val="24"/>
          <w:szCs w:val="24"/>
        </w:rPr>
        <w:t>đầu tư củ</w:t>
      </w:r>
      <w:r w:rsidRPr="00C15164">
        <w:rPr>
          <w:rFonts w:ascii="Times New Roman" w:hAnsi="Times New Roman" w:cs="Times New Roman"/>
          <w:sz w:val="24"/>
          <w:szCs w:val="24"/>
          <w:lang w:val="it-IT"/>
        </w:rPr>
        <w:t>a c</w:t>
      </w:r>
      <w:r w:rsidRPr="00C15164">
        <w:rPr>
          <w:rFonts w:ascii="Times New Roman" w:hAnsi="Times New Roman" w:cs="Times New Roman"/>
          <w:sz w:val="24"/>
          <w:szCs w:val="24"/>
        </w:rPr>
        <w:t>á</w:t>
      </w:r>
      <w:r w:rsidRPr="00C15164">
        <w:rPr>
          <w:rFonts w:ascii="Times New Roman" w:hAnsi="Times New Roman" w:cs="Times New Roman"/>
          <w:sz w:val="24"/>
          <w:szCs w:val="24"/>
          <w:lang w:val="pt-PT"/>
        </w:rPr>
        <w:t>c nh</w:t>
      </w:r>
      <w:r w:rsidRPr="00C15164">
        <w:rPr>
          <w:rFonts w:ascii="Times New Roman" w:hAnsi="Times New Roman" w:cs="Times New Roman"/>
          <w:sz w:val="24"/>
          <w:szCs w:val="24"/>
        </w:rPr>
        <w:t xml:space="preserve">à đầu tư </w:t>
      </w:r>
      <w:r w:rsidRPr="00C15164">
        <w:rPr>
          <w:rFonts w:ascii="Times New Roman" w:hAnsi="Times New Roman" w:cs="Times New Roman"/>
          <w:sz w:val="24"/>
          <w:szCs w:val="24"/>
          <w:lang w:val="it-IT"/>
        </w:rPr>
        <w:t>th</w:t>
      </w:r>
      <w:r w:rsidRPr="00C15164">
        <w:rPr>
          <w:rFonts w:ascii="Times New Roman" w:hAnsi="Times New Roman" w:cs="Times New Roman"/>
          <w:sz w:val="24"/>
          <w:szCs w:val="24"/>
        </w:rPr>
        <w:t>ể chế - đặc biệ</w:t>
      </w:r>
      <w:r w:rsidRPr="00C15164">
        <w:rPr>
          <w:rFonts w:ascii="Times New Roman" w:hAnsi="Times New Roman" w:cs="Times New Roman"/>
          <w:sz w:val="24"/>
          <w:szCs w:val="24"/>
          <w:lang w:val="it-IT"/>
        </w:rPr>
        <w:t xml:space="preserve">t là </w:t>
      </w:r>
      <w:r w:rsidRPr="00C15164">
        <w:rPr>
          <w:rFonts w:ascii="Times New Roman" w:hAnsi="Times New Roman" w:cs="Times New Roman"/>
          <w:sz w:val="24"/>
          <w:szCs w:val="24"/>
        </w:rPr>
        <w:t>cá</w:t>
      </w:r>
      <w:r w:rsidRPr="00C15164">
        <w:rPr>
          <w:rFonts w:ascii="Times New Roman" w:hAnsi="Times New Roman" w:cs="Times New Roman"/>
          <w:sz w:val="24"/>
          <w:szCs w:val="24"/>
          <w:lang w:val="it-IT"/>
        </w:rPr>
        <w:t>c ngân hàng phát triển quốc gia và đa phương, qu</w:t>
      </w:r>
      <w:r w:rsidRPr="00C15164">
        <w:rPr>
          <w:rFonts w:ascii="Times New Roman" w:hAnsi="Times New Roman" w:cs="Times New Roman"/>
          <w:sz w:val="24"/>
          <w:szCs w:val="24"/>
        </w:rPr>
        <w:t>ỹ hư</w:t>
      </w:r>
      <w:r w:rsidRPr="00C15164">
        <w:rPr>
          <w:rFonts w:ascii="Times New Roman" w:hAnsi="Times New Roman" w:cs="Times New Roman"/>
          <w:sz w:val="24"/>
          <w:szCs w:val="24"/>
          <w:lang w:val="it-IT"/>
        </w:rPr>
        <w:t>u tr</w:t>
      </w:r>
      <w:r w:rsidRPr="00C15164">
        <w:rPr>
          <w:rFonts w:ascii="Times New Roman" w:hAnsi="Times New Roman" w:cs="Times New Roman"/>
          <w:sz w:val="24"/>
          <w:szCs w:val="24"/>
        </w:rPr>
        <w:t>í, cô</w:t>
      </w:r>
      <w:r w:rsidRPr="00C15164">
        <w:rPr>
          <w:rFonts w:ascii="Times New Roman" w:hAnsi="Times New Roman" w:cs="Times New Roman"/>
          <w:sz w:val="24"/>
          <w:szCs w:val="24"/>
          <w:lang w:val="it-IT"/>
        </w:rPr>
        <w:t>ng ty b</w:t>
      </w:r>
      <w:r w:rsidRPr="00C15164">
        <w:rPr>
          <w:rFonts w:ascii="Times New Roman" w:hAnsi="Times New Roman" w:cs="Times New Roman"/>
          <w:sz w:val="24"/>
          <w:szCs w:val="24"/>
        </w:rPr>
        <w:t>ả</w:t>
      </w:r>
      <w:r w:rsidRPr="00C15164">
        <w:rPr>
          <w:rFonts w:ascii="Times New Roman" w:hAnsi="Times New Roman" w:cs="Times New Roman"/>
          <w:sz w:val="24"/>
          <w:szCs w:val="24"/>
          <w:lang w:val="es-ES_tradnl"/>
        </w:rPr>
        <w:t>o hi</w:t>
      </w:r>
      <w:r w:rsidRPr="00C15164">
        <w:rPr>
          <w:rFonts w:ascii="Times New Roman" w:hAnsi="Times New Roman" w:cs="Times New Roman"/>
          <w:sz w:val="24"/>
          <w:szCs w:val="24"/>
        </w:rPr>
        <w:t>ể</w:t>
      </w:r>
      <w:r w:rsidRPr="00C15164">
        <w:rPr>
          <w:rFonts w:ascii="Times New Roman" w:hAnsi="Times New Roman" w:cs="Times New Roman"/>
          <w:sz w:val="24"/>
          <w:szCs w:val="24"/>
          <w:lang w:val="pt-PT"/>
        </w:rPr>
        <w:t>m, qu</w:t>
      </w:r>
      <w:r w:rsidRPr="00C15164">
        <w:rPr>
          <w:rFonts w:ascii="Times New Roman" w:hAnsi="Times New Roman" w:cs="Times New Roman"/>
          <w:sz w:val="24"/>
          <w:szCs w:val="24"/>
        </w:rPr>
        <w:t>ỹ t</w:t>
      </w:r>
      <w:r w:rsidRPr="00C15164">
        <w:rPr>
          <w:rFonts w:ascii="Times New Roman" w:hAnsi="Times New Roman" w:cs="Times New Roman"/>
          <w:sz w:val="24"/>
          <w:szCs w:val="24"/>
          <w:lang w:val="it-IT"/>
        </w:rPr>
        <w:t>ài ch</w:t>
      </w:r>
      <w:r w:rsidRPr="00C15164">
        <w:rPr>
          <w:rFonts w:ascii="Times New Roman" w:hAnsi="Times New Roman" w:cs="Times New Roman"/>
          <w:sz w:val="24"/>
          <w:szCs w:val="24"/>
        </w:rPr>
        <w:t>í</w:t>
      </w:r>
      <w:r w:rsidRPr="00C15164">
        <w:rPr>
          <w:rFonts w:ascii="Times New Roman" w:hAnsi="Times New Roman" w:cs="Times New Roman"/>
          <w:sz w:val="24"/>
          <w:szCs w:val="24"/>
          <w:lang w:val="de-DE"/>
        </w:rPr>
        <w:t>nh v</w:t>
      </w:r>
      <w:r w:rsidRPr="00C15164">
        <w:rPr>
          <w:rFonts w:ascii="Times New Roman" w:hAnsi="Times New Roman" w:cs="Times New Roman"/>
          <w:sz w:val="24"/>
          <w:szCs w:val="24"/>
          <w:lang w:val="it-IT"/>
        </w:rPr>
        <w:t>à qu</w:t>
      </w:r>
      <w:r w:rsidRPr="00C15164">
        <w:rPr>
          <w:rFonts w:ascii="Times New Roman" w:hAnsi="Times New Roman" w:cs="Times New Roman"/>
          <w:sz w:val="24"/>
          <w:szCs w:val="24"/>
        </w:rPr>
        <w:t>ỹ tươ</w:t>
      </w:r>
      <w:r w:rsidRPr="00C15164">
        <w:rPr>
          <w:rFonts w:ascii="Times New Roman" w:hAnsi="Times New Roman" w:cs="Times New Roman"/>
          <w:sz w:val="24"/>
          <w:szCs w:val="24"/>
          <w:lang w:val="it-IT"/>
        </w:rPr>
        <w:t>ng h</w:t>
      </w:r>
      <w:r w:rsidRPr="00C15164">
        <w:rPr>
          <w:rFonts w:ascii="Times New Roman" w:hAnsi="Times New Roman" w:cs="Times New Roman"/>
          <w:sz w:val="24"/>
          <w:szCs w:val="24"/>
        </w:rPr>
        <w:t>ỗ. Chính phủ c</w:t>
      </w:r>
      <w:r w:rsidRPr="00C15164">
        <w:rPr>
          <w:rFonts w:ascii="Times New Roman" w:hAnsi="Times New Roman" w:cs="Times New Roman"/>
          <w:sz w:val="24"/>
          <w:szCs w:val="24"/>
          <w:lang w:val="es-ES_tradnl"/>
        </w:rPr>
        <w:t xml:space="preserve">ó </w:t>
      </w:r>
      <w:r w:rsidRPr="00C15164">
        <w:rPr>
          <w:rFonts w:ascii="Times New Roman" w:hAnsi="Times New Roman" w:cs="Times New Roman"/>
          <w:sz w:val="24"/>
          <w:szCs w:val="24"/>
        </w:rPr>
        <w:t>thể xem xét thêm các quy định tà</w:t>
      </w:r>
      <w:r w:rsidRPr="00C15164">
        <w:rPr>
          <w:rFonts w:ascii="Times New Roman" w:hAnsi="Times New Roman" w:cs="Times New Roman"/>
          <w:sz w:val="24"/>
          <w:szCs w:val="24"/>
          <w:lang w:val="it-IT"/>
        </w:rPr>
        <w:t>i ch</w:t>
      </w:r>
      <w:r w:rsidRPr="00C15164">
        <w:rPr>
          <w:rFonts w:ascii="Times New Roman" w:hAnsi="Times New Roman" w:cs="Times New Roman"/>
          <w:sz w:val="24"/>
          <w:szCs w:val="24"/>
        </w:rPr>
        <w:t>í</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 xml:space="preserve"> nhằm mục tiêu an toàn, bảo vệ nhà đầu tư và ổn định tài chính vĩ mô khác, song có thể tạo ra những rà</w:t>
      </w:r>
      <w:r w:rsidRPr="00C15164">
        <w:rPr>
          <w:rFonts w:ascii="Times New Roman" w:hAnsi="Times New Roman" w:cs="Times New Roman"/>
          <w:sz w:val="24"/>
          <w:szCs w:val="24"/>
          <w:lang w:val="it-IT"/>
        </w:rPr>
        <w:t>o c</w:t>
      </w:r>
      <w:r w:rsidRPr="00C15164">
        <w:rPr>
          <w:rFonts w:ascii="Times New Roman" w:hAnsi="Times New Roman" w:cs="Times New Roman"/>
          <w:sz w:val="24"/>
          <w:szCs w:val="24"/>
        </w:rPr>
        <w:t>ản đối với đầu tư cơ sở hạ tầng của cá</w:t>
      </w:r>
      <w:r w:rsidRPr="00C15164">
        <w:rPr>
          <w:rFonts w:ascii="Times New Roman" w:hAnsi="Times New Roman" w:cs="Times New Roman"/>
          <w:sz w:val="24"/>
          <w:szCs w:val="24"/>
          <w:lang w:val="pt-PT"/>
        </w:rPr>
        <w:t>c nh</w:t>
      </w:r>
      <w:r w:rsidRPr="00C15164">
        <w:rPr>
          <w:rFonts w:ascii="Times New Roman" w:hAnsi="Times New Roman" w:cs="Times New Roman"/>
          <w:sz w:val="24"/>
          <w:szCs w:val="24"/>
        </w:rPr>
        <w:t>à đầu tư thể chế.</w:t>
      </w:r>
    </w:p>
    <w:p w14:paraId="702AAF45" w14:textId="77777777"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sz w:val="24"/>
          <w:szCs w:val="24"/>
        </w:rPr>
        <w:t>7</w:t>
      </w:r>
      <w:r w:rsidRPr="00C15164">
        <w:rPr>
          <w:rFonts w:ascii="Times New Roman" w:hAnsi="Times New Roman" w:cs="Times New Roman"/>
          <w:sz w:val="24"/>
          <w:szCs w:val="24"/>
        </w:rPr>
        <w:tab/>
        <w:t>Để thu hút sự quan tâm của cá</w:t>
      </w:r>
      <w:r w:rsidRPr="00C15164">
        <w:rPr>
          <w:rFonts w:ascii="Times New Roman" w:hAnsi="Times New Roman" w:cs="Times New Roman"/>
          <w:sz w:val="24"/>
          <w:szCs w:val="24"/>
          <w:lang w:val="pt-PT"/>
        </w:rPr>
        <w:t>c nh</w:t>
      </w:r>
      <w:r w:rsidRPr="00C15164">
        <w:rPr>
          <w:rFonts w:ascii="Times New Roman" w:hAnsi="Times New Roman" w:cs="Times New Roman"/>
          <w:sz w:val="24"/>
          <w:szCs w:val="24"/>
        </w:rPr>
        <w:t>à đầu tư thể chế đến toàn bộ các tài sản tài chính đầu tư cơ sở hạ tầng, các tài sản tài chính này cần được cơ cấu để tạo ra các cơ hội đầu tư hấ</w:t>
      </w:r>
      <w:r w:rsidRPr="00C15164">
        <w:rPr>
          <w:rFonts w:ascii="Times New Roman" w:hAnsi="Times New Roman" w:cs="Times New Roman"/>
          <w:sz w:val="24"/>
          <w:szCs w:val="24"/>
          <w:lang w:val="nl-NL"/>
        </w:rPr>
        <w:t>p d</w:t>
      </w:r>
      <w:r w:rsidRPr="00C15164">
        <w:rPr>
          <w:rFonts w:ascii="Times New Roman" w:hAnsi="Times New Roman" w:cs="Times New Roman"/>
          <w:sz w:val="24"/>
          <w:szCs w:val="24"/>
        </w:rPr>
        <w:t>ẫn, cung cấ</w:t>
      </w:r>
      <w:r w:rsidRPr="00C15164">
        <w:rPr>
          <w:rFonts w:ascii="Times New Roman" w:hAnsi="Times New Roman" w:cs="Times New Roman"/>
          <w:sz w:val="24"/>
          <w:szCs w:val="24"/>
          <w:lang w:val="nl-NL"/>
        </w:rPr>
        <w:t xml:space="preserve">p </w:t>
      </w:r>
      <w:r w:rsidRPr="00C15164">
        <w:rPr>
          <w:rFonts w:ascii="Times New Roman" w:hAnsi="Times New Roman" w:cs="Times New Roman"/>
          <w:sz w:val="24"/>
          <w:szCs w:val="24"/>
        </w:rPr>
        <w:t>dòng doanh thu cũng như cấu trúc rủ</w:t>
      </w:r>
      <w:r w:rsidRPr="00C15164">
        <w:rPr>
          <w:rFonts w:ascii="Times New Roman" w:hAnsi="Times New Roman" w:cs="Times New Roman"/>
          <w:sz w:val="24"/>
          <w:szCs w:val="24"/>
          <w:lang w:val="it-IT"/>
        </w:rPr>
        <w:t>i ro</w:t>
      </w:r>
      <w:r w:rsidRPr="00C15164">
        <w:rPr>
          <w:rFonts w:ascii="Times New Roman" w:hAnsi="Times New Roman" w:cs="Times New Roman"/>
          <w:sz w:val="24"/>
          <w:szCs w:val="24"/>
        </w:rPr>
        <w:t xml:space="preserve"> - lợi nhuận ph</w:t>
      </w:r>
      <w:r w:rsidRPr="00C15164">
        <w:rPr>
          <w:rFonts w:ascii="Times New Roman" w:hAnsi="Times New Roman" w:cs="Times New Roman"/>
          <w:sz w:val="24"/>
          <w:szCs w:val="24"/>
          <w:lang w:val="it-IT"/>
        </w:rPr>
        <w:t xml:space="preserve">ù </w:t>
      </w:r>
      <w:r w:rsidRPr="00C15164">
        <w:rPr>
          <w:rFonts w:ascii="Times New Roman" w:hAnsi="Times New Roman" w:cs="Times New Roman"/>
          <w:sz w:val="24"/>
          <w:szCs w:val="24"/>
        </w:rPr>
        <w:t>hợ</w:t>
      </w:r>
      <w:r w:rsidRPr="00C15164">
        <w:rPr>
          <w:rFonts w:ascii="Times New Roman" w:hAnsi="Times New Roman" w:cs="Times New Roman"/>
          <w:sz w:val="24"/>
          <w:szCs w:val="24"/>
          <w:lang w:val="nl-NL"/>
        </w:rPr>
        <w:t>p v</w:t>
      </w:r>
      <w:r w:rsidRPr="00C15164">
        <w:rPr>
          <w:rFonts w:ascii="Times New Roman" w:hAnsi="Times New Roman" w:cs="Times New Roman"/>
          <w:sz w:val="24"/>
          <w:szCs w:val="24"/>
        </w:rPr>
        <w:t>ới kỳ vọng lợi nhuận cũng như cơ cấu nợ của cá</w:t>
      </w:r>
      <w:r w:rsidRPr="00C15164">
        <w:rPr>
          <w:rFonts w:ascii="Times New Roman" w:hAnsi="Times New Roman" w:cs="Times New Roman"/>
          <w:sz w:val="24"/>
          <w:szCs w:val="24"/>
          <w:lang w:val="pt-PT"/>
        </w:rPr>
        <w:t>c nh</w:t>
      </w:r>
      <w:r w:rsidRPr="00C15164">
        <w:rPr>
          <w:rFonts w:ascii="Times New Roman" w:hAnsi="Times New Roman" w:cs="Times New Roman"/>
          <w:sz w:val="24"/>
          <w:szCs w:val="24"/>
        </w:rPr>
        <w:t>à đầu tư.</w:t>
      </w:r>
    </w:p>
    <w:p w14:paraId="3092EE04" w14:textId="77777777"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sz w:val="24"/>
          <w:szCs w:val="24"/>
        </w:rPr>
        <w:t>8</w:t>
      </w:r>
      <w:r w:rsidRPr="00C15164">
        <w:rPr>
          <w:rFonts w:ascii="Times New Roman" w:hAnsi="Times New Roman" w:cs="Times New Roman"/>
          <w:sz w:val="24"/>
          <w:szCs w:val="24"/>
        </w:rPr>
        <w:tab/>
        <w:t>Các khuyến nghị chí</w:t>
      </w:r>
      <w:r w:rsidRPr="00C15164">
        <w:rPr>
          <w:rFonts w:ascii="Times New Roman" w:hAnsi="Times New Roman" w:cs="Times New Roman"/>
          <w:sz w:val="24"/>
          <w:szCs w:val="24"/>
          <w:lang w:val="pt-PT"/>
        </w:rPr>
        <w:t>nh s</w:t>
      </w:r>
      <w:r w:rsidRPr="00C15164">
        <w:rPr>
          <w:rFonts w:ascii="Times New Roman" w:hAnsi="Times New Roman" w:cs="Times New Roman"/>
          <w:sz w:val="24"/>
          <w:szCs w:val="24"/>
        </w:rPr>
        <w:t>á</w:t>
      </w:r>
      <w:r w:rsidRPr="00C15164">
        <w:rPr>
          <w:rFonts w:ascii="Times New Roman" w:hAnsi="Times New Roman" w:cs="Times New Roman"/>
          <w:sz w:val="24"/>
          <w:szCs w:val="24"/>
          <w:lang w:val="de-DE"/>
        </w:rPr>
        <w:t xml:space="preserve">ch </w:t>
      </w:r>
      <w:r w:rsidRPr="00C15164">
        <w:rPr>
          <w:rFonts w:ascii="Times New Roman" w:hAnsi="Times New Roman" w:cs="Times New Roman"/>
          <w:sz w:val="24"/>
          <w:szCs w:val="24"/>
        </w:rPr>
        <w:t>cần xác đị</w:t>
      </w:r>
      <w:r w:rsidRPr="00C15164">
        <w:rPr>
          <w:rFonts w:ascii="Times New Roman" w:hAnsi="Times New Roman" w:cs="Times New Roman"/>
          <w:sz w:val="24"/>
          <w:szCs w:val="24"/>
          <w:lang w:val="pt-PT"/>
        </w:rPr>
        <w:t xml:space="preserve">nh </w:t>
      </w:r>
      <w:r w:rsidRPr="00C15164">
        <w:rPr>
          <w:rFonts w:ascii="Times New Roman" w:hAnsi="Times New Roman" w:cs="Times New Roman"/>
          <w:sz w:val="24"/>
          <w:szCs w:val="24"/>
        </w:rPr>
        <w:t>được các cơ hội để thúc đẩy nhiều hơn sự tham gia của khu vực tư nhân trong đầu tư cơ sở hạ tầng thông qua các giai đoạn phát triển của dự án. Cũng có thể xây dựng một khung hợp tác giữa các đối tác chính nhằm tăng cường sự ổn định và đa dạng hoá nguồn tài chính cho cơ sở hạ tầng.</w:t>
      </w:r>
    </w:p>
    <w:p w14:paraId="0FC1E45A" w14:textId="77777777"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sz w:val="24"/>
          <w:szCs w:val="24"/>
        </w:rPr>
        <w:t>9</w:t>
      </w:r>
      <w:r w:rsidRPr="00C15164">
        <w:rPr>
          <w:rFonts w:ascii="Times New Roman" w:hAnsi="Times New Roman" w:cs="Times New Roman"/>
          <w:sz w:val="24"/>
          <w:szCs w:val="24"/>
        </w:rPr>
        <w:tab/>
        <w:t>Để có được hiểu biết đầy đủ về những động lực và trở ngạ</w:t>
      </w:r>
      <w:r w:rsidRPr="00C15164">
        <w:rPr>
          <w:rFonts w:ascii="Times New Roman" w:hAnsi="Times New Roman" w:cs="Times New Roman"/>
          <w:sz w:val="24"/>
          <w:szCs w:val="24"/>
          <w:lang w:val="it-IT"/>
        </w:rPr>
        <w:t>i c</w:t>
      </w:r>
      <w:r w:rsidRPr="00C15164">
        <w:rPr>
          <w:rFonts w:ascii="Times New Roman" w:hAnsi="Times New Roman" w:cs="Times New Roman"/>
          <w:sz w:val="24"/>
          <w:szCs w:val="24"/>
        </w:rPr>
        <w:t>ủa đầu tư cơ sở hạ tầng, cần c</w:t>
      </w:r>
      <w:r w:rsidRPr="00C15164">
        <w:rPr>
          <w:rFonts w:ascii="Times New Roman" w:hAnsi="Times New Roman" w:cs="Times New Roman"/>
          <w:sz w:val="24"/>
          <w:szCs w:val="24"/>
          <w:lang w:val="es-ES_tradnl"/>
        </w:rPr>
        <w:t>ó</w:t>
      </w:r>
      <w:r w:rsidRPr="00C15164">
        <w:rPr>
          <w:rFonts w:ascii="Times New Roman" w:hAnsi="Times New Roman" w:cs="Times New Roman"/>
          <w:sz w:val="24"/>
          <w:szCs w:val="24"/>
        </w:rPr>
        <w:t xml:space="preserve"> phân tí</w:t>
      </w:r>
      <w:r w:rsidRPr="00C15164">
        <w:rPr>
          <w:rFonts w:ascii="Times New Roman" w:hAnsi="Times New Roman" w:cs="Times New Roman"/>
          <w:sz w:val="24"/>
          <w:szCs w:val="24"/>
          <w:lang w:val="it-IT"/>
        </w:rPr>
        <w:t>ch chi ti</w:t>
      </w:r>
      <w:r w:rsidRPr="00C15164">
        <w:rPr>
          <w:rFonts w:ascii="Times New Roman" w:hAnsi="Times New Roman" w:cs="Times New Roman"/>
          <w:sz w:val="24"/>
          <w:szCs w:val="24"/>
        </w:rPr>
        <w:t>ết về các tài sản tài chính cơ sở hạ tầng. Các nền kinh tế APEC có thể cân nhắc thu thậ</w:t>
      </w:r>
      <w:r w:rsidRPr="00C15164">
        <w:rPr>
          <w:rFonts w:ascii="Times New Roman" w:hAnsi="Times New Roman" w:cs="Times New Roman"/>
          <w:sz w:val="24"/>
          <w:szCs w:val="24"/>
          <w:lang w:val="nl-NL"/>
        </w:rPr>
        <w:t>p d</w:t>
      </w:r>
      <w:r w:rsidRPr="00C15164">
        <w:rPr>
          <w:rFonts w:ascii="Times New Roman" w:hAnsi="Times New Roman" w:cs="Times New Roman"/>
          <w:sz w:val="24"/>
          <w:szCs w:val="24"/>
        </w:rPr>
        <w:t>ữ liệu theo mẫu chuẩn đối với các thông tin tài sản tài chính cơ sở hạ tầng, bao gồm lị</w:t>
      </w:r>
      <w:r w:rsidRPr="00C15164">
        <w:rPr>
          <w:rFonts w:ascii="Times New Roman" w:hAnsi="Times New Roman" w:cs="Times New Roman"/>
          <w:sz w:val="24"/>
          <w:szCs w:val="24"/>
          <w:lang w:val="de-DE"/>
        </w:rPr>
        <w:t>ch s</w:t>
      </w:r>
      <w:r w:rsidRPr="00C15164">
        <w:rPr>
          <w:rFonts w:ascii="Times New Roman" w:hAnsi="Times New Roman" w:cs="Times New Roman"/>
          <w:sz w:val="24"/>
          <w:szCs w:val="24"/>
        </w:rPr>
        <w:t>ử d</w:t>
      </w:r>
      <w:r w:rsidRPr="00C15164">
        <w:rPr>
          <w:rFonts w:ascii="Times New Roman" w:hAnsi="Times New Roman" w:cs="Times New Roman"/>
          <w:sz w:val="24"/>
          <w:szCs w:val="24"/>
          <w:lang w:val="it-IT"/>
        </w:rPr>
        <w:t>ò</w:t>
      </w:r>
      <w:r w:rsidRPr="00C15164">
        <w:rPr>
          <w:rFonts w:ascii="Times New Roman" w:hAnsi="Times New Roman" w:cs="Times New Roman"/>
          <w:sz w:val="24"/>
          <w:szCs w:val="24"/>
        </w:rPr>
        <w:t>ng tiề</w:t>
      </w:r>
      <w:r w:rsidRPr="00C15164">
        <w:rPr>
          <w:rFonts w:ascii="Times New Roman" w:hAnsi="Times New Roman" w:cs="Times New Roman"/>
          <w:sz w:val="24"/>
          <w:szCs w:val="24"/>
          <w:lang w:val="de-DE"/>
        </w:rPr>
        <w:t>n v</w:t>
      </w:r>
      <w:r w:rsidRPr="00C15164">
        <w:rPr>
          <w:rFonts w:ascii="Times New Roman" w:hAnsi="Times New Roman" w:cs="Times New Roman"/>
          <w:sz w:val="24"/>
          <w:szCs w:val="24"/>
        </w:rPr>
        <w:t>à thông tin định tí</w:t>
      </w:r>
      <w:r w:rsidRPr="00C15164">
        <w:rPr>
          <w:rFonts w:ascii="Times New Roman" w:hAnsi="Times New Roman" w:cs="Times New Roman"/>
          <w:sz w:val="24"/>
          <w:szCs w:val="24"/>
          <w:lang w:val="de-DE"/>
        </w:rPr>
        <w:t>nh v</w:t>
      </w:r>
      <w:r w:rsidRPr="00C15164">
        <w:rPr>
          <w:rFonts w:ascii="Times New Roman" w:hAnsi="Times New Roman" w:cs="Times New Roman"/>
          <w:sz w:val="24"/>
          <w:szCs w:val="24"/>
        </w:rPr>
        <w:t>ề đặc điểm và tí</w:t>
      </w:r>
      <w:r w:rsidRPr="00C15164">
        <w:rPr>
          <w:rFonts w:ascii="Times New Roman" w:hAnsi="Times New Roman" w:cs="Times New Roman"/>
          <w:sz w:val="24"/>
          <w:szCs w:val="24"/>
          <w:lang w:val="pt-PT"/>
        </w:rPr>
        <w:t>nh b</w:t>
      </w:r>
      <w:r w:rsidRPr="00C15164">
        <w:rPr>
          <w:rFonts w:ascii="Times New Roman" w:hAnsi="Times New Roman" w:cs="Times New Roman"/>
          <w:sz w:val="24"/>
          <w:szCs w:val="24"/>
        </w:rPr>
        <w:t>ề</w:t>
      </w:r>
      <w:r w:rsidRPr="00C15164">
        <w:rPr>
          <w:rFonts w:ascii="Times New Roman" w:hAnsi="Times New Roman" w:cs="Times New Roman"/>
          <w:sz w:val="24"/>
          <w:szCs w:val="24"/>
          <w:lang w:val="de-DE"/>
        </w:rPr>
        <w:t>n v</w:t>
      </w:r>
      <w:r w:rsidRPr="00C15164">
        <w:rPr>
          <w:rFonts w:ascii="Times New Roman" w:hAnsi="Times New Roman" w:cs="Times New Roman"/>
          <w:sz w:val="24"/>
          <w:szCs w:val="24"/>
        </w:rPr>
        <w:t>ững củ</w:t>
      </w:r>
      <w:r w:rsidRPr="00C15164">
        <w:rPr>
          <w:rFonts w:ascii="Times New Roman" w:hAnsi="Times New Roman" w:cs="Times New Roman"/>
          <w:sz w:val="24"/>
          <w:szCs w:val="24"/>
          <w:lang w:val="it-IT"/>
        </w:rPr>
        <w:t>a d</w:t>
      </w:r>
      <w:r w:rsidRPr="00C15164">
        <w:rPr>
          <w:rFonts w:ascii="Times New Roman" w:hAnsi="Times New Roman" w:cs="Times New Roman"/>
          <w:sz w:val="24"/>
          <w:szCs w:val="24"/>
        </w:rPr>
        <w:t>ự án, qua đó c</w:t>
      </w:r>
      <w:r w:rsidRPr="00C15164">
        <w:rPr>
          <w:rFonts w:ascii="Times New Roman" w:hAnsi="Times New Roman" w:cs="Times New Roman"/>
          <w:sz w:val="24"/>
          <w:szCs w:val="24"/>
          <w:lang w:val="es-ES_tradnl"/>
        </w:rPr>
        <w:t xml:space="preserve">ó </w:t>
      </w:r>
      <w:r w:rsidRPr="00C15164">
        <w:rPr>
          <w:rFonts w:ascii="Times New Roman" w:hAnsi="Times New Roman" w:cs="Times New Roman"/>
          <w:sz w:val="24"/>
          <w:szCs w:val="24"/>
        </w:rPr>
        <w:t>thể cân nhắc phát triển các sản phẩm tài chính về cơ sở hạ tầng cho các nền kinh tế APEC.</w:t>
      </w:r>
    </w:p>
    <w:p w14:paraId="1C61FC75" w14:textId="73EBB694" w:rsidR="00C15164" w:rsidRPr="00C15164" w:rsidRDefault="00C15164" w:rsidP="00C15164">
      <w:pPr>
        <w:tabs>
          <w:tab w:val="left" w:pos="558"/>
        </w:tabs>
        <w:rPr>
          <w:rFonts w:ascii="Times New Roman" w:hAnsi="Times New Roman" w:cs="Times New Roman"/>
          <w:spacing w:val="-4"/>
          <w:sz w:val="24"/>
          <w:szCs w:val="24"/>
        </w:rPr>
      </w:pPr>
      <w:r w:rsidRPr="00C15164">
        <w:rPr>
          <w:rFonts w:ascii="Times New Roman" w:hAnsi="Times New Roman" w:cs="Times New Roman"/>
          <w:b/>
          <w:sz w:val="24"/>
          <w:szCs w:val="24"/>
        </w:rPr>
        <w:t xml:space="preserve">Quan hệ đối tác công-tư, thiết kế </w:t>
      </w:r>
      <w:r w:rsidRPr="00C15164">
        <w:rPr>
          <w:rFonts w:ascii="Times New Roman" w:hAnsi="Times New Roman" w:cs="Times New Roman"/>
          <w:b/>
          <w:sz w:val="24"/>
          <w:szCs w:val="24"/>
          <w:lang w:val="pt-PT"/>
        </w:rPr>
        <w:t>giao d</w:t>
      </w:r>
      <w:r w:rsidRPr="00C15164">
        <w:rPr>
          <w:rFonts w:ascii="Times New Roman" w:hAnsi="Times New Roman" w:cs="Times New Roman"/>
          <w:b/>
          <w:sz w:val="24"/>
          <w:szCs w:val="24"/>
        </w:rPr>
        <w:t>ị</w:t>
      </w:r>
      <w:r w:rsidRPr="00C15164">
        <w:rPr>
          <w:rFonts w:ascii="Times New Roman" w:hAnsi="Times New Roman" w:cs="Times New Roman"/>
          <w:b/>
          <w:sz w:val="24"/>
          <w:szCs w:val="24"/>
          <w:lang w:val="de-DE"/>
        </w:rPr>
        <w:t>ch hi</w:t>
      </w:r>
      <w:r w:rsidRPr="00C15164">
        <w:rPr>
          <w:rFonts w:ascii="Times New Roman" w:hAnsi="Times New Roman" w:cs="Times New Roman"/>
          <w:b/>
          <w:sz w:val="24"/>
          <w:szCs w:val="24"/>
        </w:rPr>
        <w:t>ệ</w:t>
      </w:r>
      <w:r w:rsidRPr="00C15164">
        <w:rPr>
          <w:rFonts w:ascii="Times New Roman" w:hAnsi="Times New Roman" w:cs="Times New Roman"/>
          <w:b/>
          <w:sz w:val="24"/>
          <w:szCs w:val="24"/>
          <w:lang w:val="pt-PT"/>
        </w:rPr>
        <w:t>u qu</w:t>
      </w:r>
      <w:r w:rsidRPr="00C15164">
        <w:rPr>
          <w:rFonts w:ascii="Times New Roman" w:hAnsi="Times New Roman" w:cs="Times New Roman"/>
          <w:b/>
          <w:sz w:val="24"/>
          <w:szCs w:val="24"/>
        </w:rPr>
        <w:t>ả và phân bổ rủi ro</w:t>
      </w:r>
    </w:p>
    <w:p w14:paraId="761ECAF9" w14:textId="77777777"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sz w:val="24"/>
          <w:szCs w:val="24"/>
        </w:rPr>
        <w:t>10</w:t>
      </w:r>
      <w:r w:rsidRPr="00C15164">
        <w:rPr>
          <w:rFonts w:ascii="Times New Roman" w:hAnsi="Times New Roman" w:cs="Times New Roman"/>
          <w:sz w:val="24"/>
          <w:szCs w:val="24"/>
        </w:rPr>
        <w:tab/>
        <w:t xml:space="preserve">Nâng cao kiến </w:t>
      </w:r>
      <w:r w:rsidRPr="00C15164">
        <w:rPr>
          <w:rFonts w:ascii="Times New Roman" w:hAnsi="Times New Roman" w:cs="Times New Roman"/>
          <w:sz w:val="24"/>
          <w:szCs w:val="24"/>
          <w:lang w:val="es-ES_tradnl"/>
        </w:rPr>
        <w:t>​​</w:t>
      </w:r>
      <w:r w:rsidRPr="00C15164">
        <w:rPr>
          <w:rFonts w:ascii="Times New Roman" w:hAnsi="Times New Roman" w:cs="Times New Roman"/>
          <w:sz w:val="24"/>
          <w:szCs w:val="24"/>
          <w:lang w:val="it-IT"/>
        </w:rPr>
        <w:t>th</w:t>
      </w:r>
      <w:r w:rsidRPr="00C15164">
        <w:rPr>
          <w:rFonts w:ascii="Times New Roman" w:hAnsi="Times New Roman" w:cs="Times New Roman"/>
          <w:sz w:val="24"/>
          <w:szCs w:val="24"/>
        </w:rPr>
        <w:t>ức, mô h</w:t>
      </w:r>
      <w:r w:rsidRPr="00C15164">
        <w:rPr>
          <w:rFonts w:ascii="Times New Roman" w:hAnsi="Times New Roman" w:cs="Times New Roman"/>
          <w:sz w:val="24"/>
          <w:szCs w:val="24"/>
          <w:lang w:val="it-IT"/>
        </w:rPr>
        <w:t>ì</w:t>
      </w:r>
      <w:r w:rsidRPr="00C15164">
        <w:rPr>
          <w:rFonts w:ascii="Times New Roman" w:hAnsi="Times New Roman" w:cs="Times New Roman"/>
          <w:sz w:val="24"/>
          <w:szCs w:val="24"/>
          <w:lang w:val="de-DE"/>
        </w:rPr>
        <w:t>nh v</w:t>
      </w:r>
      <w:r w:rsidRPr="00C15164">
        <w:rPr>
          <w:rFonts w:ascii="Times New Roman" w:hAnsi="Times New Roman" w:cs="Times New Roman"/>
          <w:sz w:val="24"/>
          <w:szCs w:val="24"/>
          <w:lang w:val="it-IT"/>
        </w:rPr>
        <w:t>à chuyê</w:t>
      </w:r>
      <w:r w:rsidRPr="00C15164">
        <w:rPr>
          <w:rFonts w:ascii="Times New Roman" w:hAnsi="Times New Roman" w:cs="Times New Roman"/>
          <w:sz w:val="24"/>
          <w:szCs w:val="24"/>
        </w:rPr>
        <w:t>n mô</w:t>
      </w:r>
      <w:r w:rsidRPr="00C15164">
        <w:rPr>
          <w:rFonts w:ascii="Times New Roman" w:hAnsi="Times New Roman" w:cs="Times New Roman"/>
          <w:sz w:val="24"/>
          <w:szCs w:val="24"/>
          <w:lang w:val="de-DE"/>
        </w:rPr>
        <w:t>n v</w:t>
      </w:r>
      <w:r w:rsidRPr="00C15164">
        <w:rPr>
          <w:rFonts w:ascii="Times New Roman" w:hAnsi="Times New Roman" w:cs="Times New Roman"/>
          <w:sz w:val="24"/>
          <w:szCs w:val="24"/>
        </w:rPr>
        <w:t xml:space="preserve">ề </w:t>
      </w:r>
      <w:r w:rsidRPr="00C15164">
        <w:rPr>
          <w:rFonts w:ascii="Times New Roman" w:hAnsi="Times New Roman" w:cs="Times New Roman"/>
          <w:sz w:val="24"/>
          <w:szCs w:val="24"/>
          <w:lang w:val="es-ES_tradnl"/>
        </w:rPr>
        <w:t>PPP s</w:t>
      </w:r>
      <w:r w:rsidRPr="00C15164">
        <w:rPr>
          <w:rFonts w:ascii="Times New Roman" w:hAnsi="Times New Roman" w:cs="Times New Roman"/>
          <w:sz w:val="24"/>
          <w:szCs w:val="24"/>
        </w:rPr>
        <w:t>ẽ giú</w:t>
      </w:r>
      <w:r w:rsidRPr="00C15164">
        <w:rPr>
          <w:rFonts w:ascii="Times New Roman" w:hAnsi="Times New Roman" w:cs="Times New Roman"/>
          <w:sz w:val="24"/>
          <w:szCs w:val="24"/>
          <w:lang w:val="it-IT"/>
        </w:rPr>
        <w:t>p thu h</w:t>
      </w:r>
      <w:r w:rsidRPr="00C15164">
        <w:rPr>
          <w:rFonts w:ascii="Times New Roman" w:hAnsi="Times New Roman" w:cs="Times New Roman"/>
          <w:sz w:val="24"/>
          <w:szCs w:val="24"/>
        </w:rPr>
        <w:t>ú</w:t>
      </w:r>
      <w:r w:rsidRPr="00C15164">
        <w:rPr>
          <w:rFonts w:ascii="Times New Roman" w:hAnsi="Times New Roman" w:cs="Times New Roman"/>
          <w:sz w:val="24"/>
          <w:szCs w:val="24"/>
          <w:lang w:val="it-IT"/>
        </w:rPr>
        <w:t>t thê</w:t>
      </w:r>
      <w:r w:rsidRPr="00C15164">
        <w:rPr>
          <w:rFonts w:ascii="Times New Roman" w:hAnsi="Times New Roman" w:cs="Times New Roman"/>
          <w:sz w:val="24"/>
          <w:szCs w:val="24"/>
        </w:rPr>
        <w:t xml:space="preserve">m vốn tư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â</w:t>
      </w:r>
      <w:r w:rsidRPr="00C15164">
        <w:rPr>
          <w:rFonts w:ascii="Times New Roman" w:hAnsi="Times New Roman" w:cs="Times New Roman"/>
          <w:sz w:val="24"/>
          <w:szCs w:val="24"/>
          <w:lang w:val="de-DE"/>
        </w:rPr>
        <w:t>n v</w:t>
      </w:r>
      <w:r w:rsidRPr="00C15164">
        <w:rPr>
          <w:rFonts w:ascii="Times New Roman" w:hAnsi="Times New Roman" w:cs="Times New Roman"/>
          <w:sz w:val="24"/>
          <w:szCs w:val="24"/>
          <w:lang w:val="it-IT"/>
        </w:rPr>
        <w:t xml:space="preserve">ào </w:t>
      </w:r>
      <w:r w:rsidRPr="00C15164">
        <w:rPr>
          <w:rFonts w:ascii="Times New Roman" w:hAnsi="Times New Roman" w:cs="Times New Roman"/>
          <w:sz w:val="24"/>
          <w:szCs w:val="24"/>
        </w:rPr>
        <w:t>đầu tư cơ sở hạ tầng. Một số tổ chức quốc tế nhấn mạnh ba yếu tố đặc biệt hữu í</w:t>
      </w:r>
      <w:r w:rsidRPr="00C15164">
        <w:rPr>
          <w:rFonts w:ascii="Times New Roman" w:hAnsi="Times New Roman" w:cs="Times New Roman"/>
          <w:sz w:val="24"/>
          <w:szCs w:val="24"/>
          <w:lang w:val="de-DE"/>
        </w:rPr>
        <w:t>ch</w:t>
      </w:r>
      <w:r w:rsidRPr="00C15164">
        <w:rPr>
          <w:rStyle w:val="FootnoteReference"/>
          <w:rFonts w:ascii="Times New Roman" w:hAnsi="Times New Roman" w:cs="Times New Roman"/>
          <w:sz w:val="24"/>
          <w:szCs w:val="24"/>
          <w:lang w:val="de-DE"/>
        </w:rPr>
        <w:footnoteReference w:id="2"/>
      </w:r>
      <w:r w:rsidRPr="00C15164">
        <w:rPr>
          <w:rFonts w:ascii="Times New Roman" w:hAnsi="Times New Roman" w:cs="Times New Roman"/>
          <w:sz w:val="24"/>
          <w:szCs w:val="24"/>
          <w:lang w:val="de-DE"/>
        </w:rPr>
        <w:t xml:space="preserve"> </w:t>
      </w:r>
      <w:r w:rsidRPr="00C15164">
        <w:rPr>
          <w:rFonts w:ascii="Times New Roman" w:hAnsi="Times New Roman" w:cs="Times New Roman"/>
          <w:sz w:val="24"/>
          <w:szCs w:val="24"/>
        </w:rPr>
        <w:t>để xác đị</w:t>
      </w:r>
      <w:r w:rsidRPr="00C15164">
        <w:rPr>
          <w:rFonts w:ascii="Times New Roman" w:hAnsi="Times New Roman" w:cs="Times New Roman"/>
          <w:sz w:val="24"/>
          <w:szCs w:val="24"/>
          <w:lang w:val="pt-PT"/>
        </w:rPr>
        <w:t xml:space="preserve">nh </w:t>
      </w:r>
      <w:r w:rsidRPr="00C15164">
        <w:rPr>
          <w:rFonts w:ascii="Times New Roman" w:hAnsi="Times New Roman" w:cs="Times New Roman"/>
          <w:sz w:val="24"/>
          <w:szCs w:val="24"/>
        </w:rPr>
        <w:t>mức độ hỗ trợ củ</w:t>
      </w:r>
      <w:r w:rsidRPr="00C15164">
        <w:rPr>
          <w:rFonts w:ascii="Times New Roman" w:hAnsi="Times New Roman" w:cs="Times New Roman"/>
          <w:sz w:val="24"/>
          <w:szCs w:val="24"/>
          <w:lang w:val="it-IT"/>
        </w:rPr>
        <w:t>a ch</w:t>
      </w:r>
      <w:r w:rsidRPr="00C15164">
        <w:rPr>
          <w:rFonts w:ascii="Times New Roman" w:hAnsi="Times New Roman" w:cs="Times New Roman"/>
          <w:sz w:val="24"/>
          <w:szCs w:val="24"/>
        </w:rPr>
        <w:t>ính phủ đối với dự án</w:t>
      </w:r>
      <w:r w:rsidRPr="00C15164">
        <w:rPr>
          <w:rFonts w:ascii="Times New Roman" w:hAnsi="Times New Roman" w:cs="Times New Roman"/>
          <w:sz w:val="24"/>
          <w:szCs w:val="24"/>
          <w:lang w:val="es-ES_tradnl"/>
        </w:rPr>
        <w:t xml:space="preserve"> PPP </w:t>
      </w:r>
      <w:r w:rsidRPr="00C15164">
        <w:rPr>
          <w:rFonts w:ascii="Times New Roman" w:hAnsi="Times New Roman" w:cs="Times New Roman"/>
          <w:sz w:val="24"/>
          <w:szCs w:val="24"/>
        </w:rPr>
        <w:t>qua đó xây dựng một cơ</w:t>
      </w:r>
      <w:r w:rsidRPr="00C15164">
        <w:rPr>
          <w:rFonts w:ascii="Times New Roman" w:hAnsi="Times New Roman" w:cs="Times New Roman"/>
          <w:sz w:val="24"/>
          <w:szCs w:val="24"/>
          <w:lang w:val="it-IT"/>
        </w:rPr>
        <w:t xml:space="preserve"> ch</w:t>
      </w:r>
      <w:r w:rsidRPr="00C15164">
        <w:rPr>
          <w:rFonts w:ascii="Times New Roman" w:hAnsi="Times New Roman" w:cs="Times New Roman"/>
          <w:sz w:val="24"/>
          <w:szCs w:val="24"/>
        </w:rPr>
        <w:t>ế ph</w:t>
      </w:r>
      <w:r w:rsidRPr="00C15164">
        <w:rPr>
          <w:rFonts w:ascii="Times New Roman" w:hAnsi="Times New Roman" w:cs="Times New Roman"/>
          <w:sz w:val="24"/>
          <w:szCs w:val="24"/>
          <w:lang w:val="it-IT"/>
        </w:rPr>
        <w:t xml:space="preserve">ù </w:t>
      </w:r>
      <w:r w:rsidRPr="00C15164">
        <w:rPr>
          <w:rFonts w:ascii="Times New Roman" w:hAnsi="Times New Roman" w:cs="Times New Roman"/>
          <w:sz w:val="24"/>
          <w:szCs w:val="24"/>
        </w:rPr>
        <w:t>hợp, bao gồm: (i) thiết lậ</w:t>
      </w:r>
      <w:r w:rsidRPr="00C15164">
        <w:rPr>
          <w:rFonts w:ascii="Times New Roman" w:hAnsi="Times New Roman" w:cs="Times New Roman"/>
          <w:sz w:val="24"/>
          <w:szCs w:val="24"/>
          <w:lang w:val="nl-NL"/>
        </w:rPr>
        <w:t>p khu</w:t>
      </w:r>
      <w:r w:rsidRPr="00C15164">
        <w:rPr>
          <w:rFonts w:ascii="Times New Roman" w:hAnsi="Times New Roman" w:cs="Times New Roman"/>
          <w:sz w:val="24"/>
          <w:szCs w:val="24"/>
        </w:rPr>
        <w:t>ôn khổ thể chế r</w:t>
      </w:r>
      <w:r w:rsidRPr="00C15164">
        <w:rPr>
          <w:rFonts w:ascii="Times New Roman" w:hAnsi="Times New Roman" w:cs="Times New Roman"/>
          <w:sz w:val="24"/>
          <w:szCs w:val="24"/>
          <w:lang w:val="pt-PT"/>
        </w:rPr>
        <w:t xml:space="preserve">õ </w:t>
      </w:r>
      <w:r w:rsidRPr="00C15164">
        <w:rPr>
          <w:rFonts w:ascii="Times New Roman" w:hAnsi="Times New Roman" w:cs="Times New Roman"/>
          <w:sz w:val="24"/>
          <w:szCs w:val="24"/>
        </w:rPr>
        <w:t>ràng, hợp pháp và c</w:t>
      </w:r>
      <w:r w:rsidRPr="00C15164">
        <w:rPr>
          <w:rFonts w:ascii="Times New Roman" w:hAnsi="Times New Roman" w:cs="Times New Roman"/>
          <w:sz w:val="24"/>
          <w:szCs w:val="24"/>
          <w:lang w:val="es-ES_tradnl"/>
        </w:rPr>
        <w:t xml:space="preserve">ó </w:t>
      </w:r>
      <w:r w:rsidRPr="00C15164">
        <w:rPr>
          <w:rFonts w:ascii="Times New Roman" w:hAnsi="Times New Roman" w:cs="Times New Roman"/>
          <w:sz w:val="24"/>
          <w:szCs w:val="24"/>
        </w:rPr>
        <w:t xml:space="preserve">thể dự đoán được với sự hỗ trợ của các cơ </w:t>
      </w:r>
      <w:r w:rsidRPr="00C15164">
        <w:rPr>
          <w:rFonts w:ascii="Times New Roman" w:hAnsi="Times New Roman" w:cs="Times New Roman"/>
          <w:sz w:val="24"/>
          <w:szCs w:val="24"/>
          <w:lang w:val="pt-PT"/>
        </w:rPr>
        <w:t xml:space="preserve">quan </w:t>
      </w:r>
      <w:r w:rsidRPr="00C15164">
        <w:rPr>
          <w:rFonts w:ascii="Times New Roman" w:hAnsi="Times New Roman" w:cs="Times New Roman"/>
          <w:sz w:val="24"/>
          <w:szCs w:val="24"/>
        </w:rPr>
        <w:t>chức năng có đủ năng lực; (ii) xác định các lự</w:t>
      </w:r>
      <w:r w:rsidRPr="00C15164">
        <w:rPr>
          <w:rFonts w:ascii="Times New Roman" w:hAnsi="Times New Roman" w:cs="Times New Roman"/>
          <w:sz w:val="24"/>
          <w:szCs w:val="24"/>
          <w:lang w:val="it-IT"/>
        </w:rPr>
        <w:t>a ch</w:t>
      </w:r>
      <w:r w:rsidRPr="00C15164">
        <w:rPr>
          <w:rFonts w:ascii="Times New Roman" w:hAnsi="Times New Roman" w:cs="Times New Roman"/>
          <w:sz w:val="24"/>
          <w:szCs w:val="24"/>
        </w:rPr>
        <w:t>ọn về PPP trên cơ sở giá trị tiền tệ; và (iii) áp dụng quy tr</w:t>
      </w:r>
      <w:r w:rsidRPr="00C15164">
        <w:rPr>
          <w:rFonts w:ascii="Times New Roman" w:hAnsi="Times New Roman" w:cs="Times New Roman"/>
          <w:sz w:val="24"/>
          <w:szCs w:val="24"/>
          <w:lang w:val="it-IT"/>
        </w:rPr>
        <w:t>ì</w:t>
      </w:r>
      <w:r w:rsidRPr="00C15164">
        <w:rPr>
          <w:rFonts w:ascii="Times New Roman" w:hAnsi="Times New Roman" w:cs="Times New Roman"/>
          <w:sz w:val="24"/>
          <w:szCs w:val="24"/>
          <w:lang w:val="de-DE"/>
        </w:rPr>
        <w:t>nh ng</w:t>
      </w:r>
      <w:r w:rsidRPr="00C15164">
        <w:rPr>
          <w:rFonts w:ascii="Times New Roman" w:hAnsi="Times New Roman" w:cs="Times New Roman"/>
          <w:sz w:val="24"/>
          <w:szCs w:val="24"/>
        </w:rPr>
        <w:t>ân sá</w:t>
      </w:r>
      <w:r w:rsidRPr="00C15164">
        <w:rPr>
          <w:rFonts w:ascii="Times New Roman" w:hAnsi="Times New Roman" w:cs="Times New Roman"/>
          <w:sz w:val="24"/>
          <w:szCs w:val="24"/>
          <w:lang w:val="pt-PT"/>
        </w:rPr>
        <w:t>ch minh b</w:t>
      </w:r>
      <w:r w:rsidRPr="00C15164">
        <w:rPr>
          <w:rFonts w:ascii="Times New Roman" w:hAnsi="Times New Roman" w:cs="Times New Roman"/>
          <w:sz w:val="24"/>
          <w:szCs w:val="24"/>
        </w:rPr>
        <w:t>ạ</w:t>
      </w:r>
      <w:r w:rsidRPr="00C15164">
        <w:rPr>
          <w:rFonts w:ascii="Times New Roman" w:hAnsi="Times New Roman" w:cs="Times New Roman"/>
          <w:sz w:val="24"/>
          <w:szCs w:val="24"/>
          <w:lang w:val="de-DE"/>
        </w:rPr>
        <w:t xml:space="preserve">ch </w:t>
      </w:r>
      <w:r w:rsidRPr="00C15164">
        <w:rPr>
          <w:rFonts w:ascii="Times New Roman" w:hAnsi="Times New Roman" w:cs="Times New Roman"/>
          <w:sz w:val="24"/>
          <w:szCs w:val="24"/>
        </w:rPr>
        <w:t>để giảm thiểu rủ</w:t>
      </w:r>
      <w:r w:rsidRPr="00C15164">
        <w:rPr>
          <w:rFonts w:ascii="Times New Roman" w:hAnsi="Times New Roman" w:cs="Times New Roman"/>
          <w:sz w:val="24"/>
          <w:szCs w:val="24"/>
          <w:lang w:val="it-IT"/>
        </w:rPr>
        <w:t>i ro t</w:t>
      </w:r>
      <w:r w:rsidRPr="00C15164">
        <w:rPr>
          <w:rFonts w:ascii="Times New Roman" w:hAnsi="Times New Roman" w:cs="Times New Roman"/>
          <w:sz w:val="24"/>
          <w:szCs w:val="24"/>
        </w:rPr>
        <w:t>à</w:t>
      </w:r>
      <w:r w:rsidRPr="00C15164">
        <w:rPr>
          <w:rFonts w:ascii="Times New Roman" w:hAnsi="Times New Roman" w:cs="Times New Roman"/>
          <w:sz w:val="24"/>
          <w:szCs w:val="24"/>
          <w:lang w:val="it-IT"/>
        </w:rPr>
        <w:t>i ch</w:t>
      </w:r>
      <w:r w:rsidRPr="00C15164">
        <w:rPr>
          <w:rFonts w:ascii="Times New Roman" w:hAnsi="Times New Roman" w:cs="Times New Roman"/>
          <w:sz w:val="24"/>
          <w:szCs w:val="24"/>
        </w:rPr>
        <w:t>í</w:t>
      </w:r>
      <w:r w:rsidRPr="00C15164">
        <w:rPr>
          <w:rFonts w:ascii="Times New Roman" w:hAnsi="Times New Roman" w:cs="Times New Roman"/>
          <w:sz w:val="24"/>
          <w:szCs w:val="24"/>
          <w:lang w:val="de-DE"/>
        </w:rPr>
        <w:t>nh v</w:t>
      </w:r>
      <w:r w:rsidRPr="00C15164">
        <w:rPr>
          <w:rFonts w:ascii="Times New Roman" w:hAnsi="Times New Roman" w:cs="Times New Roman"/>
          <w:sz w:val="24"/>
          <w:szCs w:val="24"/>
        </w:rPr>
        <w:t>à đảm bảo sự thống nhất của quy trình chi tiêu công. Mô</w:t>
      </w:r>
      <w:r w:rsidRPr="00C15164">
        <w:rPr>
          <w:rFonts w:ascii="Times New Roman" w:hAnsi="Times New Roman" w:cs="Times New Roman"/>
          <w:sz w:val="24"/>
          <w:szCs w:val="24"/>
          <w:lang w:val="it-IT"/>
        </w:rPr>
        <w:t>i tr</w:t>
      </w:r>
      <w:r w:rsidRPr="00C15164">
        <w:rPr>
          <w:rFonts w:ascii="Times New Roman" w:hAnsi="Times New Roman" w:cs="Times New Roman"/>
          <w:sz w:val="24"/>
          <w:szCs w:val="24"/>
        </w:rPr>
        <w:t>ường kinh doanh thuậ</w:t>
      </w:r>
      <w:r w:rsidRPr="00C15164">
        <w:rPr>
          <w:rFonts w:ascii="Times New Roman" w:hAnsi="Times New Roman" w:cs="Times New Roman"/>
          <w:sz w:val="24"/>
          <w:szCs w:val="24"/>
          <w:lang w:val="es-ES_tradnl"/>
        </w:rPr>
        <w:t>n l</w:t>
      </w:r>
      <w:r w:rsidRPr="00C15164">
        <w:rPr>
          <w:rFonts w:ascii="Times New Roman" w:hAnsi="Times New Roman" w:cs="Times New Roman"/>
          <w:sz w:val="24"/>
          <w:szCs w:val="24"/>
        </w:rPr>
        <w:t>ợi với hệ thống luật pháp nghiêm minh, đảm bảo tuân thủ các cam kết hợp đồng, và các quy định mang tính hiệu quả cao là yếu tố cơ bả</w:t>
      </w:r>
      <w:r w:rsidRPr="00C15164">
        <w:rPr>
          <w:rFonts w:ascii="Times New Roman" w:hAnsi="Times New Roman" w:cs="Times New Roman"/>
          <w:sz w:val="24"/>
          <w:szCs w:val="24"/>
          <w:lang w:val="nl-NL"/>
        </w:rPr>
        <w:t>n trong vi</w:t>
      </w:r>
      <w:r w:rsidRPr="00C15164">
        <w:rPr>
          <w:rFonts w:ascii="Times New Roman" w:hAnsi="Times New Roman" w:cs="Times New Roman"/>
          <w:sz w:val="24"/>
          <w:szCs w:val="24"/>
        </w:rPr>
        <w:t xml:space="preserve">ệc thu hút đầu tư của khu vực tư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ân vào thị trường cơ sở hạ tầng</w:t>
      </w:r>
      <w:r w:rsidRPr="00C15164">
        <w:rPr>
          <w:rStyle w:val="FootnoteReference"/>
          <w:rFonts w:ascii="Times New Roman" w:hAnsi="Times New Roman" w:cs="Times New Roman"/>
          <w:sz w:val="24"/>
          <w:szCs w:val="24"/>
        </w:rPr>
        <w:footnoteReference w:id="3"/>
      </w:r>
      <w:r w:rsidRPr="00C15164">
        <w:rPr>
          <w:rFonts w:ascii="Times New Roman" w:hAnsi="Times New Roman" w:cs="Times New Roman"/>
          <w:sz w:val="24"/>
          <w:szCs w:val="24"/>
        </w:rPr>
        <w:t>.</w:t>
      </w:r>
    </w:p>
    <w:p w14:paraId="165DB4AF" w14:textId="77777777"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sz w:val="24"/>
          <w:szCs w:val="24"/>
        </w:rPr>
        <w:t>11</w:t>
      </w:r>
      <w:r w:rsidRPr="00C15164">
        <w:rPr>
          <w:rFonts w:ascii="Times New Roman" w:hAnsi="Times New Roman" w:cs="Times New Roman"/>
          <w:sz w:val="24"/>
          <w:szCs w:val="24"/>
        </w:rPr>
        <w:tab/>
        <w:t xml:space="preserve">Tăng mức đầu tư của khu vực tư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ân trong các dự á</w:t>
      </w:r>
      <w:r w:rsidRPr="00C15164">
        <w:rPr>
          <w:rFonts w:ascii="Times New Roman" w:hAnsi="Times New Roman" w:cs="Times New Roman"/>
          <w:sz w:val="24"/>
          <w:szCs w:val="24"/>
          <w:lang w:val="es-ES_tradnl"/>
        </w:rPr>
        <w:t>n PPP s</w:t>
      </w:r>
      <w:r w:rsidRPr="00C15164">
        <w:rPr>
          <w:rFonts w:ascii="Times New Roman" w:hAnsi="Times New Roman" w:cs="Times New Roman"/>
          <w:sz w:val="24"/>
          <w:szCs w:val="24"/>
        </w:rPr>
        <w:t>ẽ dẫn đế</w:t>
      </w:r>
      <w:r w:rsidRPr="00C15164">
        <w:rPr>
          <w:rFonts w:ascii="Times New Roman" w:hAnsi="Times New Roman" w:cs="Times New Roman"/>
          <w:sz w:val="24"/>
          <w:szCs w:val="24"/>
          <w:lang w:val="de-DE"/>
        </w:rPr>
        <w:t>n vi</w:t>
      </w:r>
      <w:r w:rsidRPr="00C15164">
        <w:rPr>
          <w:rFonts w:ascii="Times New Roman" w:hAnsi="Times New Roman" w:cs="Times New Roman"/>
          <w:sz w:val="24"/>
          <w:szCs w:val="24"/>
        </w:rPr>
        <w:t>ệc chuyể</w:t>
      </w:r>
      <w:r w:rsidRPr="00C15164">
        <w:rPr>
          <w:rFonts w:ascii="Times New Roman" w:hAnsi="Times New Roman" w:cs="Times New Roman"/>
          <w:sz w:val="24"/>
          <w:szCs w:val="24"/>
          <w:lang w:val="it-IT"/>
        </w:rPr>
        <w:t xml:space="preserve">n giao </w:t>
      </w:r>
      <w:r w:rsidRPr="00C15164">
        <w:rPr>
          <w:rFonts w:ascii="Times New Roman" w:hAnsi="Times New Roman" w:cs="Times New Roman"/>
          <w:sz w:val="24"/>
          <w:szCs w:val="24"/>
        </w:rPr>
        <w:t xml:space="preserve">nhiều rủi ro cho khu vực tư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ân, vì vậy vấn đề chia sẻ rủ</w:t>
      </w:r>
      <w:r w:rsidRPr="00C15164">
        <w:rPr>
          <w:rFonts w:ascii="Times New Roman" w:hAnsi="Times New Roman" w:cs="Times New Roman"/>
          <w:sz w:val="24"/>
          <w:szCs w:val="24"/>
          <w:lang w:val="it-IT"/>
        </w:rPr>
        <w:t xml:space="preserve">i ro </w:t>
      </w:r>
      <w:r w:rsidRPr="00C15164">
        <w:rPr>
          <w:rFonts w:ascii="Times New Roman" w:hAnsi="Times New Roman" w:cs="Times New Roman"/>
          <w:sz w:val="24"/>
          <w:szCs w:val="24"/>
        </w:rPr>
        <w:t>trở thành vấn đề</w:t>
      </w:r>
      <w:r w:rsidRPr="00C15164">
        <w:rPr>
          <w:rFonts w:ascii="Times New Roman" w:hAnsi="Times New Roman" w:cs="Times New Roman"/>
          <w:sz w:val="24"/>
          <w:szCs w:val="24"/>
          <w:lang w:val="de-DE"/>
        </w:rPr>
        <w:t xml:space="preserve"> trung t</w:t>
      </w:r>
      <w:r w:rsidRPr="00C15164">
        <w:rPr>
          <w:rFonts w:ascii="Times New Roman" w:hAnsi="Times New Roman" w:cs="Times New Roman"/>
          <w:sz w:val="24"/>
          <w:szCs w:val="24"/>
        </w:rPr>
        <w:t>â</w:t>
      </w:r>
      <w:r w:rsidRPr="00C15164">
        <w:rPr>
          <w:rFonts w:ascii="Times New Roman" w:hAnsi="Times New Roman" w:cs="Times New Roman"/>
          <w:sz w:val="24"/>
          <w:szCs w:val="24"/>
          <w:lang w:val="pt-PT"/>
        </w:rPr>
        <w:t>m c</w:t>
      </w:r>
      <w:r w:rsidRPr="00C15164">
        <w:rPr>
          <w:rFonts w:ascii="Times New Roman" w:hAnsi="Times New Roman" w:cs="Times New Roman"/>
          <w:sz w:val="24"/>
          <w:szCs w:val="24"/>
        </w:rPr>
        <w:t>ủa mỗi hợp đồng</w:t>
      </w:r>
      <w:r w:rsidRPr="00C15164">
        <w:rPr>
          <w:rFonts w:ascii="Times New Roman" w:hAnsi="Times New Roman" w:cs="Times New Roman"/>
          <w:sz w:val="24"/>
          <w:szCs w:val="24"/>
          <w:lang w:val="es-ES_tradnl"/>
        </w:rPr>
        <w:t xml:space="preserve"> PPP </w:t>
      </w:r>
      <w:r w:rsidRPr="00C15164">
        <w:rPr>
          <w:rFonts w:ascii="Times New Roman" w:hAnsi="Times New Roman" w:cs="Times New Roman"/>
          <w:sz w:val="24"/>
          <w:szCs w:val="24"/>
        </w:rPr>
        <w:t>có ý nghĩa</w:t>
      </w:r>
      <w:r w:rsidRPr="00C15164">
        <w:rPr>
          <w:rFonts w:ascii="Times New Roman" w:hAnsi="Times New Roman" w:cs="Times New Roman"/>
          <w:sz w:val="24"/>
          <w:szCs w:val="24"/>
          <w:lang w:val="pt-PT"/>
        </w:rPr>
        <w:t xml:space="preserve"> quan tr</w:t>
      </w:r>
      <w:r w:rsidRPr="00C15164">
        <w:rPr>
          <w:rFonts w:ascii="Times New Roman" w:hAnsi="Times New Roman" w:cs="Times New Roman"/>
          <w:sz w:val="24"/>
          <w:szCs w:val="24"/>
        </w:rPr>
        <w:t>ọng cho sự bền vững của dự án. Hiểu sâu về các nguyên tắc, biện pháp phân bổ rủ</w:t>
      </w:r>
      <w:r w:rsidRPr="00C15164">
        <w:rPr>
          <w:rFonts w:ascii="Times New Roman" w:hAnsi="Times New Roman" w:cs="Times New Roman"/>
          <w:sz w:val="24"/>
          <w:szCs w:val="24"/>
          <w:lang w:val="it-IT"/>
        </w:rPr>
        <w:t>i ro v</w:t>
      </w:r>
      <w:r w:rsidRPr="00C15164">
        <w:rPr>
          <w:rFonts w:ascii="Times New Roman" w:hAnsi="Times New Roman" w:cs="Times New Roman"/>
          <w:sz w:val="24"/>
          <w:szCs w:val="24"/>
        </w:rPr>
        <w:t>à hỗ trợ củ</w:t>
      </w:r>
      <w:r w:rsidRPr="00C15164">
        <w:rPr>
          <w:rFonts w:ascii="Times New Roman" w:hAnsi="Times New Roman" w:cs="Times New Roman"/>
          <w:sz w:val="24"/>
          <w:szCs w:val="24"/>
          <w:lang w:val="it-IT"/>
        </w:rPr>
        <w:t>a ch</w:t>
      </w:r>
      <w:r w:rsidRPr="00C15164">
        <w:rPr>
          <w:rFonts w:ascii="Times New Roman" w:hAnsi="Times New Roman" w:cs="Times New Roman"/>
          <w:sz w:val="24"/>
          <w:szCs w:val="24"/>
        </w:rPr>
        <w:t>ính phủ là điều kiện tiê</w:t>
      </w:r>
      <w:r w:rsidRPr="00C15164">
        <w:rPr>
          <w:rFonts w:ascii="Times New Roman" w:hAnsi="Times New Roman" w:cs="Times New Roman"/>
          <w:sz w:val="24"/>
          <w:szCs w:val="24"/>
          <w:lang w:val="es-ES_tradnl"/>
        </w:rPr>
        <w:t>n quy</w:t>
      </w:r>
      <w:r w:rsidRPr="00C15164">
        <w:rPr>
          <w:rFonts w:ascii="Times New Roman" w:hAnsi="Times New Roman" w:cs="Times New Roman"/>
          <w:sz w:val="24"/>
          <w:szCs w:val="24"/>
        </w:rPr>
        <w:t>ết để thu hút nguồ</w:t>
      </w:r>
      <w:r w:rsidRPr="00C15164">
        <w:rPr>
          <w:rFonts w:ascii="Times New Roman" w:hAnsi="Times New Roman" w:cs="Times New Roman"/>
          <w:sz w:val="24"/>
          <w:szCs w:val="24"/>
          <w:lang w:val="de-DE"/>
        </w:rPr>
        <w:t>n v</w:t>
      </w:r>
      <w:r w:rsidRPr="00C15164">
        <w:rPr>
          <w:rFonts w:ascii="Times New Roman" w:hAnsi="Times New Roman" w:cs="Times New Roman"/>
          <w:sz w:val="24"/>
          <w:szCs w:val="24"/>
        </w:rPr>
        <w:t xml:space="preserve">ốn tư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ân. Do đó, rủ</w:t>
      </w:r>
      <w:r w:rsidRPr="00C15164">
        <w:rPr>
          <w:rFonts w:ascii="Times New Roman" w:hAnsi="Times New Roman" w:cs="Times New Roman"/>
          <w:sz w:val="24"/>
          <w:szCs w:val="24"/>
          <w:lang w:val="it-IT"/>
        </w:rPr>
        <w:t>i ro c</w:t>
      </w:r>
      <w:r w:rsidRPr="00C15164">
        <w:rPr>
          <w:rFonts w:ascii="Times New Roman" w:hAnsi="Times New Roman" w:cs="Times New Roman"/>
          <w:sz w:val="24"/>
          <w:szCs w:val="24"/>
        </w:rPr>
        <w:t>ần phải được phâ</w:t>
      </w:r>
      <w:r w:rsidRPr="00C15164">
        <w:rPr>
          <w:rFonts w:ascii="Times New Roman" w:hAnsi="Times New Roman" w:cs="Times New Roman"/>
          <w:sz w:val="24"/>
          <w:szCs w:val="24"/>
          <w:lang w:val="es-ES_tradnl"/>
        </w:rPr>
        <w:t>n lo</w:t>
      </w:r>
      <w:r w:rsidRPr="00C15164">
        <w:rPr>
          <w:rFonts w:ascii="Times New Roman" w:hAnsi="Times New Roman" w:cs="Times New Roman"/>
          <w:sz w:val="24"/>
          <w:szCs w:val="24"/>
        </w:rPr>
        <w:t>ạ</w:t>
      </w:r>
      <w:r w:rsidRPr="00C15164">
        <w:rPr>
          <w:rFonts w:ascii="Times New Roman" w:hAnsi="Times New Roman" w:cs="Times New Roman"/>
          <w:sz w:val="24"/>
          <w:szCs w:val="24"/>
          <w:lang w:val="it-IT"/>
        </w:rPr>
        <w:t>i r</w:t>
      </w:r>
      <w:r w:rsidRPr="00C15164">
        <w:rPr>
          <w:rFonts w:ascii="Times New Roman" w:hAnsi="Times New Roman" w:cs="Times New Roman"/>
          <w:sz w:val="24"/>
          <w:szCs w:val="24"/>
          <w:lang w:val="pt-PT"/>
        </w:rPr>
        <w:t xml:space="preserve">õ </w:t>
      </w:r>
      <w:r w:rsidRPr="00C15164">
        <w:rPr>
          <w:rFonts w:ascii="Times New Roman" w:hAnsi="Times New Roman" w:cs="Times New Roman"/>
          <w:sz w:val="24"/>
          <w:szCs w:val="24"/>
        </w:rPr>
        <w:t>ràng, c</w:t>
      </w:r>
      <w:r w:rsidRPr="00C15164">
        <w:rPr>
          <w:rFonts w:ascii="Times New Roman" w:hAnsi="Times New Roman" w:cs="Times New Roman"/>
          <w:sz w:val="24"/>
          <w:szCs w:val="24"/>
          <w:lang w:val="es-ES_tradnl"/>
        </w:rPr>
        <w:t xml:space="preserve">ó </w:t>
      </w:r>
      <w:r w:rsidRPr="00C15164">
        <w:rPr>
          <w:rFonts w:ascii="Times New Roman" w:hAnsi="Times New Roman" w:cs="Times New Roman"/>
          <w:sz w:val="24"/>
          <w:szCs w:val="24"/>
        </w:rPr>
        <w:t>thể đ</w:t>
      </w:r>
      <w:r w:rsidRPr="00C15164">
        <w:rPr>
          <w:rFonts w:ascii="Times New Roman" w:hAnsi="Times New Roman" w:cs="Times New Roman"/>
          <w:sz w:val="24"/>
          <w:szCs w:val="24"/>
          <w:lang w:val="it-IT"/>
        </w:rPr>
        <w:t>o l</w:t>
      </w:r>
      <w:r w:rsidRPr="00C15164">
        <w:rPr>
          <w:rFonts w:ascii="Times New Roman" w:hAnsi="Times New Roman" w:cs="Times New Roman"/>
          <w:sz w:val="24"/>
          <w:szCs w:val="24"/>
        </w:rPr>
        <w:t>ườ</w:t>
      </w:r>
      <w:r w:rsidRPr="00C15164">
        <w:rPr>
          <w:rFonts w:ascii="Times New Roman" w:hAnsi="Times New Roman" w:cs="Times New Roman"/>
          <w:sz w:val="24"/>
          <w:szCs w:val="24"/>
          <w:lang w:val="nl-NL"/>
        </w:rPr>
        <w:t>ng v</w:t>
      </w:r>
      <w:r w:rsidRPr="00C15164">
        <w:rPr>
          <w:rFonts w:ascii="Times New Roman" w:hAnsi="Times New Roman" w:cs="Times New Roman"/>
          <w:sz w:val="24"/>
          <w:szCs w:val="24"/>
        </w:rPr>
        <w:t>à được quả</w:t>
      </w:r>
      <w:r w:rsidRPr="00C15164">
        <w:rPr>
          <w:rFonts w:ascii="Times New Roman" w:hAnsi="Times New Roman" w:cs="Times New Roman"/>
          <w:sz w:val="24"/>
          <w:szCs w:val="24"/>
          <w:lang w:val="es-ES_tradnl"/>
        </w:rPr>
        <w:t>n l</w:t>
      </w:r>
      <w:r w:rsidRPr="00C15164">
        <w:rPr>
          <w:rFonts w:ascii="Times New Roman" w:hAnsi="Times New Roman" w:cs="Times New Roman"/>
          <w:sz w:val="24"/>
          <w:szCs w:val="24"/>
        </w:rPr>
        <w:t>ý bởi các tổ chức có năng lực. Một hợ</w:t>
      </w:r>
      <w:r w:rsidRPr="00C15164">
        <w:rPr>
          <w:rFonts w:ascii="Times New Roman" w:hAnsi="Times New Roman" w:cs="Times New Roman"/>
          <w:sz w:val="24"/>
          <w:szCs w:val="24"/>
          <w:lang w:val="nl-NL"/>
        </w:rPr>
        <w:t xml:space="preserve">p </w:t>
      </w:r>
      <w:r w:rsidRPr="00C15164">
        <w:rPr>
          <w:rFonts w:ascii="Times New Roman" w:hAnsi="Times New Roman" w:cs="Times New Roman"/>
          <w:sz w:val="24"/>
          <w:szCs w:val="24"/>
        </w:rPr>
        <w:t>đồng hiệ</w:t>
      </w:r>
      <w:r w:rsidRPr="00C15164">
        <w:rPr>
          <w:rFonts w:ascii="Times New Roman" w:hAnsi="Times New Roman" w:cs="Times New Roman"/>
          <w:sz w:val="24"/>
          <w:szCs w:val="24"/>
          <w:lang w:val="pt-PT"/>
        </w:rPr>
        <w:t>u qu</w:t>
      </w:r>
      <w:r w:rsidRPr="00C15164">
        <w:rPr>
          <w:rFonts w:ascii="Times New Roman" w:hAnsi="Times New Roman" w:cs="Times New Roman"/>
          <w:sz w:val="24"/>
          <w:szCs w:val="24"/>
        </w:rPr>
        <w:t>ả sẽ gắn các mục tiêu cung cấ</w:t>
      </w:r>
      <w:r w:rsidRPr="00C15164">
        <w:rPr>
          <w:rFonts w:ascii="Times New Roman" w:hAnsi="Times New Roman" w:cs="Times New Roman"/>
          <w:sz w:val="24"/>
          <w:szCs w:val="24"/>
          <w:lang w:val="nl-NL"/>
        </w:rPr>
        <w:t>p d</w:t>
      </w:r>
      <w:r w:rsidRPr="00C15164">
        <w:rPr>
          <w:rFonts w:ascii="Times New Roman" w:hAnsi="Times New Roman" w:cs="Times New Roman"/>
          <w:sz w:val="24"/>
          <w:szCs w:val="24"/>
        </w:rPr>
        <w:t>ịch vụ củ</w:t>
      </w:r>
      <w:r w:rsidRPr="00C15164">
        <w:rPr>
          <w:rFonts w:ascii="Times New Roman" w:hAnsi="Times New Roman" w:cs="Times New Roman"/>
          <w:sz w:val="24"/>
          <w:szCs w:val="24"/>
          <w:lang w:val="it-IT"/>
        </w:rPr>
        <w:t>a ch</w:t>
      </w:r>
      <w:r w:rsidRPr="00C15164">
        <w:rPr>
          <w:rFonts w:ascii="Times New Roman" w:hAnsi="Times New Roman" w:cs="Times New Roman"/>
          <w:sz w:val="24"/>
          <w:szCs w:val="24"/>
        </w:rPr>
        <w:t>ính phủ ph</w:t>
      </w:r>
      <w:r w:rsidRPr="00C15164">
        <w:rPr>
          <w:rFonts w:ascii="Times New Roman" w:hAnsi="Times New Roman" w:cs="Times New Roman"/>
          <w:sz w:val="24"/>
          <w:szCs w:val="24"/>
          <w:lang w:val="it-IT"/>
        </w:rPr>
        <w:t xml:space="preserve">ù </w:t>
      </w:r>
      <w:r w:rsidRPr="00C15164">
        <w:rPr>
          <w:rFonts w:ascii="Times New Roman" w:hAnsi="Times New Roman" w:cs="Times New Roman"/>
          <w:sz w:val="24"/>
          <w:szCs w:val="24"/>
        </w:rPr>
        <w:t>hợ</w:t>
      </w:r>
      <w:r w:rsidRPr="00C15164">
        <w:rPr>
          <w:rFonts w:ascii="Times New Roman" w:hAnsi="Times New Roman" w:cs="Times New Roman"/>
          <w:sz w:val="24"/>
          <w:szCs w:val="24"/>
          <w:lang w:val="nl-NL"/>
        </w:rPr>
        <w:t>p v</w:t>
      </w:r>
      <w:r w:rsidRPr="00C15164">
        <w:rPr>
          <w:rFonts w:ascii="Times New Roman" w:hAnsi="Times New Roman" w:cs="Times New Roman"/>
          <w:sz w:val="24"/>
          <w:szCs w:val="24"/>
        </w:rPr>
        <w:t xml:space="preserve">ới mục tiêu lợi nhuận của khu vực tư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ân với mức độ rủ</w:t>
      </w:r>
      <w:r w:rsidRPr="00C15164">
        <w:rPr>
          <w:rFonts w:ascii="Times New Roman" w:hAnsi="Times New Roman" w:cs="Times New Roman"/>
          <w:sz w:val="24"/>
          <w:szCs w:val="24"/>
          <w:lang w:val="it-IT"/>
        </w:rPr>
        <w:t xml:space="preserve">i ro </w:t>
      </w:r>
      <w:r w:rsidRPr="00C15164">
        <w:rPr>
          <w:rFonts w:ascii="Times New Roman" w:hAnsi="Times New Roman" w:cs="Times New Roman"/>
          <w:sz w:val="24"/>
          <w:szCs w:val="24"/>
        </w:rPr>
        <w:t>chấp nhận được.</w:t>
      </w:r>
    </w:p>
    <w:p w14:paraId="23E96BBA" w14:textId="5B234A71"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b/>
          <w:sz w:val="24"/>
          <w:szCs w:val="24"/>
        </w:rPr>
        <w:t>Các công cụ và biện pháp giảm thiểu rủi ro</w:t>
      </w:r>
    </w:p>
    <w:p w14:paraId="4CD6835B" w14:textId="77777777" w:rsidR="00C15164" w:rsidRPr="00C15164" w:rsidRDefault="00C15164" w:rsidP="00C15164">
      <w:pPr>
        <w:tabs>
          <w:tab w:val="left" w:pos="558"/>
        </w:tabs>
        <w:rPr>
          <w:rFonts w:ascii="Times New Roman" w:hAnsi="Times New Roman" w:cs="Times New Roman"/>
          <w:sz w:val="24"/>
          <w:szCs w:val="24"/>
          <w:u w:val="single"/>
        </w:rPr>
      </w:pPr>
      <w:r w:rsidRPr="00C15164">
        <w:rPr>
          <w:rFonts w:ascii="Times New Roman" w:hAnsi="Times New Roman" w:cs="Times New Roman"/>
          <w:sz w:val="24"/>
          <w:szCs w:val="24"/>
        </w:rPr>
        <w:t>12</w:t>
      </w:r>
      <w:r w:rsidRPr="00C15164">
        <w:rPr>
          <w:rFonts w:ascii="Times New Roman" w:hAnsi="Times New Roman" w:cs="Times New Roman"/>
          <w:sz w:val="24"/>
          <w:szCs w:val="24"/>
        </w:rPr>
        <w:tab/>
        <w:t xml:space="preserve">Để </w:t>
      </w:r>
      <w:r w:rsidRPr="00C15164">
        <w:rPr>
          <w:rFonts w:ascii="Times New Roman" w:hAnsi="Times New Roman" w:cs="Times New Roman"/>
          <w:sz w:val="24"/>
          <w:szCs w:val="24"/>
          <w:lang w:val="it-IT"/>
        </w:rPr>
        <w:t>th</w:t>
      </w:r>
      <w:r w:rsidRPr="00C15164">
        <w:rPr>
          <w:rFonts w:ascii="Times New Roman" w:hAnsi="Times New Roman" w:cs="Times New Roman"/>
          <w:sz w:val="24"/>
          <w:szCs w:val="24"/>
        </w:rPr>
        <w:t>úc đẩy việc sử dụ</w:t>
      </w:r>
      <w:r w:rsidRPr="00C15164">
        <w:rPr>
          <w:rFonts w:ascii="Times New Roman" w:hAnsi="Times New Roman" w:cs="Times New Roman"/>
          <w:sz w:val="24"/>
          <w:szCs w:val="24"/>
          <w:lang w:val="it-IT"/>
        </w:rPr>
        <w:t>ng c</w:t>
      </w:r>
      <w:r w:rsidRPr="00C15164">
        <w:rPr>
          <w:rFonts w:ascii="Times New Roman" w:hAnsi="Times New Roman" w:cs="Times New Roman"/>
          <w:sz w:val="24"/>
          <w:szCs w:val="24"/>
        </w:rPr>
        <w:t>ác biệ</w:t>
      </w:r>
      <w:r w:rsidRPr="00C15164">
        <w:rPr>
          <w:rFonts w:ascii="Times New Roman" w:hAnsi="Times New Roman" w:cs="Times New Roman"/>
          <w:sz w:val="24"/>
          <w:szCs w:val="24"/>
          <w:lang w:val="it-IT"/>
        </w:rPr>
        <w:t>n ph</w:t>
      </w:r>
      <w:r w:rsidRPr="00C15164">
        <w:rPr>
          <w:rFonts w:ascii="Times New Roman" w:hAnsi="Times New Roman" w:cs="Times New Roman"/>
          <w:sz w:val="24"/>
          <w:szCs w:val="24"/>
        </w:rPr>
        <w:t>áp giả</w:t>
      </w:r>
      <w:r w:rsidRPr="00C15164">
        <w:rPr>
          <w:rFonts w:ascii="Times New Roman" w:hAnsi="Times New Roman" w:cs="Times New Roman"/>
          <w:sz w:val="24"/>
          <w:szCs w:val="24"/>
          <w:lang w:val="it-IT"/>
        </w:rPr>
        <w:t>m thi</w:t>
      </w:r>
      <w:r w:rsidRPr="00C15164">
        <w:rPr>
          <w:rFonts w:ascii="Times New Roman" w:hAnsi="Times New Roman" w:cs="Times New Roman"/>
          <w:sz w:val="24"/>
          <w:szCs w:val="24"/>
        </w:rPr>
        <w:t>ểu rủ</w:t>
      </w:r>
      <w:r w:rsidRPr="00C15164">
        <w:rPr>
          <w:rFonts w:ascii="Times New Roman" w:hAnsi="Times New Roman" w:cs="Times New Roman"/>
          <w:sz w:val="24"/>
          <w:szCs w:val="24"/>
          <w:lang w:val="it-IT"/>
        </w:rPr>
        <w:t>i ro m</w:t>
      </w:r>
      <w:r w:rsidRPr="00C15164">
        <w:rPr>
          <w:rFonts w:ascii="Times New Roman" w:hAnsi="Times New Roman" w:cs="Times New Roman"/>
          <w:sz w:val="24"/>
          <w:szCs w:val="24"/>
        </w:rPr>
        <w:t>ộ</w:t>
      </w:r>
      <w:r w:rsidRPr="00C15164">
        <w:rPr>
          <w:rFonts w:ascii="Times New Roman" w:hAnsi="Times New Roman" w:cs="Times New Roman"/>
          <w:sz w:val="24"/>
          <w:szCs w:val="24"/>
          <w:lang w:val="it-IT"/>
        </w:rPr>
        <w:t>t c</w:t>
      </w:r>
      <w:r w:rsidRPr="00C15164">
        <w:rPr>
          <w:rFonts w:ascii="Times New Roman" w:hAnsi="Times New Roman" w:cs="Times New Roman"/>
          <w:sz w:val="24"/>
          <w:szCs w:val="24"/>
        </w:rPr>
        <w:t>á</w:t>
      </w:r>
      <w:r w:rsidRPr="00C15164">
        <w:rPr>
          <w:rFonts w:ascii="Times New Roman" w:hAnsi="Times New Roman" w:cs="Times New Roman"/>
          <w:sz w:val="24"/>
          <w:szCs w:val="24"/>
          <w:lang w:val="de-DE"/>
        </w:rPr>
        <w:t>ch h</w:t>
      </w:r>
      <w:r w:rsidRPr="00C15164">
        <w:rPr>
          <w:rFonts w:ascii="Times New Roman" w:hAnsi="Times New Roman" w:cs="Times New Roman"/>
          <w:sz w:val="24"/>
          <w:szCs w:val="24"/>
        </w:rPr>
        <w:t>ợ</w:t>
      </w:r>
      <w:r w:rsidRPr="00C15164">
        <w:rPr>
          <w:rFonts w:ascii="Times New Roman" w:hAnsi="Times New Roman" w:cs="Times New Roman"/>
          <w:sz w:val="24"/>
          <w:szCs w:val="24"/>
          <w:lang w:val="nl-NL"/>
        </w:rPr>
        <w:t>p l</w:t>
      </w:r>
      <w:r w:rsidRPr="00C15164">
        <w:rPr>
          <w:rFonts w:ascii="Times New Roman" w:hAnsi="Times New Roman" w:cs="Times New Roman"/>
          <w:sz w:val="24"/>
          <w:szCs w:val="24"/>
        </w:rPr>
        <w:t>ý, cá</w:t>
      </w:r>
      <w:r w:rsidRPr="00C15164">
        <w:rPr>
          <w:rFonts w:ascii="Times New Roman" w:hAnsi="Times New Roman" w:cs="Times New Roman"/>
          <w:sz w:val="24"/>
          <w:szCs w:val="24"/>
          <w:lang w:val="it-IT"/>
        </w:rPr>
        <w:t>c ch</w:t>
      </w:r>
      <w:r w:rsidRPr="00C15164">
        <w:rPr>
          <w:rFonts w:ascii="Times New Roman" w:hAnsi="Times New Roman" w:cs="Times New Roman"/>
          <w:sz w:val="24"/>
          <w:szCs w:val="24"/>
        </w:rPr>
        <w:t>í</w:t>
      </w:r>
      <w:r w:rsidRPr="00C15164">
        <w:rPr>
          <w:rFonts w:ascii="Times New Roman" w:hAnsi="Times New Roman" w:cs="Times New Roman"/>
          <w:sz w:val="24"/>
          <w:szCs w:val="24"/>
          <w:lang w:val="it-IT"/>
        </w:rPr>
        <w:t>nh ph</w:t>
      </w:r>
      <w:r w:rsidRPr="00C15164">
        <w:rPr>
          <w:rFonts w:ascii="Times New Roman" w:hAnsi="Times New Roman" w:cs="Times New Roman"/>
          <w:sz w:val="24"/>
          <w:szCs w:val="24"/>
        </w:rPr>
        <w:t>ủ v</w:t>
      </w:r>
      <w:r w:rsidRPr="00C15164">
        <w:rPr>
          <w:rFonts w:ascii="Times New Roman" w:hAnsi="Times New Roman" w:cs="Times New Roman"/>
          <w:sz w:val="24"/>
          <w:szCs w:val="24"/>
          <w:lang w:val="it-IT"/>
        </w:rPr>
        <w:t xml:space="preserve">à </w:t>
      </w:r>
      <w:r w:rsidRPr="00C15164">
        <w:rPr>
          <w:rFonts w:ascii="Times New Roman" w:hAnsi="Times New Roman" w:cs="Times New Roman"/>
          <w:sz w:val="24"/>
          <w:szCs w:val="24"/>
        </w:rPr>
        <w:t>các tổ chức tài chính c</w:t>
      </w:r>
      <w:r w:rsidRPr="00C15164">
        <w:rPr>
          <w:rFonts w:ascii="Times New Roman" w:hAnsi="Times New Roman" w:cs="Times New Roman"/>
          <w:sz w:val="24"/>
          <w:szCs w:val="24"/>
          <w:lang w:val="es-ES_tradnl"/>
        </w:rPr>
        <w:t xml:space="preserve">ó </w:t>
      </w:r>
      <w:r w:rsidRPr="00C15164">
        <w:rPr>
          <w:rFonts w:ascii="Times New Roman" w:hAnsi="Times New Roman" w:cs="Times New Roman"/>
          <w:sz w:val="24"/>
          <w:szCs w:val="24"/>
          <w:lang w:val="it-IT"/>
        </w:rPr>
        <w:t>th</w:t>
      </w:r>
      <w:r w:rsidRPr="00C15164">
        <w:rPr>
          <w:rFonts w:ascii="Times New Roman" w:hAnsi="Times New Roman" w:cs="Times New Roman"/>
          <w:sz w:val="24"/>
          <w:szCs w:val="24"/>
        </w:rPr>
        <w:t>ể sử dụng nguồn lực t</w:t>
      </w:r>
      <w:r w:rsidRPr="00C15164">
        <w:rPr>
          <w:rFonts w:ascii="Times New Roman" w:hAnsi="Times New Roman" w:cs="Times New Roman"/>
          <w:sz w:val="24"/>
          <w:szCs w:val="24"/>
          <w:lang w:val="it-IT"/>
        </w:rPr>
        <w:t>ài ch</w:t>
      </w:r>
      <w:r w:rsidRPr="00C15164">
        <w:rPr>
          <w:rFonts w:ascii="Times New Roman" w:hAnsi="Times New Roman" w:cs="Times New Roman"/>
          <w:sz w:val="24"/>
          <w:szCs w:val="24"/>
        </w:rPr>
        <w:t>í</w:t>
      </w:r>
      <w:r w:rsidRPr="00C15164">
        <w:rPr>
          <w:rFonts w:ascii="Times New Roman" w:hAnsi="Times New Roman" w:cs="Times New Roman"/>
          <w:sz w:val="24"/>
          <w:szCs w:val="24"/>
          <w:lang w:val="it-IT"/>
        </w:rPr>
        <w:t>nh c</w:t>
      </w:r>
      <w:r w:rsidRPr="00C15164">
        <w:rPr>
          <w:rFonts w:ascii="Times New Roman" w:hAnsi="Times New Roman" w:cs="Times New Roman"/>
          <w:sz w:val="24"/>
          <w:szCs w:val="24"/>
        </w:rPr>
        <w:t xml:space="preserve">ông (có ưu đãi hoặc theo điều kiện </w:t>
      </w:r>
      <w:r w:rsidRPr="00C15164">
        <w:rPr>
          <w:rFonts w:ascii="Times New Roman" w:hAnsi="Times New Roman" w:cs="Times New Roman"/>
          <w:sz w:val="24"/>
          <w:szCs w:val="24"/>
          <w:lang w:val="it-IT"/>
        </w:rPr>
        <w:t>th</w:t>
      </w:r>
      <w:r w:rsidRPr="00C15164">
        <w:rPr>
          <w:rFonts w:ascii="Times New Roman" w:hAnsi="Times New Roman" w:cs="Times New Roman"/>
          <w:sz w:val="24"/>
          <w:szCs w:val="24"/>
        </w:rPr>
        <w:t>ị trường) để phát triển cá</w:t>
      </w:r>
      <w:r w:rsidRPr="00C15164">
        <w:rPr>
          <w:rFonts w:ascii="Times New Roman" w:hAnsi="Times New Roman" w:cs="Times New Roman"/>
          <w:sz w:val="24"/>
          <w:szCs w:val="24"/>
          <w:lang w:val="it-IT"/>
        </w:rPr>
        <w:t>c d</w:t>
      </w:r>
      <w:r w:rsidRPr="00C15164">
        <w:rPr>
          <w:rFonts w:ascii="Times New Roman" w:hAnsi="Times New Roman" w:cs="Times New Roman"/>
          <w:sz w:val="24"/>
          <w:szCs w:val="24"/>
        </w:rPr>
        <w:t>ự á</w:t>
      </w:r>
      <w:r w:rsidRPr="00C15164">
        <w:rPr>
          <w:rFonts w:ascii="Times New Roman" w:hAnsi="Times New Roman" w:cs="Times New Roman"/>
          <w:sz w:val="24"/>
          <w:szCs w:val="24"/>
          <w:lang w:val="it-IT"/>
        </w:rPr>
        <w:t xml:space="preserve">n </w:t>
      </w:r>
      <w:r w:rsidRPr="00C15164">
        <w:rPr>
          <w:rFonts w:ascii="Times New Roman" w:hAnsi="Times New Roman" w:cs="Times New Roman"/>
          <w:sz w:val="24"/>
          <w:szCs w:val="24"/>
        </w:rPr>
        <w:t>cơ sở hạ tầng</w:t>
      </w:r>
      <w:r w:rsidRPr="00C15164">
        <w:rPr>
          <w:rFonts w:ascii="Times New Roman" w:hAnsi="Times New Roman" w:cs="Times New Roman"/>
          <w:sz w:val="24"/>
          <w:szCs w:val="24"/>
          <w:lang w:val="da-DK"/>
        </w:rPr>
        <w:t xml:space="preserve"> kh</w:t>
      </w:r>
      <w:r w:rsidRPr="00C15164">
        <w:rPr>
          <w:rFonts w:ascii="Times New Roman" w:hAnsi="Times New Roman" w:cs="Times New Roman"/>
          <w:sz w:val="24"/>
          <w:szCs w:val="24"/>
        </w:rPr>
        <w:t xml:space="preserve">ả </w:t>
      </w:r>
      <w:r w:rsidRPr="00C15164">
        <w:rPr>
          <w:rFonts w:ascii="Times New Roman" w:hAnsi="Times New Roman" w:cs="Times New Roman"/>
          <w:sz w:val="24"/>
          <w:szCs w:val="24"/>
          <w:lang w:val="it-IT"/>
        </w:rPr>
        <w:t xml:space="preserve">thi. </w:t>
      </w:r>
      <w:r w:rsidRPr="00C15164">
        <w:rPr>
          <w:rFonts w:ascii="Times New Roman" w:hAnsi="Times New Roman" w:cs="Times New Roman"/>
          <w:sz w:val="24"/>
          <w:szCs w:val="24"/>
        </w:rPr>
        <w:t>Điều n</w:t>
      </w:r>
      <w:r w:rsidRPr="00C15164">
        <w:rPr>
          <w:rFonts w:ascii="Times New Roman" w:hAnsi="Times New Roman" w:cs="Times New Roman"/>
          <w:sz w:val="24"/>
          <w:szCs w:val="24"/>
          <w:lang w:val="it-IT"/>
        </w:rPr>
        <w:t>à</w:t>
      </w:r>
      <w:r w:rsidRPr="00C15164">
        <w:rPr>
          <w:rFonts w:ascii="Times New Roman" w:hAnsi="Times New Roman" w:cs="Times New Roman"/>
          <w:sz w:val="24"/>
          <w:szCs w:val="24"/>
        </w:rPr>
        <w:t>y đặc biệ</w:t>
      </w:r>
      <w:r w:rsidRPr="00C15164">
        <w:rPr>
          <w:rFonts w:ascii="Times New Roman" w:hAnsi="Times New Roman" w:cs="Times New Roman"/>
          <w:sz w:val="24"/>
          <w:szCs w:val="24"/>
          <w:lang w:val="it-IT"/>
        </w:rPr>
        <w:t>t quan tr</w:t>
      </w:r>
      <w:r w:rsidRPr="00C15164">
        <w:rPr>
          <w:rFonts w:ascii="Times New Roman" w:hAnsi="Times New Roman" w:cs="Times New Roman"/>
          <w:sz w:val="24"/>
          <w:szCs w:val="24"/>
        </w:rPr>
        <w:t>ọ</w:t>
      </w:r>
      <w:r w:rsidRPr="00C15164">
        <w:rPr>
          <w:rFonts w:ascii="Times New Roman" w:hAnsi="Times New Roman" w:cs="Times New Roman"/>
          <w:sz w:val="24"/>
          <w:szCs w:val="24"/>
          <w:lang w:val="it-IT"/>
        </w:rPr>
        <w:t xml:space="preserve">ng </w:t>
      </w:r>
      <w:r w:rsidRPr="00C15164">
        <w:rPr>
          <w:rFonts w:ascii="Times New Roman" w:hAnsi="Times New Roman" w:cs="Times New Roman"/>
          <w:sz w:val="24"/>
          <w:szCs w:val="24"/>
        </w:rPr>
        <w:t>đối vớ</w:t>
      </w:r>
      <w:r w:rsidRPr="00C15164">
        <w:rPr>
          <w:rFonts w:ascii="Times New Roman" w:hAnsi="Times New Roman" w:cs="Times New Roman"/>
          <w:sz w:val="24"/>
          <w:szCs w:val="24"/>
          <w:lang w:val="it-IT"/>
        </w:rPr>
        <w:t>i c</w:t>
      </w:r>
      <w:r w:rsidRPr="00C15164">
        <w:rPr>
          <w:rFonts w:ascii="Times New Roman" w:hAnsi="Times New Roman" w:cs="Times New Roman"/>
          <w:sz w:val="24"/>
          <w:szCs w:val="24"/>
        </w:rPr>
        <w:t>ác nề</w:t>
      </w:r>
      <w:r w:rsidRPr="00C15164">
        <w:rPr>
          <w:rFonts w:ascii="Times New Roman" w:hAnsi="Times New Roman" w:cs="Times New Roman"/>
          <w:sz w:val="24"/>
          <w:szCs w:val="24"/>
          <w:lang w:val="nl-NL"/>
        </w:rPr>
        <w:t>n kinh t</w:t>
      </w:r>
      <w:r w:rsidRPr="00C15164">
        <w:rPr>
          <w:rFonts w:ascii="Times New Roman" w:hAnsi="Times New Roman" w:cs="Times New Roman"/>
          <w:sz w:val="24"/>
          <w:szCs w:val="24"/>
        </w:rPr>
        <w:t>ế đang phá</w:t>
      </w:r>
      <w:r w:rsidRPr="00C15164">
        <w:rPr>
          <w:rFonts w:ascii="Times New Roman" w:hAnsi="Times New Roman" w:cs="Times New Roman"/>
          <w:sz w:val="24"/>
          <w:szCs w:val="24"/>
          <w:lang w:val="it-IT"/>
        </w:rPr>
        <w:t>t tri</w:t>
      </w:r>
      <w:r w:rsidRPr="00C15164">
        <w:rPr>
          <w:rFonts w:ascii="Times New Roman" w:hAnsi="Times New Roman" w:cs="Times New Roman"/>
          <w:sz w:val="24"/>
          <w:szCs w:val="24"/>
        </w:rPr>
        <w:t>ể</w:t>
      </w:r>
      <w:r w:rsidRPr="00C15164">
        <w:rPr>
          <w:rFonts w:ascii="Times New Roman" w:hAnsi="Times New Roman" w:cs="Times New Roman"/>
          <w:sz w:val="24"/>
          <w:szCs w:val="24"/>
          <w:lang w:val="it-IT"/>
        </w:rPr>
        <w:t>n c</w:t>
      </w:r>
      <w:r w:rsidRPr="00C15164">
        <w:rPr>
          <w:rFonts w:ascii="Times New Roman" w:hAnsi="Times New Roman" w:cs="Times New Roman"/>
          <w:sz w:val="24"/>
          <w:szCs w:val="24"/>
        </w:rPr>
        <w:t>ủ</w:t>
      </w:r>
      <w:r w:rsidRPr="00C15164">
        <w:rPr>
          <w:rFonts w:ascii="Times New Roman" w:hAnsi="Times New Roman" w:cs="Times New Roman"/>
          <w:sz w:val="24"/>
          <w:szCs w:val="24"/>
          <w:lang w:val="nl-NL"/>
        </w:rPr>
        <w:t>a APEC, n</w:t>
      </w:r>
      <w:r w:rsidRPr="00C15164">
        <w:rPr>
          <w:rFonts w:ascii="Times New Roman" w:hAnsi="Times New Roman" w:cs="Times New Roman"/>
          <w:sz w:val="24"/>
          <w:szCs w:val="24"/>
        </w:rPr>
        <w:t>ơi việc đầu tư đôi khi bị hạ</w:t>
      </w:r>
      <w:r w:rsidRPr="00C15164">
        <w:rPr>
          <w:rFonts w:ascii="Times New Roman" w:hAnsi="Times New Roman" w:cs="Times New Roman"/>
          <w:sz w:val="24"/>
          <w:szCs w:val="24"/>
          <w:lang w:val="it-IT"/>
        </w:rPr>
        <w:t>n ch</w:t>
      </w:r>
      <w:r w:rsidRPr="00C15164">
        <w:rPr>
          <w:rFonts w:ascii="Times New Roman" w:hAnsi="Times New Roman" w:cs="Times New Roman"/>
          <w:sz w:val="24"/>
          <w:szCs w:val="24"/>
        </w:rPr>
        <w:t>ế do thiếu các khuôn khổ chí</w:t>
      </w:r>
      <w:r w:rsidRPr="00C15164">
        <w:rPr>
          <w:rFonts w:ascii="Times New Roman" w:hAnsi="Times New Roman" w:cs="Times New Roman"/>
          <w:sz w:val="24"/>
          <w:szCs w:val="24"/>
          <w:lang w:val="pt-PT"/>
        </w:rPr>
        <w:t>nh s</w:t>
      </w:r>
      <w:r w:rsidRPr="00C15164">
        <w:rPr>
          <w:rFonts w:ascii="Times New Roman" w:hAnsi="Times New Roman" w:cs="Times New Roman"/>
          <w:sz w:val="24"/>
          <w:szCs w:val="24"/>
        </w:rPr>
        <w:t>ách v</w:t>
      </w:r>
      <w:r w:rsidRPr="00C15164">
        <w:rPr>
          <w:rFonts w:ascii="Times New Roman" w:hAnsi="Times New Roman" w:cs="Times New Roman"/>
          <w:sz w:val="24"/>
          <w:szCs w:val="24"/>
          <w:lang w:val="it-IT"/>
        </w:rPr>
        <w:t>à qu</w:t>
      </w:r>
      <w:r w:rsidRPr="00C15164">
        <w:rPr>
          <w:rFonts w:ascii="Times New Roman" w:hAnsi="Times New Roman" w:cs="Times New Roman"/>
          <w:sz w:val="24"/>
          <w:szCs w:val="24"/>
        </w:rPr>
        <w:t>ản trị hiệu quả. Các biện pháp giảm thiểu rủi ro, thô</w:t>
      </w:r>
      <w:r w:rsidRPr="00C15164">
        <w:rPr>
          <w:rFonts w:ascii="Times New Roman" w:hAnsi="Times New Roman" w:cs="Times New Roman"/>
          <w:sz w:val="24"/>
          <w:szCs w:val="24"/>
          <w:lang w:val="pt-PT"/>
        </w:rPr>
        <w:t>ng qua b</w:t>
      </w:r>
      <w:r w:rsidRPr="00C15164">
        <w:rPr>
          <w:rFonts w:ascii="Times New Roman" w:hAnsi="Times New Roman" w:cs="Times New Roman"/>
          <w:sz w:val="24"/>
          <w:szCs w:val="24"/>
        </w:rPr>
        <w:t>ảo lãnh, bả</w:t>
      </w:r>
      <w:r w:rsidRPr="00C15164">
        <w:rPr>
          <w:rFonts w:ascii="Times New Roman" w:hAnsi="Times New Roman" w:cs="Times New Roman"/>
          <w:sz w:val="24"/>
          <w:szCs w:val="24"/>
          <w:lang w:val="es-ES_tradnl"/>
        </w:rPr>
        <w:t>o hi</w:t>
      </w:r>
      <w:r w:rsidRPr="00C15164">
        <w:rPr>
          <w:rFonts w:ascii="Times New Roman" w:hAnsi="Times New Roman" w:cs="Times New Roman"/>
          <w:sz w:val="24"/>
          <w:szCs w:val="24"/>
        </w:rPr>
        <w:t>ểm và phòng vệ rủ</w:t>
      </w:r>
      <w:r w:rsidRPr="00C15164">
        <w:rPr>
          <w:rFonts w:ascii="Times New Roman" w:hAnsi="Times New Roman" w:cs="Times New Roman"/>
          <w:sz w:val="24"/>
          <w:szCs w:val="24"/>
          <w:lang w:val="it-IT"/>
        </w:rPr>
        <w:t>i ro</w:t>
      </w:r>
      <w:r w:rsidRPr="00C15164">
        <w:rPr>
          <w:rFonts w:ascii="Times New Roman" w:hAnsi="Times New Roman" w:cs="Times New Roman"/>
          <w:sz w:val="24"/>
          <w:szCs w:val="24"/>
        </w:rPr>
        <w:t>, sử dụng các sản phẩm tài chính tổng hợp và nợ thứ cấp sẽ cung cấp các công cụ phù hợp hỗ trợ đầu tư của khu vực tư nhân.</w:t>
      </w:r>
    </w:p>
    <w:p w14:paraId="5C7A0A28" w14:textId="77777777"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sz w:val="24"/>
          <w:szCs w:val="24"/>
        </w:rPr>
        <w:t>13</w:t>
      </w:r>
      <w:r w:rsidRPr="00C15164">
        <w:rPr>
          <w:rFonts w:ascii="Times New Roman" w:hAnsi="Times New Roman" w:cs="Times New Roman"/>
          <w:sz w:val="24"/>
          <w:szCs w:val="24"/>
        </w:rPr>
        <w:tab/>
        <w:t>Các thỏa thuận hợ</w:t>
      </w:r>
      <w:r w:rsidRPr="00C15164">
        <w:rPr>
          <w:rFonts w:ascii="Times New Roman" w:hAnsi="Times New Roman" w:cs="Times New Roman"/>
          <w:sz w:val="24"/>
          <w:szCs w:val="24"/>
          <w:lang w:val="nl-NL"/>
        </w:rPr>
        <w:t xml:space="preserve">p </w:t>
      </w:r>
      <w:r w:rsidRPr="00C15164">
        <w:rPr>
          <w:rFonts w:ascii="Times New Roman" w:hAnsi="Times New Roman" w:cs="Times New Roman"/>
          <w:sz w:val="24"/>
          <w:szCs w:val="24"/>
        </w:rPr>
        <w:t>đồng, bả</w:t>
      </w:r>
      <w:r w:rsidRPr="00C15164">
        <w:rPr>
          <w:rFonts w:ascii="Times New Roman" w:hAnsi="Times New Roman" w:cs="Times New Roman"/>
          <w:sz w:val="24"/>
          <w:szCs w:val="24"/>
          <w:lang w:val="es-ES_tradnl"/>
        </w:rPr>
        <w:t>o hi</w:t>
      </w:r>
      <w:r w:rsidRPr="00C15164">
        <w:rPr>
          <w:rFonts w:ascii="Times New Roman" w:hAnsi="Times New Roman" w:cs="Times New Roman"/>
          <w:sz w:val="24"/>
          <w:szCs w:val="24"/>
        </w:rPr>
        <w:t>ểm và bả</w:t>
      </w:r>
      <w:r w:rsidRPr="00C15164">
        <w:rPr>
          <w:rFonts w:ascii="Times New Roman" w:hAnsi="Times New Roman" w:cs="Times New Roman"/>
          <w:sz w:val="24"/>
          <w:szCs w:val="24"/>
          <w:lang w:val="it-IT"/>
        </w:rPr>
        <w:t>o l</w:t>
      </w:r>
      <w:r w:rsidRPr="00C15164">
        <w:rPr>
          <w:rFonts w:ascii="Times New Roman" w:hAnsi="Times New Roman" w:cs="Times New Roman"/>
          <w:sz w:val="24"/>
          <w:szCs w:val="24"/>
          <w:lang w:val="pt-PT"/>
        </w:rPr>
        <w:t>ãnh l</w:t>
      </w:r>
      <w:r w:rsidRPr="00C15164">
        <w:rPr>
          <w:rFonts w:ascii="Times New Roman" w:hAnsi="Times New Roman" w:cs="Times New Roman"/>
          <w:sz w:val="24"/>
          <w:szCs w:val="24"/>
        </w:rPr>
        <w:t xml:space="preserve">à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ững công cụ hiệ</w:t>
      </w:r>
      <w:r w:rsidRPr="00C15164">
        <w:rPr>
          <w:rFonts w:ascii="Times New Roman" w:hAnsi="Times New Roman" w:cs="Times New Roman"/>
          <w:sz w:val="24"/>
          <w:szCs w:val="24"/>
          <w:lang w:val="pt-PT"/>
        </w:rPr>
        <w:t>u qu</w:t>
      </w:r>
      <w:r w:rsidRPr="00C15164">
        <w:rPr>
          <w:rFonts w:ascii="Times New Roman" w:hAnsi="Times New Roman" w:cs="Times New Roman"/>
          <w:sz w:val="24"/>
          <w:szCs w:val="24"/>
        </w:rPr>
        <w:t xml:space="preserve">ả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ất để giảm thiể</w:t>
      </w:r>
      <w:r w:rsidRPr="00C15164">
        <w:rPr>
          <w:rFonts w:ascii="Times New Roman" w:hAnsi="Times New Roman" w:cs="Times New Roman"/>
          <w:sz w:val="24"/>
          <w:szCs w:val="24"/>
          <w:lang w:val="pt-PT"/>
        </w:rPr>
        <w:t>u ho</w:t>
      </w:r>
      <w:r w:rsidRPr="00C15164">
        <w:rPr>
          <w:rFonts w:ascii="Times New Roman" w:hAnsi="Times New Roman" w:cs="Times New Roman"/>
          <w:sz w:val="24"/>
          <w:szCs w:val="24"/>
        </w:rPr>
        <w:t>ặc chuyể</w:t>
      </w:r>
      <w:r w:rsidRPr="00C15164">
        <w:rPr>
          <w:rFonts w:ascii="Times New Roman" w:hAnsi="Times New Roman" w:cs="Times New Roman"/>
          <w:sz w:val="24"/>
          <w:szCs w:val="24"/>
          <w:lang w:val="it-IT"/>
        </w:rPr>
        <w:t>n giao c</w:t>
      </w:r>
      <w:r w:rsidRPr="00C15164">
        <w:rPr>
          <w:rFonts w:ascii="Times New Roman" w:hAnsi="Times New Roman" w:cs="Times New Roman"/>
          <w:sz w:val="24"/>
          <w:szCs w:val="24"/>
        </w:rPr>
        <w:t>ác rủi ro thương mại ở một số nề</w:t>
      </w:r>
      <w:r w:rsidRPr="00C15164">
        <w:rPr>
          <w:rFonts w:ascii="Times New Roman" w:hAnsi="Times New Roman" w:cs="Times New Roman"/>
          <w:sz w:val="24"/>
          <w:szCs w:val="24"/>
          <w:lang w:val="nl-NL"/>
        </w:rPr>
        <w:t>n kinh t</w:t>
      </w:r>
      <w:r w:rsidRPr="00C15164">
        <w:rPr>
          <w:rFonts w:ascii="Times New Roman" w:hAnsi="Times New Roman" w:cs="Times New Roman"/>
          <w:sz w:val="24"/>
          <w:szCs w:val="24"/>
        </w:rPr>
        <w:t xml:space="preserve">ế </w:t>
      </w:r>
      <w:r w:rsidRPr="00C15164">
        <w:rPr>
          <w:rFonts w:ascii="Times New Roman" w:hAnsi="Times New Roman" w:cs="Times New Roman"/>
          <w:sz w:val="24"/>
          <w:szCs w:val="24"/>
          <w:lang w:val="nl-NL"/>
        </w:rPr>
        <w:t>APEC</w:t>
      </w:r>
      <w:r w:rsidRPr="00C15164">
        <w:rPr>
          <w:rFonts w:ascii="Times New Roman" w:hAnsi="Times New Roman" w:cs="Times New Roman"/>
          <w:sz w:val="24"/>
          <w:szCs w:val="24"/>
        </w:rPr>
        <w:t>. Để giảm thiểu rủ</w:t>
      </w:r>
      <w:r w:rsidRPr="00C15164">
        <w:rPr>
          <w:rFonts w:ascii="Times New Roman" w:hAnsi="Times New Roman" w:cs="Times New Roman"/>
          <w:sz w:val="24"/>
          <w:szCs w:val="24"/>
          <w:lang w:val="it-IT"/>
        </w:rPr>
        <w:t>i ro ch</w:t>
      </w:r>
      <w:r w:rsidRPr="00C15164">
        <w:rPr>
          <w:rFonts w:ascii="Times New Roman" w:hAnsi="Times New Roman" w:cs="Times New Roman"/>
          <w:sz w:val="24"/>
          <w:szCs w:val="24"/>
        </w:rPr>
        <w:t>í</w:t>
      </w:r>
      <w:r w:rsidRPr="00C15164">
        <w:rPr>
          <w:rFonts w:ascii="Times New Roman" w:hAnsi="Times New Roman" w:cs="Times New Roman"/>
          <w:sz w:val="24"/>
          <w:szCs w:val="24"/>
          <w:lang w:val="sv-SE"/>
        </w:rPr>
        <w:t>nh tr</w:t>
      </w:r>
      <w:r w:rsidRPr="00C15164">
        <w:rPr>
          <w:rFonts w:ascii="Times New Roman" w:hAnsi="Times New Roman" w:cs="Times New Roman"/>
          <w:sz w:val="24"/>
          <w:szCs w:val="24"/>
        </w:rPr>
        <w:t>ị, các công hiệ</w:t>
      </w:r>
      <w:r w:rsidRPr="00C15164">
        <w:rPr>
          <w:rFonts w:ascii="Times New Roman" w:hAnsi="Times New Roman" w:cs="Times New Roman"/>
          <w:sz w:val="24"/>
          <w:szCs w:val="24"/>
          <w:lang w:val="pt-PT"/>
        </w:rPr>
        <w:t>u qu</w:t>
      </w:r>
      <w:r w:rsidRPr="00C15164">
        <w:rPr>
          <w:rFonts w:ascii="Times New Roman" w:hAnsi="Times New Roman" w:cs="Times New Roman"/>
          <w:sz w:val="24"/>
          <w:szCs w:val="24"/>
        </w:rPr>
        <w:t>ả thường được sử dụng bao gồm xây dựng các liên doanh liên kết vớ</w:t>
      </w:r>
      <w:r w:rsidRPr="00C15164">
        <w:rPr>
          <w:rFonts w:ascii="Times New Roman" w:hAnsi="Times New Roman" w:cs="Times New Roman"/>
          <w:sz w:val="24"/>
          <w:szCs w:val="24"/>
          <w:lang w:val="it-IT"/>
        </w:rPr>
        <w:t>i c</w:t>
      </w:r>
      <w:r w:rsidRPr="00C15164">
        <w:rPr>
          <w:rFonts w:ascii="Times New Roman" w:hAnsi="Times New Roman" w:cs="Times New Roman"/>
          <w:sz w:val="24"/>
          <w:szCs w:val="24"/>
        </w:rPr>
        <w:t>ác doanh nghiệp trong nước, thực hiện bả</w:t>
      </w:r>
      <w:r w:rsidRPr="00C15164">
        <w:rPr>
          <w:rFonts w:ascii="Times New Roman" w:hAnsi="Times New Roman" w:cs="Times New Roman"/>
          <w:sz w:val="24"/>
          <w:szCs w:val="24"/>
          <w:lang w:val="es-ES_tradnl"/>
        </w:rPr>
        <w:t>o hi</w:t>
      </w:r>
      <w:r w:rsidRPr="00C15164">
        <w:rPr>
          <w:rFonts w:ascii="Times New Roman" w:hAnsi="Times New Roman" w:cs="Times New Roman"/>
          <w:sz w:val="24"/>
          <w:szCs w:val="24"/>
        </w:rPr>
        <w:t>ểm rủ</w:t>
      </w:r>
      <w:r w:rsidRPr="00C15164">
        <w:rPr>
          <w:rFonts w:ascii="Times New Roman" w:hAnsi="Times New Roman" w:cs="Times New Roman"/>
          <w:sz w:val="24"/>
          <w:szCs w:val="24"/>
          <w:lang w:val="it-IT"/>
        </w:rPr>
        <w:t>i ro ch</w:t>
      </w:r>
      <w:r w:rsidRPr="00C15164">
        <w:rPr>
          <w:rFonts w:ascii="Times New Roman" w:hAnsi="Times New Roman" w:cs="Times New Roman"/>
          <w:sz w:val="24"/>
          <w:szCs w:val="24"/>
        </w:rPr>
        <w:t>í</w:t>
      </w:r>
      <w:r w:rsidRPr="00C15164">
        <w:rPr>
          <w:rFonts w:ascii="Times New Roman" w:hAnsi="Times New Roman" w:cs="Times New Roman"/>
          <w:sz w:val="24"/>
          <w:szCs w:val="24"/>
          <w:lang w:val="sv-SE"/>
        </w:rPr>
        <w:t>nh tr</w:t>
      </w:r>
      <w:r w:rsidRPr="00C15164">
        <w:rPr>
          <w:rFonts w:ascii="Times New Roman" w:hAnsi="Times New Roman" w:cs="Times New Roman"/>
          <w:sz w:val="24"/>
          <w:szCs w:val="24"/>
        </w:rPr>
        <w:t>ị, bên cạ</w:t>
      </w:r>
      <w:r w:rsidRPr="00C15164">
        <w:rPr>
          <w:rFonts w:ascii="Times New Roman" w:hAnsi="Times New Roman" w:cs="Times New Roman"/>
          <w:sz w:val="24"/>
          <w:szCs w:val="24"/>
          <w:lang w:val="sv-SE"/>
        </w:rPr>
        <w:t>nh vi</w:t>
      </w:r>
      <w:r w:rsidRPr="00C15164">
        <w:rPr>
          <w:rFonts w:ascii="Times New Roman" w:hAnsi="Times New Roman" w:cs="Times New Roman"/>
          <w:sz w:val="24"/>
          <w:szCs w:val="24"/>
        </w:rPr>
        <w:t>ệc h</w:t>
      </w:r>
      <w:r w:rsidRPr="00C15164">
        <w:rPr>
          <w:rFonts w:ascii="Times New Roman" w:hAnsi="Times New Roman" w:cs="Times New Roman"/>
          <w:sz w:val="24"/>
          <w:szCs w:val="24"/>
          <w:lang w:val="it-IT"/>
        </w:rPr>
        <w:t>ì</w:t>
      </w:r>
      <w:r w:rsidRPr="00C15164">
        <w:rPr>
          <w:rFonts w:ascii="Times New Roman" w:hAnsi="Times New Roman" w:cs="Times New Roman"/>
          <w:sz w:val="24"/>
          <w:szCs w:val="24"/>
        </w:rPr>
        <w:t>nh thành các mô h</w:t>
      </w:r>
      <w:r w:rsidRPr="00C15164">
        <w:rPr>
          <w:rFonts w:ascii="Times New Roman" w:hAnsi="Times New Roman" w:cs="Times New Roman"/>
          <w:sz w:val="24"/>
          <w:szCs w:val="24"/>
          <w:lang w:val="it-IT"/>
        </w:rPr>
        <w:t>ì</w:t>
      </w:r>
      <w:r w:rsidRPr="00C15164">
        <w:rPr>
          <w:rFonts w:ascii="Times New Roman" w:hAnsi="Times New Roman" w:cs="Times New Roman"/>
          <w:sz w:val="24"/>
          <w:szCs w:val="24"/>
          <w:lang w:val="pt-PT"/>
        </w:rPr>
        <w:t>nh qu</w:t>
      </w:r>
      <w:r w:rsidRPr="00C15164">
        <w:rPr>
          <w:rFonts w:ascii="Times New Roman" w:hAnsi="Times New Roman" w:cs="Times New Roman"/>
          <w:sz w:val="24"/>
          <w:szCs w:val="24"/>
        </w:rPr>
        <w:t xml:space="preserve">ỹ đầu tư </w:t>
      </w:r>
      <w:r w:rsidRPr="00C15164">
        <w:rPr>
          <w:rFonts w:ascii="Times New Roman" w:hAnsi="Times New Roman" w:cs="Times New Roman"/>
          <w:sz w:val="24"/>
          <w:szCs w:val="24"/>
          <w:lang w:val="de-DE"/>
        </w:rPr>
        <w:t>chung.</w:t>
      </w:r>
      <w:r w:rsidRPr="00C15164">
        <w:rPr>
          <w:rFonts w:ascii="Times New Roman" w:hAnsi="Times New Roman" w:cs="Times New Roman"/>
          <w:sz w:val="24"/>
          <w:szCs w:val="24"/>
        </w:rPr>
        <w:t xml:space="preserve"> Những công cụ quả</w:t>
      </w:r>
      <w:r w:rsidRPr="00C15164">
        <w:rPr>
          <w:rFonts w:ascii="Times New Roman" w:hAnsi="Times New Roman" w:cs="Times New Roman"/>
          <w:sz w:val="24"/>
          <w:szCs w:val="24"/>
          <w:lang w:val="es-ES_tradnl"/>
        </w:rPr>
        <w:t>n l</w:t>
      </w:r>
      <w:r w:rsidRPr="00C15164">
        <w:rPr>
          <w:rFonts w:ascii="Times New Roman" w:hAnsi="Times New Roman" w:cs="Times New Roman"/>
          <w:sz w:val="24"/>
          <w:szCs w:val="24"/>
        </w:rPr>
        <w:t>ý rủ</w:t>
      </w:r>
      <w:r w:rsidRPr="00C15164">
        <w:rPr>
          <w:rFonts w:ascii="Times New Roman" w:hAnsi="Times New Roman" w:cs="Times New Roman"/>
          <w:sz w:val="24"/>
          <w:szCs w:val="24"/>
          <w:lang w:val="pt-PT"/>
        </w:rPr>
        <w:t>i ro ti</w:t>
      </w:r>
      <w:r w:rsidRPr="00C15164">
        <w:rPr>
          <w:rFonts w:ascii="Times New Roman" w:hAnsi="Times New Roman" w:cs="Times New Roman"/>
          <w:sz w:val="24"/>
          <w:szCs w:val="24"/>
        </w:rPr>
        <w:t xml:space="preserve">ền tệ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ư công cụ phòng vệ rủ</w:t>
      </w:r>
      <w:r w:rsidRPr="00C15164">
        <w:rPr>
          <w:rFonts w:ascii="Times New Roman" w:hAnsi="Times New Roman" w:cs="Times New Roman"/>
          <w:sz w:val="24"/>
          <w:szCs w:val="24"/>
          <w:lang w:val="es-ES_tradnl"/>
        </w:rPr>
        <w:t>i ro ho</w:t>
      </w:r>
      <w:r w:rsidRPr="00C15164">
        <w:rPr>
          <w:rFonts w:ascii="Times New Roman" w:hAnsi="Times New Roman" w:cs="Times New Roman"/>
          <w:sz w:val="24"/>
          <w:szCs w:val="24"/>
        </w:rPr>
        <w:t>ặc kết nố</w:t>
      </w:r>
      <w:r w:rsidRPr="00C15164">
        <w:rPr>
          <w:rFonts w:ascii="Times New Roman" w:hAnsi="Times New Roman" w:cs="Times New Roman"/>
          <w:sz w:val="24"/>
          <w:szCs w:val="24"/>
          <w:lang w:val="it-IT"/>
        </w:rPr>
        <w:t>i c</w:t>
      </w:r>
      <w:r w:rsidRPr="00C15164">
        <w:rPr>
          <w:rFonts w:ascii="Times New Roman" w:hAnsi="Times New Roman" w:cs="Times New Roman"/>
          <w:sz w:val="24"/>
          <w:szCs w:val="24"/>
        </w:rPr>
        <w:t>ác d</w:t>
      </w:r>
      <w:r w:rsidRPr="00C15164">
        <w:rPr>
          <w:rFonts w:ascii="Times New Roman" w:hAnsi="Times New Roman" w:cs="Times New Roman"/>
          <w:sz w:val="24"/>
          <w:szCs w:val="24"/>
          <w:lang w:val="it-IT"/>
        </w:rPr>
        <w:t>ò</w:t>
      </w:r>
      <w:r w:rsidRPr="00C15164">
        <w:rPr>
          <w:rFonts w:ascii="Times New Roman" w:hAnsi="Times New Roman" w:cs="Times New Roman"/>
          <w:sz w:val="24"/>
          <w:szCs w:val="24"/>
        </w:rPr>
        <w:t xml:space="preserve">ng tiền mặt sẽ rất hữu ích </w:t>
      </w:r>
      <w:r w:rsidRPr="00C15164">
        <w:rPr>
          <w:rFonts w:ascii="Times New Roman" w:hAnsi="Times New Roman" w:cs="Times New Roman"/>
          <w:sz w:val="24"/>
          <w:szCs w:val="24"/>
          <w:lang w:val="es-ES_tradnl"/>
        </w:rPr>
        <w:t xml:space="preserve">cho </w:t>
      </w:r>
      <w:r w:rsidRPr="00C15164">
        <w:rPr>
          <w:rFonts w:ascii="Times New Roman" w:hAnsi="Times New Roman" w:cs="Times New Roman"/>
          <w:sz w:val="24"/>
          <w:szCs w:val="24"/>
        </w:rPr>
        <w:t>các nề</w:t>
      </w:r>
      <w:r w:rsidRPr="00C15164">
        <w:rPr>
          <w:rFonts w:ascii="Times New Roman" w:hAnsi="Times New Roman" w:cs="Times New Roman"/>
          <w:sz w:val="24"/>
          <w:szCs w:val="24"/>
          <w:lang w:val="nl-NL"/>
        </w:rPr>
        <w:t>n kinh t</w:t>
      </w:r>
      <w:r w:rsidRPr="00C15164">
        <w:rPr>
          <w:rFonts w:ascii="Times New Roman" w:hAnsi="Times New Roman" w:cs="Times New Roman"/>
          <w:sz w:val="24"/>
          <w:szCs w:val="24"/>
        </w:rPr>
        <w:t>ế đang phát triển trong APEC.</w:t>
      </w:r>
    </w:p>
    <w:p w14:paraId="50E4810A" w14:textId="34C835CA"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b/>
          <w:sz w:val="24"/>
          <w:szCs w:val="24"/>
          <w:lang w:val="pt-PT"/>
        </w:rPr>
        <w:t>Danh m</w:t>
      </w:r>
      <w:r w:rsidRPr="00C15164">
        <w:rPr>
          <w:rFonts w:ascii="Times New Roman" w:hAnsi="Times New Roman" w:cs="Times New Roman"/>
          <w:b/>
          <w:sz w:val="24"/>
          <w:szCs w:val="24"/>
        </w:rPr>
        <w:t>ục dự án cơ sở hạ tầng</w:t>
      </w:r>
    </w:p>
    <w:p w14:paraId="693734AC" w14:textId="77777777" w:rsidR="00C15164" w:rsidRPr="00C15164" w:rsidRDefault="00C15164" w:rsidP="00C15164">
      <w:pPr>
        <w:tabs>
          <w:tab w:val="left" w:pos="558"/>
        </w:tabs>
        <w:rPr>
          <w:rFonts w:ascii="Times New Roman" w:hAnsi="Times New Roman" w:cs="Times New Roman"/>
          <w:sz w:val="24"/>
          <w:szCs w:val="24"/>
          <w:u w:val="single"/>
        </w:rPr>
      </w:pPr>
      <w:r w:rsidRPr="00C15164">
        <w:rPr>
          <w:rFonts w:ascii="Times New Roman" w:hAnsi="Times New Roman" w:cs="Times New Roman"/>
          <w:sz w:val="24"/>
          <w:szCs w:val="24"/>
        </w:rPr>
        <w:t>14</w:t>
      </w:r>
      <w:r w:rsidRPr="00C15164">
        <w:rPr>
          <w:rFonts w:ascii="Times New Roman" w:hAnsi="Times New Roman" w:cs="Times New Roman"/>
          <w:sz w:val="24"/>
          <w:szCs w:val="24"/>
        </w:rPr>
        <w:tab/>
        <w:t>Xâ</w:t>
      </w:r>
      <w:r w:rsidRPr="00C15164">
        <w:rPr>
          <w:rFonts w:ascii="Times New Roman" w:hAnsi="Times New Roman" w:cs="Times New Roman"/>
          <w:sz w:val="24"/>
          <w:szCs w:val="24"/>
          <w:lang w:val="pt-PT"/>
        </w:rPr>
        <w:t>y d</w:t>
      </w:r>
      <w:r w:rsidRPr="00C15164">
        <w:rPr>
          <w:rFonts w:ascii="Times New Roman" w:hAnsi="Times New Roman" w:cs="Times New Roman"/>
          <w:sz w:val="24"/>
          <w:szCs w:val="24"/>
        </w:rPr>
        <w:t>ự</w:t>
      </w:r>
      <w:r w:rsidRPr="00C15164">
        <w:rPr>
          <w:rFonts w:ascii="Times New Roman" w:hAnsi="Times New Roman" w:cs="Times New Roman"/>
          <w:sz w:val="24"/>
          <w:szCs w:val="24"/>
          <w:lang w:val="nl-NL"/>
        </w:rPr>
        <w:t>ng danh m</w:t>
      </w:r>
      <w:r w:rsidRPr="00C15164">
        <w:rPr>
          <w:rFonts w:ascii="Times New Roman" w:hAnsi="Times New Roman" w:cs="Times New Roman"/>
          <w:sz w:val="24"/>
          <w:szCs w:val="24"/>
        </w:rPr>
        <w:t>ục cá</w:t>
      </w:r>
      <w:r w:rsidRPr="00C15164">
        <w:rPr>
          <w:rFonts w:ascii="Times New Roman" w:hAnsi="Times New Roman" w:cs="Times New Roman"/>
          <w:sz w:val="24"/>
          <w:szCs w:val="24"/>
          <w:lang w:val="pt-PT"/>
        </w:rPr>
        <w:t>c d</w:t>
      </w:r>
      <w:r w:rsidRPr="00C15164">
        <w:rPr>
          <w:rFonts w:ascii="Times New Roman" w:hAnsi="Times New Roman" w:cs="Times New Roman"/>
          <w:sz w:val="24"/>
          <w:szCs w:val="24"/>
        </w:rPr>
        <w:t>ự án sẽ khuyến khí</w:t>
      </w:r>
      <w:r w:rsidRPr="00C15164">
        <w:rPr>
          <w:rFonts w:ascii="Times New Roman" w:hAnsi="Times New Roman" w:cs="Times New Roman"/>
          <w:sz w:val="24"/>
          <w:szCs w:val="24"/>
          <w:lang w:val="de-DE"/>
        </w:rPr>
        <w:t>ch s</w:t>
      </w:r>
      <w:r w:rsidRPr="00C15164">
        <w:rPr>
          <w:rFonts w:ascii="Times New Roman" w:hAnsi="Times New Roman" w:cs="Times New Roman"/>
          <w:sz w:val="24"/>
          <w:szCs w:val="24"/>
        </w:rPr>
        <w:t xml:space="preserve">ự </w:t>
      </w:r>
      <w:r w:rsidRPr="00C15164">
        <w:rPr>
          <w:rFonts w:ascii="Times New Roman" w:hAnsi="Times New Roman" w:cs="Times New Roman"/>
          <w:sz w:val="24"/>
          <w:szCs w:val="24"/>
          <w:lang w:val="pt-PT"/>
        </w:rPr>
        <w:t>tham gia c</w:t>
      </w:r>
      <w:r w:rsidRPr="00C15164">
        <w:rPr>
          <w:rFonts w:ascii="Times New Roman" w:hAnsi="Times New Roman" w:cs="Times New Roman"/>
          <w:sz w:val="24"/>
          <w:szCs w:val="24"/>
        </w:rPr>
        <w:t xml:space="preserve">ủa khu vực tư </w:t>
      </w:r>
      <w:r w:rsidRPr="00C15164">
        <w:rPr>
          <w:rFonts w:ascii="Times New Roman" w:hAnsi="Times New Roman" w:cs="Times New Roman"/>
          <w:sz w:val="24"/>
          <w:szCs w:val="24"/>
          <w:lang w:val="pt-PT"/>
        </w:rPr>
        <w:t>nh</w:t>
      </w:r>
      <w:r w:rsidRPr="00C15164">
        <w:rPr>
          <w:rFonts w:ascii="Times New Roman" w:hAnsi="Times New Roman" w:cs="Times New Roman"/>
          <w:sz w:val="24"/>
          <w:szCs w:val="24"/>
        </w:rPr>
        <w:t>â</w:t>
      </w:r>
      <w:r w:rsidRPr="00C15164">
        <w:rPr>
          <w:rFonts w:ascii="Times New Roman" w:hAnsi="Times New Roman" w:cs="Times New Roman"/>
          <w:sz w:val="24"/>
          <w:szCs w:val="24"/>
          <w:lang w:val="de-DE"/>
        </w:rPr>
        <w:t>n v</w:t>
      </w:r>
      <w:r w:rsidRPr="00C15164">
        <w:rPr>
          <w:rFonts w:ascii="Times New Roman" w:hAnsi="Times New Roman" w:cs="Times New Roman"/>
          <w:sz w:val="24"/>
          <w:szCs w:val="24"/>
          <w:lang w:val="pt-PT"/>
        </w:rPr>
        <w:t xml:space="preserve">ào </w:t>
      </w:r>
      <w:r w:rsidRPr="00C15164">
        <w:rPr>
          <w:rFonts w:ascii="Times New Roman" w:hAnsi="Times New Roman" w:cs="Times New Roman"/>
          <w:sz w:val="24"/>
          <w:szCs w:val="24"/>
        </w:rPr>
        <w:t>các dự án cơ sở hạ tầng</w:t>
      </w:r>
      <w:r w:rsidRPr="00C15164">
        <w:rPr>
          <w:rFonts w:ascii="Times New Roman" w:hAnsi="Times New Roman" w:cs="Times New Roman"/>
          <w:sz w:val="24"/>
          <w:szCs w:val="24"/>
          <w:lang w:val="pt-PT"/>
        </w:rPr>
        <w:t xml:space="preserve">, </w:t>
      </w:r>
      <w:r w:rsidRPr="00C15164">
        <w:rPr>
          <w:rFonts w:ascii="Times New Roman" w:hAnsi="Times New Roman" w:cs="Times New Roman"/>
          <w:sz w:val="24"/>
          <w:szCs w:val="24"/>
        </w:rPr>
        <w:t>trong đó những nỗ lực hợp tác APEC trong việc tăng cường năng lực, hỗ trợ chuẩn bị dự án và hỗ trợ kỹ thuật có vai trò đặc biệt quan trọng. Việc h</w:t>
      </w:r>
      <w:r w:rsidRPr="00C15164">
        <w:rPr>
          <w:rFonts w:ascii="Times New Roman" w:hAnsi="Times New Roman" w:cs="Times New Roman"/>
          <w:sz w:val="24"/>
          <w:szCs w:val="24"/>
          <w:lang w:val="it-IT"/>
        </w:rPr>
        <w:t>ì</w:t>
      </w:r>
      <w:r w:rsidRPr="00C15164">
        <w:rPr>
          <w:rFonts w:ascii="Times New Roman" w:hAnsi="Times New Roman" w:cs="Times New Roman"/>
          <w:sz w:val="24"/>
          <w:szCs w:val="24"/>
        </w:rPr>
        <w:t>nh thà</w:t>
      </w:r>
      <w:r w:rsidRPr="00C15164">
        <w:rPr>
          <w:rFonts w:ascii="Times New Roman" w:hAnsi="Times New Roman" w:cs="Times New Roman"/>
          <w:sz w:val="24"/>
          <w:szCs w:val="24"/>
          <w:lang w:val="pt-PT"/>
        </w:rPr>
        <w:t>nh m</w:t>
      </w:r>
      <w:r w:rsidRPr="00C15164">
        <w:rPr>
          <w:rFonts w:ascii="Times New Roman" w:hAnsi="Times New Roman" w:cs="Times New Roman"/>
          <w:sz w:val="24"/>
          <w:szCs w:val="24"/>
        </w:rPr>
        <w:t>ộ</w:t>
      </w:r>
      <w:r w:rsidRPr="00C15164">
        <w:rPr>
          <w:rFonts w:ascii="Times New Roman" w:hAnsi="Times New Roman" w:cs="Times New Roman"/>
          <w:sz w:val="24"/>
          <w:szCs w:val="24"/>
          <w:lang w:val="nl-NL"/>
        </w:rPr>
        <w:t>t danh m</w:t>
      </w:r>
      <w:r w:rsidRPr="00C15164">
        <w:rPr>
          <w:rFonts w:ascii="Times New Roman" w:hAnsi="Times New Roman" w:cs="Times New Roman"/>
          <w:sz w:val="24"/>
          <w:szCs w:val="24"/>
        </w:rPr>
        <w:t>ục dự á</w:t>
      </w:r>
      <w:r w:rsidRPr="00C15164">
        <w:rPr>
          <w:rFonts w:ascii="Times New Roman" w:hAnsi="Times New Roman" w:cs="Times New Roman"/>
          <w:sz w:val="24"/>
          <w:szCs w:val="24"/>
          <w:lang w:val="es-ES_tradnl"/>
        </w:rPr>
        <w:t>n l</w:t>
      </w:r>
      <w:r w:rsidRPr="00C15164">
        <w:rPr>
          <w:rFonts w:ascii="Times New Roman" w:hAnsi="Times New Roman" w:cs="Times New Roman"/>
          <w:sz w:val="24"/>
          <w:szCs w:val="24"/>
        </w:rPr>
        <w:t>à điều kiện tiê</w:t>
      </w:r>
      <w:r w:rsidRPr="00C15164">
        <w:rPr>
          <w:rFonts w:ascii="Times New Roman" w:hAnsi="Times New Roman" w:cs="Times New Roman"/>
          <w:sz w:val="24"/>
          <w:szCs w:val="24"/>
          <w:lang w:val="es-ES_tradnl"/>
        </w:rPr>
        <w:t>n quy</w:t>
      </w:r>
      <w:r w:rsidRPr="00C15164">
        <w:rPr>
          <w:rFonts w:ascii="Times New Roman" w:hAnsi="Times New Roman" w:cs="Times New Roman"/>
          <w:sz w:val="24"/>
          <w:szCs w:val="24"/>
        </w:rPr>
        <w:t>ế</w:t>
      </w:r>
      <w:r w:rsidRPr="00C15164">
        <w:rPr>
          <w:rFonts w:ascii="Times New Roman" w:hAnsi="Times New Roman" w:cs="Times New Roman"/>
          <w:sz w:val="24"/>
          <w:szCs w:val="24"/>
          <w:lang w:val="es-ES_tradnl"/>
        </w:rPr>
        <w:t>t cho c</w:t>
      </w:r>
      <w:r w:rsidRPr="00C15164">
        <w:rPr>
          <w:rFonts w:ascii="Times New Roman" w:hAnsi="Times New Roman" w:cs="Times New Roman"/>
          <w:sz w:val="24"/>
          <w:szCs w:val="24"/>
        </w:rPr>
        <w:t>á</w:t>
      </w:r>
      <w:r w:rsidRPr="00C15164">
        <w:rPr>
          <w:rFonts w:ascii="Times New Roman" w:hAnsi="Times New Roman" w:cs="Times New Roman"/>
          <w:sz w:val="24"/>
          <w:szCs w:val="24"/>
          <w:lang w:val="it-IT"/>
        </w:rPr>
        <w:t>c chi</w:t>
      </w:r>
      <w:r w:rsidRPr="00C15164">
        <w:rPr>
          <w:rFonts w:ascii="Times New Roman" w:hAnsi="Times New Roman" w:cs="Times New Roman"/>
          <w:sz w:val="24"/>
          <w:szCs w:val="24"/>
        </w:rPr>
        <w:t>ế</w:t>
      </w:r>
      <w:r w:rsidRPr="00C15164">
        <w:rPr>
          <w:rFonts w:ascii="Times New Roman" w:hAnsi="Times New Roman" w:cs="Times New Roman"/>
          <w:sz w:val="24"/>
          <w:szCs w:val="24"/>
          <w:lang w:val="es-ES_tradnl"/>
        </w:rPr>
        <w:t>n l</w:t>
      </w:r>
      <w:r w:rsidRPr="00C15164">
        <w:rPr>
          <w:rFonts w:ascii="Times New Roman" w:hAnsi="Times New Roman" w:cs="Times New Roman"/>
          <w:sz w:val="24"/>
          <w:szCs w:val="24"/>
        </w:rPr>
        <w:t>ược đầu tư cơ sở hạ tầng cụ thể, như sử dụng trái phiếu dự án thông qua thị trường nợ trong nước. Việc xây dựng các tài liệu chuẩn hoá, đi đôi với các chương trình đào tạo tăng cường năng lực, cá</w:t>
      </w:r>
      <w:r w:rsidRPr="00C15164">
        <w:rPr>
          <w:rFonts w:ascii="Times New Roman" w:hAnsi="Times New Roman" w:cs="Times New Roman"/>
          <w:sz w:val="24"/>
          <w:szCs w:val="24"/>
          <w:lang w:val="it-IT"/>
        </w:rPr>
        <w:t>c chi</w:t>
      </w:r>
      <w:r w:rsidRPr="00C15164">
        <w:rPr>
          <w:rFonts w:ascii="Times New Roman" w:hAnsi="Times New Roman" w:cs="Times New Roman"/>
          <w:sz w:val="24"/>
          <w:szCs w:val="24"/>
        </w:rPr>
        <w:t>ế</w:t>
      </w:r>
      <w:r w:rsidRPr="00C15164">
        <w:rPr>
          <w:rFonts w:ascii="Times New Roman" w:hAnsi="Times New Roman" w:cs="Times New Roman"/>
          <w:sz w:val="24"/>
          <w:szCs w:val="24"/>
          <w:lang w:val="es-ES_tradnl"/>
        </w:rPr>
        <w:t>n l</w:t>
      </w:r>
      <w:r w:rsidRPr="00C15164">
        <w:rPr>
          <w:rFonts w:ascii="Times New Roman" w:hAnsi="Times New Roman" w:cs="Times New Roman"/>
          <w:sz w:val="24"/>
          <w:szCs w:val="24"/>
        </w:rPr>
        <w:t xml:space="preserve">ược thông tin và </w:t>
      </w:r>
      <w:r w:rsidRPr="00C15164">
        <w:rPr>
          <w:rFonts w:ascii="Times New Roman" w:hAnsi="Times New Roman" w:cs="Times New Roman"/>
          <w:sz w:val="24"/>
          <w:szCs w:val="24"/>
          <w:lang w:val="es-ES_tradnl"/>
        </w:rPr>
        <w:t>truy</w:t>
      </w:r>
      <w:r w:rsidRPr="00C15164">
        <w:rPr>
          <w:rFonts w:ascii="Times New Roman" w:hAnsi="Times New Roman" w:cs="Times New Roman"/>
          <w:sz w:val="24"/>
          <w:szCs w:val="24"/>
        </w:rPr>
        <w:t xml:space="preserve">ền thông, có thể giúp các cơ </w:t>
      </w:r>
      <w:r w:rsidRPr="00C15164">
        <w:rPr>
          <w:rFonts w:ascii="Times New Roman" w:hAnsi="Times New Roman" w:cs="Times New Roman"/>
          <w:sz w:val="24"/>
          <w:szCs w:val="24"/>
          <w:lang w:val="it-IT"/>
        </w:rPr>
        <w:t>quan ch</w:t>
      </w:r>
      <w:r w:rsidRPr="00C15164">
        <w:rPr>
          <w:rFonts w:ascii="Times New Roman" w:hAnsi="Times New Roman" w:cs="Times New Roman"/>
          <w:sz w:val="24"/>
          <w:szCs w:val="24"/>
        </w:rPr>
        <w:t>ức nă</w:t>
      </w:r>
      <w:r w:rsidRPr="00C15164">
        <w:rPr>
          <w:rFonts w:ascii="Times New Roman" w:hAnsi="Times New Roman" w:cs="Times New Roman"/>
          <w:sz w:val="24"/>
          <w:szCs w:val="24"/>
          <w:lang w:val="da-DK"/>
        </w:rPr>
        <w:t>ng kh</w:t>
      </w:r>
      <w:r w:rsidRPr="00C15164">
        <w:rPr>
          <w:rFonts w:ascii="Times New Roman" w:hAnsi="Times New Roman" w:cs="Times New Roman"/>
          <w:sz w:val="24"/>
          <w:szCs w:val="24"/>
        </w:rPr>
        <w:t>ông những xây dựng</w:t>
      </w:r>
      <w:r w:rsidRPr="00C15164">
        <w:rPr>
          <w:rFonts w:ascii="Times New Roman" w:hAnsi="Times New Roman" w:cs="Times New Roman"/>
          <w:sz w:val="24"/>
          <w:szCs w:val="24"/>
          <w:lang w:val="pt-PT"/>
        </w:rPr>
        <w:t xml:space="preserve"> danh m</w:t>
      </w:r>
      <w:r w:rsidRPr="00C15164">
        <w:rPr>
          <w:rFonts w:ascii="Times New Roman" w:hAnsi="Times New Roman" w:cs="Times New Roman"/>
          <w:sz w:val="24"/>
          <w:szCs w:val="24"/>
        </w:rPr>
        <w:t>ục các dự á</w:t>
      </w:r>
      <w:r w:rsidRPr="00C15164">
        <w:rPr>
          <w:rFonts w:ascii="Times New Roman" w:hAnsi="Times New Roman" w:cs="Times New Roman"/>
          <w:sz w:val="24"/>
          <w:szCs w:val="24"/>
          <w:lang w:val="es-ES_tradnl"/>
        </w:rPr>
        <w:t xml:space="preserve">n PPP </w:t>
      </w:r>
      <w:r w:rsidRPr="00C15164">
        <w:rPr>
          <w:rFonts w:ascii="Times New Roman" w:hAnsi="Times New Roman" w:cs="Times New Roman"/>
          <w:sz w:val="24"/>
          <w:szCs w:val="24"/>
        </w:rPr>
        <w:t>khả thi mà c</w:t>
      </w:r>
      <w:r w:rsidRPr="00C15164">
        <w:rPr>
          <w:rFonts w:ascii="Times New Roman" w:hAnsi="Times New Roman" w:cs="Times New Roman"/>
          <w:sz w:val="24"/>
          <w:szCs w:val="24"/>
          <w:lang w:val="it-IT"/>
        </w:rPr>
        <w:t>ò</w:t>
      </w:r>
      <w:r w:rsidRPr="00C15164">
        <w:rPr>
          <w:rFonts w:ascii="Times New Roman" w:hAnsi="Times New Roman" w:cs="Times New Roman"/>
          <w:sz w:val="24"/>
          <w:szCs w:val="24"/>
        </w:rPr>
        <w:t>n hỗ trợ triển khai các dự án trong thực tế.</w:t>
      </w:r>
    </w:p>
    <w:p w14:paraId="05EC94BD" w14:textId="77777777"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sz w:val="24"/>
          <w:szCs w:val="24"/>
        </w:rPr>
        <w:t>15</w:t>
      </w:r>
      <w:r w:rsidRPr="00C15164">
        <w:rPr>
          <w:rFonts w:ascii="Times New Roman" w:hAnsi="Times New Roman" w:cs="Times New Roman"/>
          <w:sz w:val="24"/>
          <w:szCs w:val="24"/>
        </w:rPr>
        <w:tab/>
        <w:t>Cần xem xét các thực tiễn tốt mang lại hiệu quả đầu tư công. Phát triển cơ sở hạ tầng thường bị cản trở bởi các vấn đề như lựa chọn dự án sơ sài, sự chậm trễ trong thiết kế và hoàn thành dự án, quy trình mua sắm phức tạp, chi phí quá tải, vấn đề liên quan đến công tác chỉ đạo, vận hành và duy trì tài sản hiệu quả. Danh mục dự án cơ sở hạ tầng, do đó, nên tập trung vào hiệu quả và thúc đẩy các dự án khả thi và ưu tiên. Một hệ thống đánh giá, định giá và phân tích cần được xây dựng phù hợp với mục tiêu phát triển quốc gia và lựa chọn phương án tài chính phù hợp nhất.</w:t>
      </w:r>
    </w:p>
    <w:p w14:paraId="6012B980" w14:textId="1A14B872"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b/>
          <w:sz w:val="24"/>
          <w:szCs w:val="24"/>
        </w:rPr>
        <w:t>Cô</w:t>
      </w:r>
      <w:r w:rsidRPr="00C15164">
        <w:rPr>
          <w:rFonts w:ascii="Times New Roman" w:hAnsi="Times New Roman" w:cs="Times New Roman"/>
          <w:b/>
          <w:sz w:val="24"/>
          <w:szCs w:val="24"/>
          <w:lang w:val="nl-NL"/>
        </w:rPr>
        <w:t>ng vi</w:t>
      </w:r>
      <w:r w:rsidRPr="00C15164">
        <w:rPr>
          <w:rFonts w:ascii="Times New Roman" w:hAnsi="Times New Roman" w:cs="Times New Roman"/>
          <w:b/>
          <w:sz w:val="24"/>
          <w:szCs w:val="24"/>
        </w:rPr>
        <w:t>ệc tiếp theo</w:t>
      </w:r>
    </w:p>
    <w:p w14:paraId="49634F19" w14:textId="77777777" w:rsidR="00C15164" w:rsidRPr="00C15164" w:rsidRDefault="00C15164" w:rsidP="00C15164">
      <w:pPr>
        <w:tabs>
          <w:tab w:val="left" w:pos="558"/>
        </w:tabs>
        <w:rPr>
          <w:rFonts w:ascii="Times New Roman" w:hAnsi="Times New Roman" w:cs="Times New Roman"/>
          <w:sz w:val="24"/>
          <w:szCs w:val="24"/>
        </w:rPr>
      </w:pPr>
      <w:r w:rsidRPr="00C15164">
        <w:rPr>
          <w:rFonts w:ascii="Times New Roman" w:hAnsi="Times New Roman" w:cs="Times New Roman"/>
          <w:sz w:val="24"/>
          <w:szCs w:val="24"/>
        </w:rPr>
        <w:t>16</w:t>
      </w:r>
      <w:r w:rsidRPr="00C15164">
        <w:rPr>
          <w:rFonts w:ascii="Times New Roman" w:hAnsi="Times New Roman" w:cs="Times New Roman"/>
          <w:sz w:val="24"/>
          <w:szCs w:val="24"/>
        </w:rPr>
        <w:tab/>
      </w:r>
      <w:r w:rsidRPr="00C15164">
        <w:rPr>
          <w:rFonts w:ascii="Times New Roman" w:hAnsi="Times New Roman" w:cs="Times New Roman"/>
          <w:spacing w:val="-2"/>
          <w:sz w:val="24"/>
          <w:szCs w:val="24"/>
          <w:lang w:val="it-IT"/>
        </w:rPr>
        <w:t>Trên cơ sở bản tuyên bố này, chúng tôi kêu gọi tiếp tục đánh giá và phân tích các thông lệ và cách tiếp cận tốt đối với các vấn đề được đề cập trong Tuyên bố này, qua đó có thể hướng dẫn và hỗ trợ việc triển khai trên cơ sở tự nguyện các thông điệp chính sách trong Tuyên bố này, đồng thời đề nghị Tổ chức Hợp tác và Phát triển kinh tế phối hợp với các tổ chức quốc tế khác xây dựng báo cáo về những kinh nghiệm hữu ích để có thể báo cáo trong các hội nghị tiếp theo trong năm 2018 và 2019.</w:t>
      </w:r>
    </w:p>
    <w:p w14:paraId="351D6F26" w14:textId="77777777" w:rsidR="009173CD" w:rsidRPr="00631249" w:rsidRDefault="009173CD" w:rsidP="009173CD">
      <w:pPr>
        <w:spacing w:after="0" w:line="240" w:lineRule="auto"/>
        <w:rPr>
          <w:rFonts w:ascii="Times New Roman" w:hAnsi="Times New Roman" w:cs="Times New Roman"/>
          <w:sz w:val="24"/>
          <w:szCs w:val="24"/>
        </w:rPr>
      </w:pPr>
    </w:p>
    <w:p w14:paraId="56B6D017" w14:textId="18F6D316" w:rsidR="005A034C" w:rsidRPr="00631249" w:rsidRDefault="005A034C" w:rsidP="00E259DE">
      <w:pPr>
        <w:rPr>
          <w:rFonts w:ascii="Times New Roman" w:hAnsi="Times New Roman" w:cs="Times New Roman"/>
          <w:sz w:val="24"/>
          <w:szCs w:val="24"/>
        </w:rPr>
      </w:pPr>
    </w:p>
    <w:sectPr w:rsidR="005A034C" w:rsidRPr="00631249" w:rsidSect="005A034C">
      <w:footerReference w:type="default" r:id="rId10"/>
      <w:pgSz w:w="11906" w:h="16838" w:code="9"/>
      <w:pgMar w:top="1134" w:right="1134" w:bottom="1134" w:left="1701" w:header="720" w:footer="4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157C0" w14:textId="77777777" w:rsidR="006B4012" w:rsidRDefault="006B4012" w:rsidP="005A034C">
      <w:pPr>
        <w:spacing w:after="0" w:line="240" w:lineRule="auto"/>
      </w:pPr>
      <w:r>
        <w:separator/>
      </w:r>
    </w:p>
  </w:endnote>
  <w:endnote w:type="continuationSeparator" w:id="0">
    <w:p w14:paraId="18D2210A" w14:textId="77777777" w:rsidR="006B4012" w:rsidRDefault="006B4012" w:rsidP="005A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04BBD" w14:textId="77777777" w:rsidR="00C15164" w:rsidRDefault="00C15164" w:rsidP="005A034C">
    <w:pPr>
      <w:pStyle w:val="Footer"/>
      <w:jc w:val="center"/>
    </w:pPr>
    <w:r>
      <w:fldChar w:fldCharType="begin"/>
    </w:r>
    <w:r>
      <w:instrText xml:space="preserve"> PAGE   \* MERGEFORMAT </w:instrText>
    </w:r>
    <w:r>
      <w:fldChar w:fldCharType="separate"/>
    </w:r>
    <w:r w:rsidR="006B4012">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981E9" w14:textId="77777777" w:rsidR="00C15164" w:rsidRDefault="00C15164" w:rsidP="005A034C">
    <w:pPr>
      <w:pStyle w:val="Footer"/>
      <w:jc w:val="center"/>
    </w:pPr>
    <w:r>
      <w:fldChar w:fldCharType="begin"/>
    </w:r>
    <w:r>
      <w:instrText xml:space="preserve"> PAGE   \* MERGEFORMAT </w:instrText>
    </w:r>
    <w:r>
      <w:fldChar w:fldCharType="separate"/>
    </w:r>
    <w:r w:rsidR="007724A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E381B" w14:textId="77777777" w:rsidR="006B4012" w:rsidRDefault="006B4012" w:rsidP="005A034C">
      <w:pPr>
        <w:spacing w:after="0" w:line="240" w:lineRule="auto"/>
      </w:pPr>
      <w:r>
        <w:separator/>
      </w:r>
    </w:p>
  </w:footnote>
  <w:footnote w:type="continuationSeparator" w:id="0">
    <w:p w14:paraId="2818F5EF" w14:textId="77777777" w:rsidR="006B4012" w:rsidRDefault="006B4012" w:rsidP="005A034C">
      <w:pPr>
        <w:spacing w:after="0" w:line="240" w:lineRule="auto"/>
      </w:pPr>
      <w:r>
        <w:continuationSeparator/>
      </w:r>
    </w:p>
  </w:footnote>
  <w:footnote w:id="1">
    <w:p w14:paraId="01DE45A2" w14:textId="77777777" w:rsidR="00C15164" w:rsidRDefault="00C15164" w:rsidP="00C15164">
      <w:pPr>
        <w:pStyle w:val="FootnoteText"/>
      </w:pPr>
      <w:r>
        <w:rPr>
          <w:rStyle w:val="FootnoteReference"/>
        </w:rPr>
        <w:footnoteRef/>
      </w:r>
      <w:r>
        <w:t xml:space="preserve"> Tài liệu hướng dẫn của G20/OECD về Đa dạng hóa nguồn lực tài chính cho Cơ sở hạ tầng và doanh nghiệp nhỏ và vừa</w:t>
      </w:r>
    </w:p>
  </w:footnote>
  <w:footnote w:id="2">
    <w:p w14:paraId="4721F945" w14:textId="77777777" w:rsidR="00C15164" w:rsidRDefault="00C15164" w:rsidP="00C15164">
      <w:pPr>
        <w:pStyle w:val="FootnoteText"/>
      </w:pPr>
      <w:r>
        <w:rPr>
          <w:rStyle w:val="FootnoteReference"/>
        </w:rPr>
        <w:footnoteRef/>
      </w:r>
      <w:r>
        <w:t xml:space="preserve"> Các nguyên tắc của OECD về Quản lý công Đối tác công tư</w:t>
      </w:r>
    </w:p>
  </w:footnote>
  <w:footnote w:id="3">
    <w:p w14:paraId="7D64A65B" w14:textId="77777777" w:rsidR="00C15164" w:rsidRPr="00CD6A2B" w:rsidRDefault="00C15164" w:rsidP="00C15164">
      <w:pPr>
        <w:pStyle w:val="FootnoteText"/>
      </w:pPr>
      <w:r>
        <w:rPr>
          <w:rStyle w:val="FootnoteReference"/>
        </w:rPr>
        <w:footnoteRef/>
      </w:r>
      <w:r>
        <w:t xml:space="preserve"> </w:t>
      </w:r>
      <w:r>
        <w:rPr>
          <w:i/>
        </w:rPr>
        <w:t>GIH (tháng 5/2017) Xây dựng chính sách cơ sở hạ tầng theo đúng định hướng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4A0" w:firstRow="1" w:lastRow="0" w:firstColumn="1" w:lastColumn="0" w:noHBand="0" w:noVBand="1"/>
    </w:tblPr>
    <w:tblGrid>
      <w:gridCol w:w="4866"/>
      <w:gridCol w:w="4598"/>
    </w:tblGrid>
    <w:tr w:rsidR="00C15164" w:rsidRPr="00E827D0" w14:paraId="0E835F97" w14:textId="77777777" w:rsidTr="00EF007E">
      <w:tc>
        <w:tcPr>
          <w:tcW w:w="4866" w:type="dxa"/>
        </w:tcPr>
        <w:p w14:paraId="573205B6" w14:textId="77777777" w:rsidR="00C15164" w:rsidRPr="00E827D0" w:rsidRDefault="00C15164" w:rsidP="00EF007E">
          <w:pPr>
            <w:pStyle w:val="Header"/>
          </w:pPr>
          <w:r>
            <w:rPr>
              <w:noProof/>
            </w:rPr>
            <w:drawing>
              <wp:inline distT="0" distB="0" distL="0" distR="0" wp14:anchorId="60F6DD06" wp14:editId="798A1FB8">
                <wp:extent cx="1030714" cy="595222"/>
                <wp:effectExtent l="19050" t="0" r="0" b="0"/>
                <wp:docPr id="5" name="Picture 5" descr="C:\Users\nguyendangkhoa\Pictures\APEC logo\logo A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guyendangkhoa\Pictures\APEC logo\logo APEC.jpg"/>
                        <pic:cNvPicPr>
                          <a:picLocks noChangeAspect="1" noChangeArrowheads="1"/>
                        </pic:cNvPicPr>
                      </pic:nvPicPr>
                      <pic:blipFill>
                        <a:blip r:embed="rId1"/>
                        <a:srcRect/>
                        <a:stretch>
                          <a:fillRect/>
                        </a:stretch>
                      </pic:blipFill>
                      <pic:spPr bwMode="auto">
                        <a:xfrm>
                          <a:off x="0" y="0"/>
                          <a:ext cx="1029275" cy="594391"/>
                        </a:xfrm>
                        <a:prstGeom prst="rect">
                          <a:avLst/>
                        </a:prstGeom>
                        <a:noFill/>
                        <a:ln w="9525">
                          <a:noFill/>
                          <a:miter lim="800000"/>
                          <a:headEnd/>
                          <a:tailEnd/>
                        </a:ln>
                      </pic:spPr>
                    </pic:pic>
                  </a:graphicData>
                </a:graphic>
              </wp:inline>
            </w:drawing>
          </w:r>
        </w:p>
      </w:tc>
      <w:tc>
        <w:tcPr>
          <w:tcW w:w="4598" w:type="dxa"/>
        </w:tcPr>
        <w:p w14:paraId="3511FF7E" w14:textId="77777777" w:rsidR="00C15164" w:rsidRPr="00E827D0" w:rsidRDefault="00C15164" w:rsidP="00EF007E">
          <w:pPr>
            <w:pStyle w:val="Header"/>
            <w:tabs>
              <w:tab w:val="clear" w:pos="4513"/>
            </w:tabs>
            <w:ind w:left="490" w:right="34"/>
            <w:jc w:val="right"/>
            <w:rPr>
              <w:b/>
            </w:rPr>
          </w:pPr>
          <w:r>
            <w:rPr>
              <w:b/>
              <w:noProof/>
            </w:rPr>
            <w:drawing>
              <wp:inline distT="0" distB="0" distL="0" distR="0" wp14:anchorId="42EFCF4D" wp14:editId="04F0A7C0">
                <wp:extent cx="1421752" cy="595222"/>
                <wp:effectExtent l="19050" t="0" r="6998" b="0"/>
                <wp:docPr id="6" name="Picture 6" descr="C:\Users\nguyendangkhoa\Pictures\APEC logo\logo APEC Vietn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guyendangkhoa\Pictures\APEC logo\logo APEC Vietnam 2.jpg"/>
                        <pic:cNvPicPr>
                          <a:picLocks noChangeAspect="1" noChangeArrowheads="1"/>
                        </pic:cNvPicPr>
                      </pic:nvPicPr>
                      <pic:blipFill>
                        <a:blip r:embed="rId2"/>
                        <a:srcRect/>
                        <a:stretch>
                          <a:fillRect/>
                        </a:stretch>
                      </pic:blipFill>
                      <pic:spPr bwMode="auto">
                        <a:xfrm>
                          <a:off x="0" y="0"/>
                          <a:ext cx="1421885" cy="595278"/>
                        </a:xfrm>
                        <a:prstGeom prst="rect">
                          <a:avLst/>
                        </a:prstGeom>
                        <a:noFill/>
                        <a:ln w="9525">
                          <a:noFill/>
                          <a:miter lim="800000"/>
                          <a:headEnd/>
                          <a:tailEnd/>
                        </a:ln>
                      </pic:spPr>
                    </pic:pic>
                  </a:graphicData>
                </a:graphic>
              </wp:inline>
            </w:drawing>
          </w:r>
        </w:p>
      </w:tc>
    </w:tr>
  </w:tbl>
  <w:p w14:paraId="40876645" w14:textId="77777777" w:rsidR="00C15164" w:rsidRDefault="00C15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5B5F"/>
    <w:multiLevelType w:val="hybridMultilevel"/>
    <w:tmpl w:val="54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4C"/>
    <w:rsid w:val="00002959"/>
    <w:rsid w:val="0003038E"/>
    <w:rsid w:val="00091209"/>
    <w:rsid w:val="000D58FB"/>
    <w:rsid w:val="000F4B35"/>
    <w:rsid w:val="00121E74"/>
    <w:rsid w:val="001305CC"/>
    <w:rsid w:val="00171D56"/>
    <w:rsid w:val="0017234D"/>
    <w:rsid w:val="001A0B8F"/>
    <w:rsid w:val="001C6846"/>
    <w:rsid w:val="001E2652"/>
    <w:rsid w:val="00212242"/>
    <w:rsid w:val="00245638"/>
    <w:rsid w:val="00250BC6"/>
    <w:rsid w:val="00261DD8"/>
    <w:rsid w:val="002639EA"/>
    <w:rsid w:val="0026631E"/>
    <w:rsid w:val="0029704B"/>
    <w:rsid w:val="00310745"/>
    <w:rsid w:val="00317F1B"/>
    <w:rsid w:val="00331342"/>
    <w:rsid w:val="0033663F"/>
    <w:rsid w:val="00366AB4"/>
    <w:rsid w:val="00391E89"/>
    <w:rsid w:val="003938BB"/>
    <w:rsid w:val="003A0FA2"/>
    <w:rsid w:val="003A46CD"/>
    <w:rsid w:val="00431048"/>
    <w:rsid w:val="004430C1"/>
    <w:rsid w:val="0045178C"/>
    <w:rsid w:val="004577CE"/>
    <w:rsid w:val="00460736"/>
    <w:rsid w:val="00474183"/>
    <w:rsid w:val="00481827"/>
    <w:rsid w:val="0049211A"/>
    <w:rsid w:val="00494A23"/>
    <w:rsid w:val="004A1D90"/>
    <w:rsid w:val="004A61AD"/>
    <w:rsid w:val="004D6713"/>
    <w:rsid w:val="004E1C05"/>
    <w:rsid w:val="004F20FA"/>
    <w:rsid w:val="005042BA"/>
    <w:rsid w:val="00583434"/>
    <w:rsid w:val="005A034C"/>
    <w:rsid w:val="005B6F70"/>
    <w:rsid w:val="005E41BC"/>
    <w:rsid w:val="005F2241"/>
    <w:rsid w:val="00611441"/>
    <w:rsid w:val="00631249"/>
    <w:rsid w:val="00677A2B"/>
    <w:rsid w:val="00681CF2"/>
    <w:rsid w:val="006B4012"/>
    <w:rsid w:val="007205A4"/>
    <w:rsid w:val="00753425"/>
    <w:rsid w:val="007724AF"/>
    <w:rsid w:val="007948E1"/>
    <w:rsid w:val="007A1575"/>
    <w:rsid w:val="007B3FBE"/>
    <w:rsid w:val="007D6EB0"/>
    <w:rsid w:val="008106D2"/>
    <w:rsid w:val="00812385"/>
    <w:rsid w:val="008158D0"/>
    <w:rsid w:val="00816267"/>
    <w:rsid w:val="00826D98"/>
    <w:rsid w:val="00867349"/>
    <w:rsid w:val="0087664A"/>
    <w:rsid w:val="00882531"/>
    <w:rsid w:val="00893757"/>
    <w:rsid w:val="008B28B1"/>
    <w:rsid w:val="008C1B40"/>
    <w:rsid w:val="008D74B0"/>
    <w:rsid w:val="0090548D"/>
    <w:rsid w:val="009173CD"/>
    <w:rsid w:val="00921A2F"/>
    <w:rsid w:val="0094140E"/>
    <w:rsid w:val="00974200"/>
    <w:rsid w:val="00992352"/>
    <w:rsid w:val="009D66BB"/>
    <w:rsid w:val="00A07B29"/>
    <w:rsid w:val="00A62448"/>
    <w:rsid w:val="00AA0F87"/>
    <w:rsid w:val="00AD2AC4"/>
    <w:rsid w:val="00B0335E"/>
    <w:rsid w:val="00B4366E"/>
    <w:rsid w:val="00B83DBE"/>
    <w:rsid w:val="00B841DE"/>
    <w:rsid w:val="00B86E8B"/>
    <w:rsid w:val="00B90333"/>
    <w:rsid w:val="00B959DC"/>
    <w:rsid w:val="00BA25BB"/>
    <w:rsid w:val="00BA3F96"/>
    <w:rsid w:val="00BD752A"/>
    <w:rsid w:val="00BE18BA"/>
    <w:rsid w:val="00BF3E46"/>
    <w:rsid w:val="00C15164"/>
    <w:rsid w:val="00C2378B"/>
    <w:rsid w:val="00C32BCE"/>
    <w:rsid w:val="00C73960"/>
    <w:rsid w:val="00CA0C46"/>
    <w:rsid w:val="00CB5E2F"/>
    <w:rsid w:val="00CB62B4"/>
    <w:rsid w:val="00CD283B"/>
    <w:rsid w:val="00D06BF0"/>
    <w:rsid w:val="00D668A0"/>
    <w:rsid w:val="00D90DDE"/>
    <w:rsid w:val="00D96AD5"/>
    <w:rsid w:val="00DA3C63"/>
    <w:rsid w:val="00DC1B6C"/>
    <w:rsid w:val="00E23A22"/>
    <w:rsid w:val="00E259DE"/>
    <w:rsid w:val="00E46D12"/>
    <w:rsid w:val="00E511A7"/>
    <w:rsid w:val="00E5716F"/>
    <w:rsid w:val="00E82074"/>
    <w:rsid w:val="00EF007E"/>
    <w:rsid w:val="00EF1475"/>
    <w:rsid w:val="00F10A80"/>
    <w:rsid w:val="00F11BF0"/>
    <w:rsid w:val="00F1502C"/>
    <w:rsid w:val="00F163FA"/>
    <w:rsid w:val="00F50791"/>
    <w:rsid w:val="00F51815"/>
    <w:rsid w:val="00F8556C"/>
    <w:rsid w:val="00FA0AB0"/>
    <w:rsid w:val="00FD3216"/>
    <w:rsid w:val="00FE3E1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7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um-DocParagraph"/>
    <w:link w:val="Heading2Char"/>
    <w:uiPriority w:val="9"/>
    <w:qFormat/>
    <w:rsid w:val="008C1B40"/>
    <w:pPr>
      <w:keepNext/>
      <w:tabs>
        <w:tab w:val="left" w:pos="850"/>
        <w:tab w:val="left" w:pos="1191"/>
        <w:tab w:val="left" w:pos="1531"/>
      </w:tabs>
      <w:spacing w:before="240" w:after="240" w:line="240" w:lineRule="auto"/>
      <w:jc w:val="both"/>
      <w:outlineLvl w:val="1"/>
    </w:pPr>
    <w:rPr>
      <w:rFonts w:ascii="Times New Roman" w:eastAsia="Times New Roman" w:hAnsi="Times New Roman" w:cs="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34C"/>
  </w:style>
  <w:style w:type="paragraph" w:styleId="Footer">
    <w:name w:val="footer"/>
    <w:basedOn w:val="Normal"/>
    <w:link w:val="FooterChar"/>
    <w:uiPriority w:val="99"/>
    <w:unhideWhenUsed/>
    <w:rsid w:val="005A0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34C"/>
  </w:style>
  <w:style w:type="character" w:customStyle="1" w:styleId="Heading2Char">
    <w:name w:val="Heading 2 Char"/>
    <w:basedOn w:val="DefaultParagraphFont"/>
    <w:link w:val="Heading2"/>
    <w:uiPriority w:val="9"/>
    <w:rsid w:val="008C1B40"/>
    <w:rPr>
      <w:rFonts w:ascii="Times New Roman" w:eastAsia="Times New Roman" w:hAnsi="Times New Roman" w:cs="Times New Roman"/>
      <w:b/>
      <w:bCs/>
      <w:lang w:val="en-GB" w:eastAsia="zh-CN"/>
    </w:rPr>
  </w:style>
  <w:style w:type="character" w:styleId="FootnoteReference">
    <w:name w:val="footnote reference"/>
    <w:aliases w:val="16 Point,Superscript 6 Point,SUPERS,ftref,Знак сноски-FN,callout,Footnote symbol,vnv,number,Footnote Reference Superscript,EN Footnote Reference,FC,BVI fnr,referencia nota al pie,Char Char Char Char Car Char,Ref,de nota al pie,BVI fn"/>
    <w:basedOn w:val="DefaultParagraphFont"/>
    <w:uiPriority w:val="99"/>
    <w:qFormat/>
    <w:rsid w:val="008C1B40"/>
    <w:rPr>
      <w:vertAlign w:val="superscript"/>
    </w:rPr>
  </w:style>
  <w:style w:type="paragraph" w:styleId="FootnoteText">
    <w:name w:val="footnote text"/>
    <w:aliases w:val="Footnote Text Char2,Footnote Text Char Char,Footnote Text Char1 Char Char,Footnote Text Char Char Char Char,Footnote Text Char1 Char Char Char Char,Footnote Text Char Char Char Char Char Char,Footnote Text Char1,f,Footnote Text Char2 Char1"/>
    <w:basedOn w:val="Normal"/>
    <w:link w:val="FootnoteTextChar"/>
    <w:qFormat/>
    <w:rsid w:val="008C1B40"/>
    <w:pPr>
      <w:tabs>
        <w:tab w:val="left" w:pos="850"/>
        <w:tab w:val="left" w:pos="1191"/>
        <w:tab w:val="left" w:pos="1531"/>
      </w:tabs>
      <w:spacing w:after="120" w:line="240" w:lineRule="auto"/>
      <w:ind w:left="850" w:hanging="850"/>
      <w:jc w:val="both"/>
    </w:pPr>
    <w:rPr>
      <w:rFonts w:ascii="Times New Roman" w:eastAsia="Times New Roman" w:hAnsi="Times New Roman" w:cs="Times New Roman"/>
      <w:sz w:val="20"/>
      <w:szCs w:val="20"/>
      <w:lang w:val="en-GB" w:eastAsia="zh-CN"/>
    </w:rPr>
  </w:style>
  <w:style w:type="character" w:customStyle="1" w:styleId="FootnoteTextChar">
    <w:name w:val="Footnote Text Char"/>
    <w:aliases w:val="Footnote Text Char2 Char,Footnote Text Char Char Char,Footnote Text Char1 Char Char Char,Footnote Text Char Char Char Char Char,Footnote Text Char1 Char Char Char Char Char,Footnote Text Char Char Char Char Char Char Char,f Char"/>
    <w:basedOn w:val="DefaultParagraphFont"/>
    <w:link w:val="FootnoteText"/>
    <w:rsid w:val="008C1B40"/>
    <w:rPr>
      <w:rFonts w:ascii="Times New Roman" w:eastAsia="Times New Roman" w:hAnsi="Times New Roman" w:cs="Times New Roman"/>
      <w:sz w:val="20"/>
      <w:szCs w:val="20"/>
      <w:lang w:val="en-GB" w:eastAsia="zh-CN"/>
    </w:rPr>
  </w:style>
  <w:style w:type="paragraph" w:customStyle="1" w:styleId="Num-DocParagraph">
    <w:name w:val="Num-Doc Paragraph"/>
    <w:basedOn w:val="Normal"/>
    <w:link w:val="Num-DocParagraphChar"/>
    <w:qFormat/>
    <w:rsid w:val="008C1B40"/>
  </w:style>
  <w:style w:type="paragraph" w:styleId="ListParagraph">
    <w:name w:val="List Paragraph"/>
    <w:aliases w:val="Recommendation,List Paragraph11,L,CV text,Table text,F5 List Paragraph,Dot pt,Bullet 1,Numbered Para 1,No Spacing1,List Paragraph Char Char Char,Indicator Text,Citation List,List Paragraph1,Table Heading,Noise heading,RUS List"/>
    <w:basedOn w:val="Normal"/>
    <w:link w:val="ListParagraphChar"/>
    <w:uiPriority w:val="34"/>
    <w:qFormat/>
    <w:rsid w:val="008C1B40"/>
    <w:pPr>
      <w:tabs>
        <w:tab w:val="left" w:pos="850"/>
        <w:tab w:val="left" w:pos="1191"/>
        <w:tab w:val="left" w:pos="1531"/>
      </w:tabs>
      <w:spacing w:after="0" w:line="240" w:lineRule="auto"/>
      <w:ind w:left="720"/>
      <w:contextualSpacing/>
      <w:jc w:val="both"/>
    </w:pPr>
    <w:rPr>
      <w:rFonts w:ascii="Times New Roman" w:eastAsia="Times New Roman" w:hAnsi="Times New Roman" w:cs="Times New Roman"/>
      <w:lang w:val="en-GB" w:eastAsia="zh-CN"/>
    </w:rPr>
  </w:style>
  <w:style w:type="character" w:customStyle="1" w:styleId="ListParagraphChar">
    <w:name w:val="List Paragraph Char"/>
    <w:aliases w:val="Recommendation Char,List Paragraph11 Char,L Char,CV text Char,Table text Char,F5 List Paragraph Char,Dot pt Char,Bullet 1 Char,Numbered Para 1 Char,No Spacing1 Char,List Paragraph Char Char Char Char,Indicator Text Char,RUS List Char"/>
    <w:link w:val="ListParagraph"/>
    <w:uiPriority w:val="34"/>
    <w:locked/>
    <w:rsid w:val="008C1B40"/>
    <w:rPr>
      <w:rFonts w:ascii="Times New Roman" w:eastAsia="Times New Roman" w:hAnsi="Times New Roman" w:cs="Times New Roman"/>
      <w:lang w:val="en-GB" w:eastAsia="zh-CN"/>
    </w:rPr>
  </w:style>
  <w:style w:type="character" w:customStyle="1" w:styleId="Num-DocParagraphChar">
    <w:name w:val="Num-Doc Paragraph Char"/>
    <w:link w:val="Num-DocParagraph"/>
    <w:rsid w:val="008C1B40"/>
  </w:style>
  <w:style w:type="paragraph" w:styleId="BodyText">
    <w:name w:val="Body Text"/>
    <w:basedOn w:val="Normal"/>
    <w:link w:val="BodyTextChar"/>
    <w:uiPriority w:val="99"/>
    <w:semiHidden/>
    <w:unhideWhenUsed/>
    <w:rsid w:val="008C1B40"/>
    <w:pPr>
      <w:spacing w:after="120"/>
    </w:pPr>
  </w:style>
  <w:style w:type="character" w:customStyle="1" w:styleId="BodyTextChar">
    <w:name w:val="Body Text Char"/>
    <w:basedOn w:val="DefaultParagraphFont"/>
    <w:link w:val="BodyText"/>
    <w:uiPriority w:val="99"/>
    <w:semiHidden/>
    <w:rsid w:val="008C1B40"/>
  </w:style>
  <w:style w:type="table" w:styleId="TableGrid">
    <w:name w:val="Table Grid"/>
    <w:basedOn w:val="TableNormal"/>
    <w:uiPriority w:val="59"/>
    <w:rsid w:val="0063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3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033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um-DocParagraph"/>
    <w:link w:val="Heading2Char"/>
    <w:uiPriority w:val="9"/>
    <w:qFormat/>
    <w:rsid w:val="008C1B40"/>
    <w:pPr>
      <w:keepNext/>
      <w:tabs>
        <w:tab w:val="left" w:pos="850"/>
        <w:tab w:val="left" w:pos="1191"/>
        <w:tab w:val="left" w:pos="1531"/>
      </w:tabs>
      <w:spacing w:before="240" w:after="240" w:line="240" w:lineRule="auto"/>
      <w:jc w:val="both"/>
      <w:outlineLvl w:val="1"/>
    </w:pPr>
    <w:rPr>
      <w:rFonts w:ascii="Times New Roman" w:eastAsia="Times New Roman" w:hAnsi="Times New Roman" w:cs="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34C"/>
  </w:style>
  <w:style w:type="paragraph" w:styleId="Footer">
    <w:name w:val="footer"/>
    <w:basedOn w:val="Normal"/>
    <w:link w:val="FooterChar"/>
    <w:uiPriority w:val="99"/>
    <w:unhideWhenUsed/>
    <w:rsid w:val="005A0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34C"/>
  </w:style>
  <w:style w:type="character" w:customStyle="1" w:styleId="Heading2Char">
    <w:name w:val="Heading 2 Char"/>
    <w:basedOn w:val="DefaultParagraphFont"/>
    <w:link w:val="Heading2"/>
    <w:uiPriority w:val="9"/>
    <w:rsid w:val="008C1B40"/>
    <w:rPr>
      <w:rFonts w:ascii="Times New Roman" w:eastAsia="Times New Roman" w:hAnsi="Times New Roman" w:cs="Times New Roman"/>
      <w:b/>
      <w:bCs/>
      <w:lang w:val="en-GB" w:eastAsia="zh-CN"/>
    </w:rPr>
  </w:style>
  <w:style w:type="character" w:styleId="FootnoteReference">
    <w:name w:val="footnote reference"/>
    <w:aliases w:val="16 Point,Superscript 6 Point,SUPERS,ftref,Знак сноски-FN,callout,Footnote symbol,vnv,number,Footnote Reference Superscript,EN Footnote Reference,FC,BVI fnr,referencia nota al pie,Char Char Char Char Car Char,Ref,de nota al pie,BVI fn"/>
    <w:basedOn w:val="DefaultParagraphFont"/>
    <w:uiPriority w:val="99"/>
    <w:qFormat/>
    <w:rsid w:val="008C1B40"/>
    <w:rPr>
      <w:vertAlign w:val="superscript"/>
    </w:rPr>
  </w:style>
  <w:style w:type="paragraph" w:styleId="FootnoteText">
    <w:name w:val="footnote text"/>
    <w:aliases w:val="Footnote Text Char2,Footnote Text Char Char,Footnote Text Char1 Char Char,Footnote Text Char Char Char Char,Footnote Text Char1 Char Char Char Char,Footnote Text Char Char Char Char Char Char,Footnote Text Char1,f,Footnote Text Char2 Char1"/>
    <w:basedOn w:val="Normal"/>
    <w:link w:val="FootnoteTextChar"/>
    <w:qFormat/>
    <w:rsid w:val="008C1B40"/>
    <w:pPr>
      <w:tabs>
        <w:tab w:val="left" w:pos="850"/>
        <w:tab w:val="left" w:pos="1191"/>
        <w:tab w:val="left" w:pos="1531"/>
      </w:tabs>
      <w:spacing w:after="120" w:line="240" w:lineRule="auto"/>
      <w:ind w:left="850" w:hanging="850"/>
      <w:jc w:val="both"/>
    </w:pPr>
    <w:rPr>
      <w:rFonts w:ascii="Times New Roman" w:eastAsia="Times New Roman" w:hAnsi="Times New Roman" w:cs="Times New Roman"/>
      <w:sz w:val="20"/>
      <w:szCs w:val="20"/>
      <w:lang w:val="en-GB" w:eastAsia="zh-CN"/>
    </w:rPr>
  </w:style>
  <w:style w:type="character" w:customStyle="1" w:styleId="FootnoteTextChar">
    <w:name w:val="Footnote Text Char"/>
    <w:aliases w:val="Footnote Text Char2 Char,Footnote Text Char Char Char,Footnote Text Char1 Char Char Char,Footnote Text Char Char Char Char Char,Footnote Text Char1 Char Char Char Char Char,Footnote Text Char Char Char Char Char Char Char,f Char"/>
    <w:basedOn w:val="DefaultParagraphFont"/>
    <w:link w:val="FootnoteText"/>
    <w:rsid w:val="008C1B40"/>
    <w:rPr>
      <w:rFonts w:ascii="Times New Roman" w:eastAsia="Times New Roman" w:hAnsi="Times New Roman" w:cs="Times New Roman"/>
      <w:sz w:val="20"/>
      <w:szCs w:val="20"/>
      <w:lang w:val="en-GB" w:eastAsia="zh-CN"/>
    </w:rPr>
  </w:style>
  <w:style w:type="paragraph" w:customStyle="1" w:styleId="Num-DocParagraph">
    <w:name w:val="Num-Doc Paragraph"/>
    <w:basedOn w:val="Normal"/>
    <w:link w:val="Num-DocParagraphChar"/>
    <w:qFormat/>
    <w:rsid w:val="008C1B40"/>
  </w:style>
  <w:style w:type="paragraph" w:styleId="ListParagraph">
    <w:name w:val="List Paragraph"/>
    <w:aliases w:val="Recommendation,List Paragraph11,L,CV text,Table text,F5 List Paragraph,Dot pt,Bullet 1,Numbered Para 1,No Spacing1,List Paragraph Char Char Char,Indicator Text,Citation List,List Paragraph1,Table Heading,Noise heading,RUS List"/>
    <w:basedOn w:val="Normal"/>
    <w:link w:val="ListParagraphChar"/>
    <w:uiPriority w:val="34"/>
    <w:qFormat/>
    <w:rsid w:val="008C1B40"/>
    <w:pPr>
      <w:tabs>
        <w:tab w:val="left" w:pos="850"/>
        <w:tab w:val="left" w:pos="1191"/>
        <w:tab w:val="left" w:pos="1531"/>
      </w:tabs>
      <w:spacing w:after="0" w:line="240" w:lineRule="auto"/>
      <w:ind w:left="720"/>
      <w:contextualSpacing/>
      <w:jc w:val="both"/>
    </w:pPr>
    <w:rPr>
      <w:rFonts w:ascii="Times New Roman" w:eastAsia="Times New Roman" w:hAnsi="Times New Roman" w:cs="Times New Roman"/>
      <w:lang w:val="en-GB" w:eastAsia="zh-CN"/>
    </w:rPr>
  </w:style>
  <w:style w:type="character" w:customStyle="1" w:styleId="ListParagraphChar">
    <w:name w:val="List Paragraph Char"/>
    <w:aliases w:val="Recommendation Char,List Paragraph11 Char,L Char,CV text Char,Table text Char,F5 List Paragraph Char,Dot pt Char,Bullet 1 Char,Numbered Para 1 Char,No Spacing1 Char,List Paragraph Char Char Char Char,Indicator Text Char,RUS List Char"/>
    <w:link w:val="ListParagraph"/>
    <w:uiPriority w:val="34"/>
    <w:locked/>
    <w:rsid w:val="008C1B40"/>
    <w:rPr>
      <w:rFonts w:ascii="Times New Roman" w:eastAsia="Times New Roman" w:hAnsi="Times New Roman" w:cs="Times New Roman"/>
      <w:lang w:val="en-GB" w:eastAsia="zh-CN"/>
    </w:rPr>
  </w:style>
  <w:style w:type="character" w:customStyle="1" w:styleId="Num-DocParagraphChar">
    <w:name w:val="Num-Doc Paragraph Char"/>
    <w:link w:val="Num-DocParagraph"/>
    <w:rsid w:val="008C1B40"/>
  </w:style>
  <w:style w:type="paragraph" w:styleId="BodyText">
    <w:name w:val="Body Text"/>
    <w:basedOn w:val="Normal"/>
    <w:link w:val="BodyTextChar"/>
    <w:uiPriority w:val="99"/>
    <w:semiHidden/>
    <w:unhideWhenUsed/>
    <w:rsid w:val="008C1B40"/>
    <w:pPr>
      <w:spacing w:after="120"/>
    </w:pPr>
  </w:style>
  <w:style w:type="character" w:customStyle="1" w:styleId="BodyTextChar">
    <w:name w:val="Body Text Char"/>
    <w:basedOn w:val="DefaultParagraphFont"/>
    <w:link w:val="BodyText"/>
    <w:uiPriority w:val="99"/>
    <w:semiHidden/>
    <w:rsid w:val="008C1B40"/>
  </w:style>
  <w:style w:type="table" w:styleId="TableGrid">
    <w:name w:val="Table Grid"/>
    <w:basedOn w:val="TableNormal"/>
    <w:uiPriority w:val="59"/>
    <w:rsid w:val="0063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3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03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2683">
      <w:bodyDiv w:val="1"/>
      <w:marLeft w:val="0"/>
      <w:marRight w:val="0"/>
      <w:marTop w:val="0"/>
      <w:marBottom w:val="0"/>
      <w:divBdr>
        <w:top w:val="none" w:sz="0" w:space="0" w:color="auto"/>
        <w:left w:val="none" w:sz="0" w:space="0" w:color="auto"/>
        <w:bottom w:val="none" w:sz="0" w:space="0" w:color="auto"/>
        <w:right w:val="none" w:sz="0" w:space="0" w:color="auto"/>
      </w:divBdr>
    </w:div>
    <w:div w:id="12272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nguyendangkhoa</dc:creator>
  <cp:lastModifiedBy>extra</cp:lastModifiedBy>
  <cp:revision>4</cp:revision>
  <cp:lastPrinted>2017-10-20T16:04:00Z</cp:lastPrinted>
  <dcterms:created xsi:type="dcterms:W3CDTF">2017-10-21T04:11:00Z</dcterms:created>
  <dcterms:modified xsi:type="dcterms:W3CDTF">2017-10-21T10:34:00Z</dcterms:modified>
</cp:coreProperties>
</file>