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525"/>
        <w:tblW w:w="0" w:type="auto"/>
        <w:tblLook w:val="00A0"/>
      </w:tblPr>
      <w:tblGrid>
        <w:gridCol w:w="9576"/>
      </w:tblGrid>
      <w:tr w:rsidR="008E77CC" w:rsidRPr="00E36D0B" w:rsidTr="00E36D0B">
        <w:tc>
          <w:tcPr>
            <w:tcW w:w="9576" w:type="dxa"/>
          </w:tcPr>
          <w:p w:rsidR="008E77CC" w:rsidRPr="00E36D0B" w:rsidRDefault="008E77CC" w:rsidP="00E36D0B">
            <w:pPr>
              <w:pStyle w:val="Header"/>
              <w:rPr>
                <w:rFonts w:cs="Arial"/>
                <w:color w:val="4E5050"/>
                <w:sz w:val="36"/>
              </w:rPr>
            </w:pPr>
            <w:r w:rsidRPr="00E36D0B">
              <w:rPr>
                <w:rFonts w:cs="Arial"/>
                <w:color w:val="4E5050"/>
                <w:sz w:val="36"/>
              </w:rPr>
              <w:t>For Immediate Release</w:t>
            </w:r>
          </w:p>
          <w:p w:rsidR="008E77CC" w:rsidRPr="00E36D0B" w:rsidRDefault="008E77CC" w:rsidP="00E36D0B">
            <w:pPr>
              <w:pStyle w:val="Header"/>
              <w:spacing w:before="60"/>
              <w:rPr>
                <w:rFonts w:cs="Arial"/>
                <w:color w:val="4E5050"/>
                <w:sz w:val="18"/>
              </w:rPr>
            </w:pPr>
          </w:p>
        </w:tc>
      </w:tr>
    </w:tbl>
    <w:p w:rsidR="008E77CC" w:rsidRPr="008C3FC9" w:rsidRDefault="008E77CC" w:rsidP="00424537">
      <w:pPr>
        <w:pStyle w:val="Header"/>
        <w:spacing w:before="60"/>
        <w:rPr>
          <w:rFonts w:cs="Arial"/>
          <w:color w:val="4E5050"/>
          <w:sz w:val="18"/>
        </w:rPr>
      </w:pPr>
    </w:p>
    <w:p w:rsidR="008E77CC" w:rsidRPr="008C3FC9" w:rsidRDefault="008E77CC" w:rsidP="00424537">
      <w:pPr>
        <w:spacing w:after="120" w:line="288" w:lineRule="auto"/>
        <w:jc w:val="center"/>
        <w:rPr>
          <w:rFonts w:cs="Arial"/>
          <w:b/>
          <w:color w:val="4E5050"/>
          <w:sz w:val="28"/>
          <w:szCs w:val="28"/>
        </w:rPr>
      </w:pPr>
      <w:r>
        <w:rPr>
          <w:rFonts w:cs="Arial"/>
          <w:b/>
          <w:color w:val="4E5050"/>
          <w:sz w:val="28"/>
          <w:szCs w:val="28"/>
        </w:rPr>
        <w:t>Thị Trường Đầu Tư Trung Âu Vẫn Duy Trì Mạnh Mẽ</w:t>
      </w:r>
    </w:p>
    <w:p w:rsidR="008E77CC" w:rsidRDefault="008E77CC" w:rsidP="00851610">
      <w:pPr>
        <w:spacing w:after="120" w:line="288" w:lineRule="auto"/>
        <w:jc w:val="center"/>
        <w:rPr>
          <w:rFonts w:cs="Arial"/>
          <w:i/>
          <w:color w:val="4E5050"/>
          <w:sz w:val="24"/>
          <w:szCs w:val="24"/>
        </w:rPr>
      </w:pPr>
      <w:r>
        <w:rPr>
          <w:rFonts w:cs="Arial"/>
          <w:i/>
          <w:color w:val="4E5050"/>
          <w:sz w:val="24"/>
          <w:szCs w:val="24"/>
        </w:rPr>
        <w:t>Ba La</w:t>
      </w:r>
      <w:r w:rsidRPr="00902077">
        <w:rPr>
          <w:rFonts w:cs="Arial"/>
          <w:i/>
          <w:color w:val="4E5050"/>
          <w:sz w:val="24"/>
          <w:szCs w:val="24"/>
        </w:rPr>
        <w:t>n tiếp tục dẫn đầu khu vực</w:t>
      </w:r>
    </w:p>
    <w:p w:rsidR="008E77CC" w:rsidRPr="00902077" w:rsidRDefault="008E77CC" w:rsidP="00902077">
      <w:pPr>
        <w:spacing w:after="120" w:line="288" w:lineRule="auto"/>
        <w:jc w:val="both"/>
        <w:rPr>
          <w:rFonts w:cs="Arial"/>
          <w:sz w:val="20"/>
          <w:szCs w:val="20"/>
        </w:rPr>
      </w:pPr>
      <w:r>
        <w:rPr>
          <w:rFonts w:cs="Arial"/>
          <w:b/>
          <w:sz w:val="20"/>
          <w:szCs w:val="20"/>
        </w:rPr>
        <w:t>THÀNH PHỐ HỒ CHÍ MINH</w:t>
      </w:r>
      <w:r w:rsidRPr="0098248A">
        <w:rPr>
          <w:rFonts w:cs="Arial"/>
          <w:b/>
          <w:sz w:val="20"/>
          <w:szCs w:val="20"/>
        </w:rPr>
        <w:t xml:space="preserve">, </w:t>
      </w:r>
      <w:r>
        <w:rPr>
          <w:rFonts w:cs="Arial"/>
          <w:b/>
          <w:sz w:val="20"/>
          <w:szCs w:val="20"/>
        </w:rPr>
        <w:t>Tháng 8</w:t>
      </w:r>
      <w:r w:rsidRPr="0098248A">
        <w:rPr>
          <w:rFonts w:cs="Arial"/>
          <w:b/>
          <w:sz w:val="20"/>
          <w:szCs w:val="20"/>
        </w:rPr>
        <w:t>, 201</w:t>
      </w:r>
      <w:r>
        <w:rPr>
          <w:rFonts w:cs="Arial"/>
          <w:b/>
          <w:sz w:val="20"/>
          <w:szCs w:val="20"/>
        </w:rPr>
        <w:t>6</w:t>
      </w:r>
      <w:r w:rsidRPr="0098248A">
        <w:rPr>
          <w:rFonts w:cs="Arial"/>
          <w:b/>
          <w:sz w:val="20"/>
          <w:szCs w:val="20"/>
        </w:rPr>
        <w:t xml:space="preserve"> – </w:t>
      </w:r>
      <w:r w:rsidRPr="00902077">
        <w:rPr>
          <w:rFonts w:cs="Arial"/>
          <w:sz w:val="20"/>
          <w:szCs w:val="20"/>
        </w:rPr>
        <w:t xml:space="preserve">Theo Cushman &amp; Wakefield , hoạt động đầu tư bất động sản thương mại tại </w:t>
      </w:r>
      <w:r>
        <w:rPr>
          <w:rFonts w:cs="Arial"/>
          <w:sz w:val="20"/>
          <w:szCs w:val="20"/>
        </w:rPr>
        <w:t xml:space="preserve">các </w:t>
      </w:r>
      <w:r w:rsidRPr="00902077">
        <w:rPr>
          <w:rFonts w:cs="Arial"/>
          <w:sz w:val="20"/>
          <w:szCs w:val="20"/>
        </w:rPr>
        <w:t xml:space="preserve">thị trường cốt lõi </w:t>
      </w:r>
      <w:r>
        <w:rPr>
          <w:rFonts w:cs="Arial"/>
          <w:sz w:val="20"/>
          <w:szCs w:val="20"/>
        </w:rPr>
        <w:t xml:space="preserve">của </w:t>
      </w:r>
      <w:r w:rsidRPr="00902077">
        <w:rPr>
          <w:rFonts w:cs="Arial"/>
          <w:sz w:val="20"/>
          <w:szCs w:val="20"/>
        </w:rPr>
        <w:t xml:space="preserve">Trung Âu </w:t>
      </w:r>
      <w:r>
        <w:rPr>
          <w:rFonts w:cs="Arial"/>
          <w:sz w:val="20"/>
          <w:szCs w:val="20"/>
        </w:rPr>
        <w:t>gồm</w:t>
      </w:r>
      <w:r w:rsidRPr="00902077">
        <w:rPr>
          <w:rFonts w:cs="Arial"/>
          <w:sz w:val="20"/>
          <w:szCs w:val="20"/>
        </w:rPr>
        <w:t xml:space="preserve"> Ba Lan, Cộng hòa Séc, Slovakia, Hungary và Romania tiếp tục tăng mạnh trong Q2, 2016 và đạt 2,6 tỷ EUR , tăng 56 % so vớ</w:t>
      </w:r>
      <w:r>
        <w:rPr>
          <w:rFonts w:cs="Arial"/>
          <w:sz w:val="20"/>
          <w:szCs w:val="20"/>
        </w:rPr>
        <w:t>i Q1</w:t>
      </w:r>
      <w:r w:rsidRPr="00902077">
        <w:rPr>
          <w:rFonts w:cs="Arial"/>
          <w:sz w:val="20"/>
          <w:szCs w:val="20"/>
        </w:rPr>
        <w:t>. Điều này đã đẩy khối lượng đầu tư trong mười hai tháng qua lên 9,3 tỷ EUR, gần với mức kỷ lục năm 2007.</w:t>
      </w:r>
    </w:p>
    <w:p w:rsidR="008E77CC" w:rsidRPr="00902077" w:rsidRDefault="008E77CC" w:rsidP="00902077">
      <w:pPr>
        <w:spacing w:after="120" w:line="288" w:lineRule="auto"/>
        <w:jc w:val="both"/>
        <w:rPr>
          <w:rFonts w:cs="Arial"/>
          <w:sz w:val="20"/>
          <w:szCs w:val="20"/>
        </w:rPr>
      </w:pPr>
    </w:p>
    <w:p w:rsidR="008E77CC" w:rsidRPr="00902077" w:rsidRDefault="008E77CC" w:rsidP="00902077">
      <w:pPr>
        <w:spacing w:after="120" w:line="288" w:lineRule="auto"/>
        <w:jc w:val="both"/>
        <w:rPr>
          <w:rFonts w:cs="Arial"/>
          <w:sz w:val="20"/>
          <w:szCs w:val="20"/>
        </w:rPr>
      </w:pPr>
      <w:r w:rsidRPr="00902077">
        <w:rPr>
          <w:rFonts w:cs="Arial"/>
          <w:sz w:val="20"/>
          <w:szCs w:val="20"/>
        </w:rPr>
        <w:t xml:space="preserve">Bình luận về mức độ hoạt động trong Q2, 2016, </w:t>
      </w:r>
      <w:r w:rsidRPr="00902077">
        <w:rPr>
          <w:rFonts w:cs="Arial"/>
          <w:b/>
          <w:sz w:val="20"/>
          <w:szCs w:val="20"/>
        </w:rPr>
        <w:t>James Chapman , Đối tác CE, Bộ phận Đầu tư Thị trường vố</w:t>
      </w:r>
      <w:r>
        <w:rPr>
          <w:rFonts w:cs="Arial"/>
          <w:b/>
          <w:sz w:val="20"/>
          <w:szCs w:val="20"/>
        </w:rPr>
        <w:t xml:space="preserve">n, </w:t>
      </w:r>
      <w:r w:rsidRPr="00902077">
        <w:rPr>
          <w:rFonts w:cs="Arial"/>
          <w:b/>
          <w:sz w:val="20"/>
          <w:szCs w:val="20"/>
        </w:rPr>
        <w:t>Cushman &amp; Wakefield</w:t>
      </w:r>
      <w:r w:rsidRPr="00902077">
        <w:rPr>
          <w:rFonts w:cs="Arial"/>
          <w:sz w:val="20"/>
          <w:szCs w:val="20"/>
        </w:rPr>
        <w:t>, cho biết, "Tất cả các thị trường Trung và Đông Âu đang ở trong giai đoạn tăng trưởng về khối lượng giao dịch. Chúng tôi có hoạt động trên tất cả các lĩnh vực, điều này cho thấy sự đa dạng trong nhu cầu của thị trườ</w:t>
      </w:r>
      <w:r>
        <w:rPr>
          <w:rFonts w:cs="Arial"/>
          <w:sz w:val="20"/>
          <w:szCs w:val="20"/>
        </w:rPr>
        <w:t>ng</w:t>
      </w:r>
      <w:r w:rsidRPr="00902077">
        <w:rPr>
          <w:rFonts w:cs="Arial"/>
          <w:sz w:val="20"/>
          <w:szCs w:val="20"/>
        </w:rPr>
        <w:t xml:space="preserve">. </w:t>
      </w:r>
      <w:r>
        <w:rPr>
          <w:rFonts w:cs="Arial"/>
          <w:sz w:val="20"/>
          <w:szCs w:val="20"/>
        </w:rPr>
        <w:t xml:space="preserve">Với </w:t>
      </w:r>
      <w:r w:rsidRPr="00902077">
        <w:rPr>
          <w:rFonts w:cs="Arial"/>
          <w:sz w:val="20"/>
          <w:szCs w:val="20"/>
        </w:rPr>
        <w:t xml:space="preserve">mức nhu cầu kỷ lục </w:t>
      </w:r>
      <w:r>
        <w:rPr>
          <w:rFonts w:cs="Arial"/>
          <w:sz w:val="20"/>
          <w:szCs w:val="20"/>
        </w:rPr>
        <w:t>được ghi nhận tại c</w:t>
      </w:r>
      <w:r w:rsidRPr="00902077">
        <w:rPr>
          <w:rFonts w:cs="Arial"/>
          <w:sz w:val="20"/>
          <w:szCs w:val="20"/>
        </w:rPr>
        <w:t>ác thị trường lao động, nhu cầu đ</w:t>
      </w:r>
      <w:r>
        <w:rPr>
          <w:rFonts w:cs="Arial"/>
          <w:sz w:val="20"/>
          <w:szCs w:val="20"/>
        </w:rPr>
        <w:t>ầ</w:t>
      </w:r>
      <w:r w:rsidRPr="00902077">
        <w:rPr>
          <w:rFonts w:cs="Arial"/>
          <w:sz w:val="20"/>
          <w:szCs w:val="20"/>
        </w:rPr>
        <w:t>u tư dự kiến sẽ tiếp tục tăng trong năm 2017. BREXIT đã là một chủ đề nóng trong tháng qua nhưng giao dịch vẫn tiếp tục trong suốt mùa hè và giá cả</w:t>
      </w:r>
      <w:r>
        <w:rPr>
          <w:rFonts w:cs="Arial"/>
          <w:sz w:val="20"/>
          <w:szCs w:val="20"/>
        </w:rPr>
        <w:t xml:space="preserve"> rõ rà</w:t>
      </w:r>
      <w:r w:rsidRPr="00902077">
        <w:rPr>
          <w:rFonts w:cs="Arial"/>
          <w:sz w:val="20"/>
          <w:szCs w:val="20"/>
        </w:rPr>
        <w:t xml:space="preserve">ng đã không bị ảnh hưởng." </w:t>
      </w:r>
    </w:p>
    <w:p w:rsidR="008E77CC" w:rsidRPr="00902077" w:rsidRDefault="008E77CC" w:rsidP="00902077">
      <w:pPr>
        <w:spacing w:after="120" w:line="288" w:lineRule="auto"/>
        <w:jc w:val="both"/>
        <w:rPr>
          <w:rFonts w:cs="Arial"/>
          <w:sz w:val="20"/>
          <w:szCs w:val="20"/>
        </w:rPr>
      </w:pPr>
    </w:p>
    <w:p w:rsidR="008E77CC" w:rsidRPr="00902077" w:rsidRDefault="008E77CC" w:rsidP="00902077">
      <w:pPr>
        <w:spacing w:after="120" w:line="288" w:lineRule="auto"/>
        <w:jc w:val="both"/>
        <w:rPr>
          <w:rFonts w:cs="Arial"/>
          <w:sz w:val="20"/>
          <w:szCs w:val="20"/>
        </w:rPr>
      </w:pPr>
      <w:r w:rsidRPr="00902077">
        <w:rPr>
          <w:rFonts w:cs="Arial"/>
          <w:sz w:val="20"/>
          <w:szCs w:val="20"/>
        </w:rPr>
        <w:t xml:space="preserve">Ba Lan vẫn là điểm đến chính </w:t>
      </w:r>
      <w:r>
        <w:rPr>
          <w:rFonts w:cs="Arial"/>
          <w:sz w:val="20"/>
          <w:szCs w:val="20"/>
        </w:rPr>
        <w:t>của</w:t>
      </w:r>
      <w:r w:rsidRPr="00902077">
        <w:rPr>
          <w:rFonts w:cs="Arial"/>
          <w:sz w:val="20"/>
          <w:szCs w:val="20"/>
        </w:rPr>
        <w:t xml:space="preserve"> vốn đầu tư quốc tế với hơn 1.5 tỷ EUR trong Q2, 2016, chiếm 59% tổng đầu tư vào</w:t>
      </w:r>
      <w:r>
        <w:rPr>
          <w:rFonts w:cs="Arial"/>
          <w:sz w:val="20"/>
          <w:szCs w:val="20"/>
        </w:rPr>
        <w:t xml:space="preserve"> khu vực</w:t>
      </w:r>
      <w:r w:rsidRPr="00902077">
        <w:rPr>
          <w:rFonts w:cs="Arial"/>
          <w:sz w:val="20"/>
          <w:szCs w:val="20"/>
        </w:rPr>
        <w:t xml:space="preserve"> Trung Âu.  Trong mười hai tháng, 5,4 tỷ EUR đã được đầu tư vào Ba Lan, gần với kỷ lục 5,6 tỷ EUR </w:t>
      </w:r>
      <w:r>
        <w:rPr>
          <w:rFonts w:cs="Arial"/>
          <w:sz w:val="20"/>
          <w:szCs w:val="20"/>
        </w:rPr>
        <w:t>của</w:t>
      </w:r>
      <w:r w:rsidRPr="00902077">
        <w:rPr>
          <w:rFonts w:cs="Arial"/>
          <w:sz w:val="20"/>
          <w:szCs w:val="20"/>
        </w:rPr>
        <w:t xml:space="preserve"> năm tài chính kết thúc vào quý 2 năm 2007.</w:t>
      </w:r>
    </w:p>
    <w:p w:rsidR="008E77CC" w:rsidRPr="00902077" w:rsidRDefault="008E77CC" w:rsidP="00902077">
      <w:pPr>
        <w:spacing w:after="120" w:line="288" w:lineRule="auto"/>
        <w:jc w:val="both"/>
        <w:rPr>
          <w:rFonts w:cs="Arial"/>
          <w:sz w:val="20"/>
          <w:szCs w:val="20"/>
        </w:rPr>
      </w:pPr>
    </w:p>
    <w:p w:rsidR="008E77CC" w:rsidRPr="00902077" w:rsidRDefault="008E77CC" w:rsidP="00902077">
      <w:pPr>
        <w:spacing w:after="120" w:line="288" w:lineRule="auto"/>
        <w:jc w:val="both"/>
        <w:rPr>
          <w:rFonts w:cs="Arial"/>
          <w:sz w:val="20"/>
          <w:szCs w:val="20"/>
        </w:rPr>
      </w:pPr>
      <w:r w:rsidRPr="00902077">
        <w:rPr>
          <w:rFonts w:cs="Arial"/>
          <w:sz w:val="20"/>
          <w:szCs w:val="20"/>
        </w:rPr>
        <w:t xml:space="preserve">Cộng hòa Séc là thị trường năng động tiếp theo của khu vực với 0.5 tỷ EUR đầu tư trong quý 2, nâng tổng mức đầu tư trong năm qua lên 1.5 tỷ EUR, thấp hơn </w:t>
      </w:r>
      <w:r>
        <w:rPr>
          <w:rFonts w:cs="Arial"/>
          <w:sz w:val="20"/>
          <w:szCs w:val="20"/>
        </w:rPr>
        <w:t>mức đầu tư</w:t>
      </w:r>
      <w:r w:rsidRPr="00902077">
        <w:rPr>
          <w:rFonts w:cs="Arial"/>
          <w:sz w:val="20"/>
          <w:szCs w:val="20"/>
        </w:rPr>
        <w:t xml:space="preserve"> kỷ lục </w:t>
      </w:r>
      <w:r>
        <w:rPr>
          <w:rFonts w:cs="Arial"/>
          <w:sz w:val="20"/>
          <w:szCs w:val="20"/>
        </w:rPr>
        <w:t>hơn</w:t>
      </w:r>
      <w:r w:rsidRPr="00902077">
        <w:rPr>
          <w:rFonts w:cs="Arial"/>
          <w:sz w:val="20"/>
          <w:szCs w:val="20"/>
        </w:rPr>
        <w:t xml:space="preserve"> 2 tỷ EUR </w:t>
      </w:r>
      <w:r>
        <w:rPr>
          <w:rFonts w:cs="Arial"/>
          <w:sz w:val="20"/>
          <w:szCs w:val="20"/>
        </w:rPr>
        <w:t>của năm 2007 và năm 2015</w:t>
      </w:r>
      <w:r w:rsidRPr="00902077">
        <w:rPr>
          <w:rFonts w:cs="Arial"/>
          <w:sz w:val="20"/>
          <w:szCs w:val="20"/>
        </w:rPr>
        <w:t xml:space="preserve">. </w:t>
      </w:r>
    </w:p>
    <w:p w:rsidR="008E77CC" w:rsidRPr="00902077" w:rsidRDefault="008E77CC" w:rsidP="00902077">
      <w:pPr>
        <w:spacing w:after="120" w:line="288" w:lineRule="auto"/>
        <w:jc w:val="both"/>
        <w:rPr>
          <w:rFonts w:cs="Arial"/>
          <w:sz w:val="20"/>
          <w:szCs w:val="20"/>
        </w:rPr>
      </w:pPr>
      <w:r w:rsidRPr="00902077">
        <w:rPr>
          <w:rFonts w:cs="Arial"/>
          <w:sz w:val="20"/>
          <w:szCs w:val="20"/>
        </w:rPr>
        <w:t xml:space="preserve">Người mua nước ngoài tiếp tục chiếm ưu thế, và đã chiếm hơn 80% vốn đầu tư trong mười hai tháng qua. Gần hai phần ba số vốn này đến từ 3 nước - Mỹ (27%), Đức (19%) và Nam Phi (18%). Trong quý 2, hơn 1 tỷ EUR đã được đầu tư từ các nhà đầu tư Nam Phi, vì Nam Phi hướng mục tiêu đầu tư vào Trung Âu và chủ yếu tập trung vào Ba Lan. </w:t>
      </w:r>
    </w:p>
    <w:p w:rsidR="008E77CC" w:rsidRPr="00902077" w:rsidRDefault="008E77CC" w:rsidP="00902077">
      <w:pPr>
        <w:spacing w:after="120" w:line="288" w:lineRule="auto"/>
        <w:jc w:val="both"/>
        <w:rPr>
          <w:rFonts w:cs="Arial"/>
          <w:sz w:val="20"/>
          <w:szCs w:val="20"/>
        </w:rPr>
      </w:pPr>
    </w:p>
    <w:p w:rsidR="008E77CC" w:rsidRPr="00902077" w:rsidRDefault="008E77CC" w:rsidP="00902077">
      <w:pPr>
        <w:spacing w:after="120" w:line="288" w:lineRule="auto"/>
        <w:jc w:val="both"/>
        <w:rPr>
          <w:rFonts w:cs="Arial"/>
          <w:sz w:val="20"/>
          <w:szCs w:val="20"/>
        </w:rPr>
      </w:pPr>
      <w:r w:rsidRPr="00902077">
        <w:rPr>
          <w:rFonts w:cs="Arial"/>
          <w:sz w:val="20"/>
          <w:szCs w:val="20"/>
        </w:rPr>
        <w:t xml:space="preserve">Trong Q2, phân khúc bán lẻ chiếm đa số đầu tư, đạt gần 1.5 tỷ EUR, và 0.8 tỷ EUR khác được đầu tư vào phân khúc văn phòng. Trong mười hai tháng qua, gần một nửa (48%) tổng số vốn đầu tư tập trung vào lĩnh vực </w:t>
      </w:r>
      <w:r w:rsidRPr="009A6441">
        <w:rPr>
          <w:rFonts w:cs="Arial"/>
          <w:b/>
          <w:sz w:val="20"/>
          <w:szCs w:val="20"/>
        </w:rPr>
        <w:t>bán lẻ</w:t>
      </w:r>
      <w:r w:rsidRPr="00902077">
        <w:rPr>
          <w:rFonts w:cs="Arial"/>
          <w:sz w:val="20"/>
          <w:szCs w:val="20"/>
        </w:rPr>
        <w:t xml:space="preserve">, và hơn 36% đầu tư vào </w:t>
      </w:r>
      <w:r w:rsidRPr="009A6441">
        <w:rPr>
          <w:rFonts w:cs="Arial"/>
          <w:b/>
          <w:sz w:val="20"/>
          <w:szCs w:val="20"/>
        </w:rPr>
        <w:t>văn phòng</w:t>
      </w:r>
      <w:r w:rsidRPr="00902077">
        <w:rPr>
          <w:rFonts w:cs="Arial"/>
          <w:sz w:val="20"/>
          <w:szCs w:val="20"/>
        </w:rPr>
        <w:t>.</w:t>
      </w:r>
    </w:p>
    <w:p w:rsidR="008E77CC" w:rsidRPr="00902077" w:rsidRDefault="008E77CC" w:rsidP="00902077">
      <w:pPr>
        <w:spacing w:after="120" w:line="288" w:lineRule="auto"/>
        <w:jc w:val="both"/>
        <w:rPr>
          <w:rFonts w:cs="Arial"/>
          <w:sz w:val="20"/>
          <w:szCs w:val="20"/>
        </w:rPr>
      </w:pPr>
      <w:r w:rsidRPr="00902077">
        <w:rPr>
          <w:rFonts w:cs="Arial"/>
          <w:sz w:val="20"/>
          <w:szCs w:val="20"/>
        </w:rPr>
        <w:t>Các quỹ không niêm yết là những người mua chiếm ưu thế trong cả quý với hơn 1 tỷ EUR đầu tư, nâng tổng vốn đầu tư trong 12 tháng qua lên 5.3 tỷ EUR (chiếm 58% thị phần). Các công ty niêm yết (phần lớn là Nam Phi) đã đầu tư hơn 1 tỷ EUR trong quý này - họ là những nhóm nhà đầu tư tích cực nhất trong Q2, 2016. Trong mười hai tháng qua họ đã đầu tư 1.4 tỷ EUR (15% tổng vốn đầu tư).</w:t>
      </w:r>
    </w:p>
    <w:p w:rsidR="008E77CC" w:rsidRPr="00902077" w:rsidRDefault="008E77CC" w:rsidP="00902077">
      <w:pPr>
        <w:spacing w:after="120" w:line="288" w:lineRule="auto"/>
        <w:jc w:val="both"/>
        <w:rPr>
          <w:rFonts w:cs="Arial"/>
          <w:sz w:val="20"/>
          <w:szCs w:val="20"/>
        </w:rPr>
      </w:pPr>
    </w:p>
    <w:p w:rsidR="008E77CC" w:rsidRPr="00902077" w:rsidRDefault="008E77CC" w:rsidP="00902077">
      <w:pPr>
        <w:spacing w:after="120" w:line="288" w:lineRule="auto"/>
        <w:jc w:val="both"/>
        <w:rPr>
          <w:rFonts w:cs="Arial"/>
          <w:sz w:val="20"/>
          <w:szCs w:val="20"/>
        </w:rPr>
      </w:pPr>
      <w:r w:rsidRPr="00902077">
        <w:rPr>
          <w:rFonts w:cs="Arial"/>
          <w:b/>
          <w:sz w:val="20"/>
          <w:szCs w:val="20"/>
        </w:rPr>
        <w:t>Jeff Alson, Đối tác CE, Bộ phận Đầu tư Thị trường vốn, Cushman &amp; Wakefield</w:t>
      </w:r>
      <w:r w:rsidRPr="00902077">
        <w:rPr>
          <w:rFonts w:cs="Arial"/>
          <w:sz w:val="20"/>
          <w:szCs w:val="20"/>
        </w:rPr>
        <w:t xml:space="preserve">, nói thêm: "Nguồn vốn có nguồn gốc địa phương tiếp tục đóng một vai trò quan trọng trong thị trường đầu tư </w:t>
      </w:r>
      <w:bookmarkStart w:id="0" w:name="_GoBack"/>
      <w:bookmarkEnd w:id="0"/>
      <w:r w:rsidRPr="00902077">
        <w:rPr>
          <w:rFonts w:cs="Arial"/>
          <w:sz w:val="20"/>
          <w:szCs w:val="20"/>
        </w:rPr>
        <w:t>có tổ chức; Trường hợp đặc biệt là Cộng hòa Séc, nơi mà lợi nhuận cho các tài sản tốt nhất ngang bằng với nơi trọng yếu ở khu vực Trung và Đông Âu. Tỷ lệ tương đối thấp của khối lượng đầu tư vào Hungary trong Q2 (8%) không phản ánh các hoạt động đổi mới mà chúng tôi thấy trên thị trường này, chúng xuất phát từ nguyên tắc cơ bản tiềm ẩn của thị trường bất động sản tích cực. "</w:t>
      </w:r>
    </w:p>
    <w:p w:rsidR="008E77CC" w:rsidRPr="00902077" w:rsidRDefault="008E77CC" w:rsidP="00902077">
      <w:pPr>
        <w:spacing w:after="120" w:line="288" w:lineRule="auto"/>
        <w:jc w:val="both"/>
        <w:rPr>
          <w:rFonts w:cs="Arial"/>
          <w:sz w:val="20"/>
          <w:szCs w:val="20"/>
        </w:rPr>
      </w:pPr>
    </w:p>
    <w:p w:rsidR="008E77CC" w:rsidRPr="00902077" w:rsidRDefault="008E77CC" w:rsidP="00902077">
      <w:pPr>
        <w:spacing w:after="120" w:line="288" w:lineRule="auto"/>
        <w:jc w:val="both"/>
        <w:rPr>
          <w:rFonts w:cs="Arial"/>
          <w:sz w:val="20"/>
          <w:szCs w:val="20"/>
        </w:rPr>
      </w:pPr>
      <w:r w:rsidRPr="00902077">
        <w:rPr>
          <w:rFonts w:cs="Arial"/>
          <w:sz w:val="20"/>
          <w:szCs w:val="20"/>
        </w:rPr>
        <w:t>Các giao dịch bất động sản đơn lớn nhất ở Trung Âu trong Q2 2016 là việc Nepi mua lại khu bán lẻ Sibiu Shopping City ở thành phố Sibiu, Romania của Argo group với giá 100 triệu EUR. Giao dịch lớn nhất danh mục đầu tư là giao dịch mua lại một danh mục đầu tư tài sản hỗn hợp trên khắp Ba Lan trị giá 890 triệu EUR của Redefine từ Echo Investment.</w:t>
      </w:r>
    </w:p>
    <w:p w:rsidR="008E77CC" w:rsidRPr="00902077" w:rsidRDefault="008E77CC" w:rsidP="00902077">
      <w:pPr>
        <w:spacing w:after="120" w:line="288" w:lineRule="auto"/>
        <w:jc w:val="both"/>
        <w:rPr>
          <w:rFonts w:cs="Arial"/>
          <w:sz w:val="20"/>
          <w:szCs w:val="20"/>
        </w:rPr>
      </w:pPr>
    </w:p>
    <w:p w:rsidR="008E77CC" w:rsidRPr="001B0262" w:rsidRDefault="008E77CC" w:rsidP="00902077">
      <w:pPr>
        <w:spacing w:after="120" w:line="288" w:lineRule="auto"/>
        <w:jc w:val="both"/>
        <w:rPr>
          <w:rFonts w:cs="Arial"/>
          <w:b/>
          <w:sz w:val="18"/>
          <w:szCs w:val="18"/>
        </w:rPr>
      </w:pPr>
      <w:r w:rsidRPr="001B0262">
        <w:rPr>
          <w:rFonts w:cs="Arial"/>
          <w:b/>
          <w:sz w:val="18"/>
          <w:szCs w:val="18"/>
        </w:rPr>
        <w:t xml:space="preserve">For further information, please contact: </w:t>
      </w:r>
    </w:p>
    <w:p w:rsidR="008E77CC" w:rsidRPr="001B0262" w:rsidRDefault="008E77CC" w:rsidP="00902077">
      <w:pPr>
        <w:spacing w:after="120" w:line="288" w:lineRule="auto"/>
        <w:jc w:val="both"/>
        <w:rPr>
          <w:rFonts w:cs="Arial"/>
          <w:b/>
          <w:sz w:val="18"/>
          <w:szCs w:val="18"/>
        </w:rPr>
      </w:pPr>
      <w:r w:rsidRPr="001B0262">
        <w:rPr>
          <w:rFonts w:cs="Arial"/>
          <w:b/>
          <w:sz w:val="18"/>
          <w:szCs w:val="18"/>
        </w:rPr>
        <w:t>Hoang Ha Vu</w:t>
      </w:r>
    </w:p>
    <w:p w:rsidR="008E77CC" w:rsidRPr="001B0262" w:rsidRDefault="008E77CC" w:rsidP="00902077">
      <w:pPr>
        <w:spacing w:after="120" w:line="288" w:lineRule="auto"/>
        <w:jc w:val="both"/>
        <w:rPr>
          <w:rFonts w:cs="Arial"/>
          <w:sz w:val="18"/>
          <w:szCs w:val="18"/>
        </w:rPr>
      </w:pPr>
      <w:r w:rsidRPr="001B0262">
        <w:rPr>
          <w:rFonts w:cs="Arial"/>
          <w:sz w:val="18"/>
          <w:szCs w:val="18"/>
        </w:rPr>
        <w:t xml:space="preserve">Marketing and Communication Manager </w:t>
      </w:r>
    </w:p>
    <w:p w:rsidR="008E77CC" w:rsidRPr="001B0262" w:rsidRDefault="008E77CC" w:rsidP="00902077">
      <w:pPr>
        <w:spacing w:after="120" w:line="288" w:lineRule="auto"/>
        <w:jc w:val="both"/>
        <w:rPr>
          <w:rFonts w:cs="Arial"/>
          <w:sz w:val="18"/>
          <w:szCs w:val="18"/>
        </w:rPr>
      </w:pPr>
      <w:r w:rsidRPr="001B0262">
        <w:rPr>
          <w:rFonts w:cs="Arial"/>
          <w:sz w:val="18"/>
          <w:szCs w:val="18"/>
        </w:rPr>
        <w:t xml:space="preserve">Direct telephone: + (84) 907 667 294 </w:t>
      </w:r>
    </w:p>
    <w:p w:rsidR="008E77CC" w:rsidRPr="00CC152D" w:rsidRDefault="008E77CC" w:rsidP="00902077">
      <w:pPr>
        <w:spacing w:after="120" w:line="288" w:lineRule="auto"/>
        <w:jc w:val="both"/>
        <w:rPr>
          <w:rFonts w:cs="Arial"/>
          <w:color w:val="4E5050"/>
          <w:sz w:val="18"/>
          <w:szCs w:val="18"/>
        </w:rPr>
      </w:pPr>
      <w:r w:rsidRPr="001B0262">
        <w:rPr>
          <w:rFonts w:cs="Arial"/>
          <w:sz w:val="18"/>
          <w:szCs w:val="18"/>
        </w:rPr>
        <w:t>E-mail: Hoangha.Vu@ap.cushwake.com</w:t>
      </w:r>
    </w:p>
    <w:p w:rsidR="008E77CC" w:rsidRPr="00C139E4" w:rsidRDefault="008E77CC" w:rsidP="00902077">
      <w:pPr>
        <w:rPr>
          <w:rFonts w:cs="Arial"/>
          <w:b/>
          <w:bCs/>
          <w:sz w:val="18"/>
          <w:szCs w:val="18"/>
        </w:rPr>
      </w:pPr>
      <w:r w:rsidRPr="00C139E4">
        <w:rPr>
          <w:rFonts w:cs="Arial"/>
          <w:b/>
          <w:bCs/>
          <w:sz w:val="18"/>
          <w:szCs w:val="18"/>
        </w:rPr>
        <w:t>About Cushman &amp; Wakefield</w:t>
      </w:r>
    </w:p>
    <w:p w:rsidR="008E77CC" w:rsidRPr="00C139E4" w:rsidRDefault="008E77CC" w:rsidP="00902077">
      <w:pPr>
        <w:rPr>
          <w:rFonts w:cs="Arial"/>
          <w:sz w:val="18"/>
          <w:szCs w:val="18"/>
        </w:rPr>
      </w:pPr>
      <w:r w:rsidRPr="00C139E4">
        <w:rPr>
          <w:rFonts w:cs="Arial"/>
          <w:sz w:val="18"/>
          <w:szCs w:val="18"/>
        </w:rPr>
        <w:t>Cushman &amp; Wakefield is a leading global real estate services firm that helps clients transform the way people work, shop, and live. Our 43,000 employees in more than 60 countries help investors</w:t>
      </w:r>
      <w:r>
        <w:rPr>
          <w:rFonts w:cs="Arial"/>
          <w:sz w:val="18"/>
          <w:szCs w:val="18"/>
        </w:rPr>
        <w:t xml:space="preserve"> </w:t>
      </w:r>
      <w:r w:rsidRPr="00E50CAE">
        <w:rPr>
          <w:rFonts w:cs="Arial"/>
          <w:sz w:val="18"/>
          <w:szCs w:val="18"/>
        </w:rPr>
        <w:t xml:space="preserve">and occupiers </w:t>
      </w:r>
      <w:r w:rsidRPr="00C139E4">
        <w:rPr>
          <w:rFonts w:cs="Arial"/>
          <w:sz w:val="18"/>
          <w:szCs w:val="18"/>
        </w:rPr>
        <w:t xml:space="preserve"> optimize the value of their real estate by combining our global perspective and deep local knowledge with an impressive platform of real estate solutions. Cushman &amp; Wakefield is among the largest commercial real estate services firms with revenue of $5 billion across core services of agency leasing, asset services, capital markets, facility services (C&amp;W Services), global occupier services, investment &amp; asset management (DTZ Investors), project &amp; development services, tenant representation, and valuation &amp; advisory. To learn more, visit </w:t>
      </w:r>
      <w:hyperlink r:id="rId6" w:history="1">
        <w:r w:rsidRPr="00C139E4">
          <w:rPr>
            <w:rStyle w:val="Hyperlink"/>
            <w:rFonts w:cs="Arial"/>
            <w:sz w:val="18"/>
            <w:szCs w:val="18"/>
          </w:rPr>
          <w:t>www.cushmanwakefield.com</w:t>
        </w:r>
      </w:hyperlink>
      <w:r w:rsidRPr="00C139E4">
        <w:rPr>
          <w:rFonts w:cs="Arial"/>
          <w:sz w:val="18"/>
          <w:szCs w:val="18"/>
        </w:rPr>
        <w:t xml:space="preserve"> or follow </w:t>
      </w:r>
      <w:hyperlink r:id="rId7" w:history="1">
        <w:r w:rsidRPr="00C139E4">
          <w:rPr>
            <w:rStyle w:val="Hyperlink"/>
            <w:rFonts w:cs="Arial"/>
            <w:sz w:val="18"/>
            <w:szCs w:val="18"/>
          </w:rPr>
          <w:t>@CushWake</w:t>
        </w:r>
      </w:hyperlink>
      <w:r w:rsidRPr="00C139E4">
        <w:rPr>
          <w:rFonts w:cs="Arial"/>
          <w:sz w:val="18"/>
          <w:szCs w:val="18"/>
        </w:rPr>
        <w:t xml:space="preserve"> on Twitter.</w:t>
      </w:r>
    </w:p>
    <w:p w:rsidR="008E77CC" w:rsidRDefault="008E77CC" w:rsidP="00902077">
      <w:pPr>
        <w:rPr>
          <w:rFonts w:cs="Arial"/>
          <w:sz w:val="20"/>
          <w:szCs w:val="20"/>
        </w:rPr>
      </w:pPr>
    </w:p>
    <w:p w:rsidR="008E77CC" w:rsidRPr="00902077" w:rsidRDefault="008E77CC" w:rsidP="00902077">
      <w:pPr>
        <w:rPr>
          <w:b/>
          <w:sz w:val="18"/>
          <w:szCs w:val="18"/>
        </w:rPr>
      </w:pPr>
      <w:r w:rsidRPr="000D639E">
        <w:rPr>
          <w:b/>
          <w:sz w:val="18"/>
          <w:szCs w:val="18"/>
        </w:rPr>
        <w:t>-END</w:t>
      </w:r>
      <w:r>
        <w:rPr>
          <w:b/>
          <w:sz w:val="18"/>
          <w:szCs w:val="18"/>
        </w:rPr>
        <w:t>-</w:t>
      </w:r>
    </w:p>
    <w:sectPr w:rsidR="008E77CC" w:rsidRPr="00902077" w:rsidSect="000742EB">
      <w:headerReference w:type="default" r:id="rId8"/>
      <w:headerReference w:type="first" r:id="rId9"/>
      <w:footerReference w:type="first" r:id="rId10"/>
      <w:pgSz w:w="11909" w:h="16834" w:code="9"/>
      <w:pgMar w:top="3600" w:right="1008" w:bottom="2880" w:left="1224" w:header="1800"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77CC" w:rsidRDefault="008E77CC" w:rsidP="00C91FF1">
      <w:pPr>
        <w:spacing w:after="0" w:line="240" w:lineRule="auto"/>
      </w:pPr>
      <w:r>
        <w:separator/>
      </w:r>
    </w:p>
  </w:endnote>
  <w:endnote w:type="continuationSeparator" w:id="0">
    <w:p w:rsidR="008E77CC" w:rsidRDefault="008E77CC" w:rsidP="00C91F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000" w:type="dxa"/>
      <w:tblLayout w:type="fixed"/>
      <w:tblCellMar>
        <w:left w:w="0" w:type="dxa"/>
        <w:right w:w="0" w:type="dxa"/>
      </w:tblCellMar>
      <w:tblLook w:val="00A0"/>
    </w:tblPr>
    <w:tblGrid>
      <w:gridCol w:w="5670"/>
      <w:gridCol w:w="3330"/>
    </w:tblGrid>
    <w:tr w:rsidR="008E77CC" w:rsidRPr="00E36D0B" w:rsidTr="00621E16">
      <w:trPr>
        <w:trHeight w:val="630"/>
      </w:trPr>
      <w:tc>
        <w:tcPr>
          <w:tcW w:w="5670" w:type="dxa"/>
          <w:vAlign w:val="bottom"/>
        </w:tcPr>
        <w:p w:rsidR="008E77CC" w:rsidRPr="005B2397" w:rsidRDefault="008E77CC" w:rsidP="00621E16">
          <w:pPr>
            <w:pStyle w:val="Heading2"/>
            <w:rPr>
              <w:rFonts w:ascii="Arial" w:hAnsi="Arial" w:cs="Arial"/>
              <w:color w:val="696B6B"/>
            </w:rPr>
          </w:pPr>
          <w:r w:rsidRPr="005B2397">
            <w:rPr>
              <w:rFonts w:ascii="Arial" w:hAnsi="Arial" w:cs="Arial"/>
              <w:caps w:val="0"/>
              <w:color w:val="696B6B"/>
            </w:rPr>
            <w:t>For Further Information Contact:</w:t>
          </w:r>
        </w:p>
      </w:tc>
      <w:tc>
        <w:tcPr>
          <w:tcW w:w="3330" w:type="dxa"/>
          <w:vAlign w:val="bottom"/>
        </w:tcPr>
        <w:p w:rsidR="008E77CC" w:rsidRPr="00E36D0B" w:rsidRDefault="008E77CC" w:rsidP="00621E16">
          <w:pPr>
            <w:spacing w:after="100" w:line="240" w:lineRule="auto"/>
            <w:rPr>
              <w:rFonts w:cs="Arial"/>
              <w:b/>
              <w:color w:val="696B6B"/>
              <w:sz w:val="18"/>
            </w:rPr>
          </w:pPr>
          <w:r w:rsidRPr="00E36D0B">
            <w:rPr>
              <w:rFonts w:cs="Arial"/>
              <w:b/>
              <w:color w:val="696B6B"/>
              <w:sz w:val="18"/>
            </w:rPr>
            <w:t>Media Contact:</w:t>
          </w:r>
        </w:p>
      </w:tc>
    </w:tr>
    <w:tr w:rsidR="008E77CC" w:rsidRPr="00E36D0B" w:rsidTr="00621E16">
      <w:trPr>
        <w:trHeight w:val="1260"/>
      </w:trPr>
      <w:tc>
        <w:tcPr>
          <w:tcW w:w="5670" w:type="dxa"/>
          <w:vAlign w:val="bottom"/>
        </w:tcPr>
        <w:p w:rsidR="008E77CC" w:rsidRPr="005B2397" w:rsidRDefault="008E77CC" w:rsidP="00621E16">
          <w:pPr>
            <w:pStyle w:val="ContactName"/>
            <w:rPr>
              <w:rFonts w:ascii="Arial" w:hAnsi="Arial" w:cs="Arial"/>
              <w:color w:val="696B6B"/>
            </w:rPr>
          </w:pPr>
          <w:r w:rsidRPr="005B2397">
            <w:rPr>
              <w:rFonts w:ascii="Arial" w:hAnsi="Arial" w:cs="Arial"/>
              <w:color w:val="696B6B"/>
            </w:rPr>
            <w:t>Name</w:t>
          </w:r>
        </w:p>
        <w:p w:rsidR="008E77CC" w:rsidRPr="005B2397" w:rsidRDefault="008E77CC" w:rsidP="00621E16">
          <w:pPr>
            <w:pStyle w:val="ContactDetail"/>
            <w:rPr>
              <w:rFonts w:ascii="Arial" w:hAnsi="Arial" w:cs="Arial"/>
              <w:color w:val="696B6B"/>
            </w:rPr>
          </w:pPr>
          <w:r w:rsidRPr="005B2397">
            <w:rPr>
              <w:rFonts w:ascii="Arial" w:hAnsi="Arial" w:cs="Arial"/>
              <w:color w:val="696B6B"/>
            </w:rPr>
            <w:t>Title</w:t>
          </w:r>
        </w:p>
        <w:p w:rsidR="008E77CC" w:rsidRPr="005B2397" w:rsidRDefault="008E77CC" w:rsidP="00621E16">
          <w:pPr>
            <w:pStyle w:val="ContactDetail"/>
            <w:rPr>
              <w:rFonts w:ascii="Arial" w:hAnsi="Arial" w:cs="Arial"/>
              <w:color w:val="696B6B"/>
              <w:lang w:val="es-ES_tradnl"/>
            </w:rPr>
          </w:pPr>
          <w:r w:rsidRPr="005B2397">
            <w:rPr>
              <w:rFonts w:ascii="Arial" w:hAnsi="Arial" w:cs="Arial"/>
              <w:color w:val="696B6B"/>
              <w:lang w:val="es-ES_tradnl"/>
            </w:rPr>
            <w:t>+1 000 000 0000</w:t>
          </w:r>
        </w:p>
        <w:p w:rsidR="008E77CC" w:rsidRPr="005B2397" w:rsidRDefault="008E77CC" w:rsidP="005B2397">
          <w:pPr>
            <w:pStyle w:val="ContactDetail"/>
            <w:rPr>
              <w:rFonts w:ascii="Arial" w:hAnsi="Arial" w:cs="Arial"/>
              <w:color w:val="696B6B"/>
              <w:lang w:val="es-ES_tradnl"/>
            </w:rPr>
          </w:pPr>
          <w:hyperlink r:id="rId1" w:history="1">
            <w:r w:rsidRPr="005B2397">
              <w:rPr>
                <w:rStyle w:val="Hyperlink"/>
                <w:rFonts w:ascii="Arial" w:hAnsi="Arial" w:cs="Arial"/>
                <w:color w:val="696B6B"/>
                <w:lang w:val="es-ES_tradnl"/>
              </w:rPr>
              <w:t>first.last@cushwake.com</w:t>
            </w:r>
          </w:hyperlink>
          <w:r w:rsidRPr="005B2397">
            <w:rPr>
              <w:rFonts w:ascii="Arial" w:hAnsi="Arial" w:cs="Arial"/>
              <w:color w:val="696B6B"/>
              <w:lang w:val="es-ES_tradnl"/>
            </w:rPr>
            <w:t xml:space="preserve"> </w:t>
          </w:r>
        </w:p>
      </w:tc>
      <w:tc>
        <w:tcPr>
          <w:tcW w:w="3330" w:type="dxa"/>
          <w:vAlign w:val="bottom"/>
        </w:tcPr>
        <w:p w:rsidR="008E77CC" w:rsidRPr="005B2397" w:rsidRDefault="008E77CC" w:rsidP="00621E16">
          <w:pPr>
            <w:pStyle w:val="ContactName"/>
            <w:rPr>
              <w:rFonts w:ascii="Arial" w:hAnsi="Arial" w:cs="Arial"/>
              <w:color w:val="696B6B"/>
            </w:rPr>
          </w:pPr>
          <w:r w:rsidRPr="005B2397">
            <w:rPr>
              <w:rFonts w:ascii="Arial" w:hAnsi="Arial" w:cs="Arial"/>
              <w:color w:val="696B6B"/>
            </w:rPr>
            <w:t>Name</w:t>
          </w:r>
        </w:p>
        <w:p w:rsidR="008E77CC" w:rsidRPr="005B2397" w:rsidRDefault="008E77CC" w:rsidP="00621E16">
          <w:pPr>
            <w:pStyle w:val="ContactDetail"/>
            <w:rPr>
              <w:rFonts w:ascii="Arial" w:hAnsi="Arial" w:cs="Arial"/>
              <w:color w:val="696B6B"/>
            </w:rPr>
          </w:pPr>
          <w:r w:rsidRPr="005B2397">
            <w:rPr>
              <w:rFonts w:ascii="Arial" w:hAnsi="Arial" w:cs="Arial"/>
              <w:color w:val="696B6B"/>
            </w:rPr>
            <w:t>Title</w:t>
          </w:r>
        </w:p>
        <w:p w:rsidR="008E77CC" w:rsidRPr="005B2397" w:rsidRDefault="008E77CC" w:rsidP="00621E16">
          <w:pPr>
            <w:pStyle w:val="ContactDetail"/>
            <w:rPr>
              <w:rFonts w:ascii="Arial" w:hAnsi="Arial" w:cs="Arial"/>
              <w:color w:val="696B6B"/>
              <w:lang w:val="es-ES_tradnl"/>
            </w:rPr>
          </w:pPr>
          <w:r w:rsidRPr="005B2397">
            <w:rPr>
              <w:rFonts w:ascii="Arial" w:hAnsi="Arial" w:cs="Arial"/>
              <w:color w:val="696B6B"/>
              <w:lang w:val="es-ES_tradnl"/>
            </w:rPr>
            <w:t>+1 000 000 0000</w:t>
          </w:r>
        </w:p>
        <w:p w:rsidR="008E77CC" w:rsidRPr="005B2397" w:rsidRDefault="008E77CC" w:rsidP="00621E16">
          <w:pPr>
            <w:pStyle w:val="ContactDetail"/>
            <w:rPr>
              <w:rFonts w:ascii="Arial" w:hAnsi="Arial" w:cs="Arial"/>
              <w:color w:val="696B6B"/>
              <w:lang w:val="es-ES_tradnl"/>
            </w:rPr>
          </w:pPr>
          <w:hyperlink r:id="rId2" w:history="1">
            <w:r w:rsidRPr="005B2397">
              <w:rPr>
                <w:rStyle w:val="Hyperlink"/>
                <w:rFonts w:ascii="Arial" w:hAnsi="Arial" w:cs="Arial"/>
                <w:color w:val="696B6B"/>
                <w:lang w:val="es-ES_tradnl"/>
              </w:rPr>
              <w:t>first.last@cushwake.com</w:t>
            </w:r>
          </w:hyperlink>
        </w:p>
      </w:tc>
    </w:tr>
  </w:tbl>
  <w:p w:rsidR="008E77CC" w:rsidRDefault="008E77C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77CC" w:rsidRDefault="008E77CC" w:rsidP="00C91FF1">
      <w:pPr>
        <w:spacing w:after="0" w:line="240" w:lineRule="auto"/>
      </w:pPr>
      <w:r>
        <w:separator/>
      </w:r>
    </w:p>
  </w:footnote>
  <w:footnote w:type="continuationSeparator" w:id="0">
    <w:p w:rsidR="008E77CC" w:rsidRDefault="008E77CC" w:rsidP="00C91FF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77CC" w:rsidRDefault="008E77CC">
    <w:pPr>
      <w:pStyle w:val="Header"/>
    </w:pPr>
    <w:r w:rsidRPr="00CA41DB">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i1026" type="#_x0000_t75" style="width:178.5pt;height:37.5pt;visibility:visible">
          <v:imagedata r:id="rId1" o:titl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77CC" w:rsidRDefault="008E77C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2049" type="#_x0000_t75" style="position:absolute;margin-left:.3pt;margin-top:-34.5pt;width:181.4pt;height:38.15pt;z-index:251660288;visibility:visible">
          <v:imagedata r:id="rId1" o:title=""/>
          <w10:wrap type="squar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91FF1"/>
    <w:rsid w:val="000139F8"/>
    <w:rsid w:val="00056E9E"/>
    <w:rsid w:val="000742EB"/>
    <w:rsid w:val="000B5103"/>
    <w:rsid w:val="000D639E"/>
    <w:rsid w:val="00172155"/>
    <w:rsid w:val="001951D8"/>
    <w:rsid w:val="001954A9"/>
    <w:rsid w:val="001B0262"/>
    <w:rsid w:val="001E4020"/>
    <w:rsid w:val="001F2411"/>
    <w:rsid w:val="00292A40"/>
    <w:rsid w:val="002A293C"/>
    <w:rsid w:val="002B6C67"/>
    <w:rsid w:val="002C40B0"/>
    <w:rsid w:val="003260A0"/>
    <w:rsid w:val="003D2081"/>
    <w:rsid w:val="00407EF7"/>
    <w:rsid w:val="00424537"/>
    <w:rsid w:val="00443661"/>
    <w:rsid w:val="00465159"/>
    <w:rsid w:val="004C5C9E"/>
    <w:rsid w:val="005877CD"/>
    <w:rsid w:val="005B2397"/>
    <w:rsid w:val="006130F8"/>
    <w:rsid w:val="00621E16"/>
    <w:rsid w:val="006564F1"/>
    <w:rsid w:val="00667C23"/>
    <w:rsid w:val="00691736"/>
    <w:rsid w:val="006A1BB8"/>
    <w:rsid w:val="006A6391"/>
    <w:rsid w:val="006F2354"/>
    <w:rsid w:val="007245F5"/>
    <w:rsid w:val="00735AAB"/>
    <w:rsid w:val="00744AA1"/>
    <w:rsid w:val="00766E0E"/>
    <w:rsid w:val="008118C0"/>
    <w:rsid w:val="00844873"/>
    <w:rsid w:val="008477AF"/>
    <w:rsid w:val="00851610"/>
    <w:rsid w:val="008757AB"/>
    <w:rsid w:val="00896561"/>
    <w:rsid w:val="008C3FC9"/>
    <w:rsid w:val="008E77CC"/>
    <w:rsid w:val="008F1702"/>
    <w:rsid w:val="00902077"/>
    <w:rsid w:val="00915BBB"/>
    <w:rsid w:val="00966908"/>
    <w:rsid w:val="0098248A"/>
    <w:rsid w:val="00993973"/>
    <w:rsid w:val="009A6441"/>
    <w:rsid w:val="009C6F77"/>
    <w:rsid w:val="009C7C1D"/>
    <w:rsid w:val="00A118F4"/>
    <w:rsid w:val="00A53204"/>
    <w:rsid w:val="00AE4BE4"/>
    <w:rsid w:val="00AF165E"/>
    <w:rsid w:val="00B1682D"/>
    <w:rsid w:val="00BB5B66"/>
    <w:rsid w:val="00C139E4"/>
    <w:rsid w:val="00C53F74"/>
    <w:rsid w:val="00C60962"/>
    <w:rsid w:val="00C91FF1"/>
    <w:rsid w:val="00CA41DB"/>
    <w:rsid w:val="00CC152D"/>
    <w:rsid w:val="00CD3AAD"/>
    <w:rsid w:val="00D3228A"/>
    <w:rsid w:val="00D40B5D"/>
    <w:rsid w:val="00DA5E5E"/>
    <w:rsid w:val="00E1566F"/>
    <w:rsid w:val="00E36D0B"/>
    <w:rsid w:val="00E406D6"/>
    <w:rsid w:val="00E50CAE"/>
    <w:rsid w:val="00F165D1"/>
    <w:rsid w:val="00F34442"/>
    <w:rsid w:val="00FA17C3"/>
    <w:rsid w:val="00FA5604"/>
    <w:rsid w:val="00FE432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537"/>
    <w:pPr>
      <w:spacing w:after="200" w:line="276" w:lineRule="auto"/>
    </w:pPr>
    <w:rPr>
      <w:rFonts w:eastAsia="Times New Roman"/>
    </w:rPr>
  </w:style>
  <w:style w:type="paragraph" w:styleId="Heading2">
    <w:name w:val="heading 2"/>
    <w:basedOn w:val="Normal"/>
    <w:next w:val="Normal"/>
    <w:link w:val="Heading2Char"/>
    <w:uiPriority w:val="99"/>
    <w:qFormat/>
    <w:rsid w:val="005B2397"/>
    <w:pPr>
      <w:keepNext/>
      <w:keepLines/>
      <w:spacing w:after="100" w:line="240" w:lineRule="atLeast"/>
      <w:outlineLvl w:val="1"/>
    </w:pPr>
    <w:rPr>
      <w:rFonts w:ascii="Calibri" w:hAnsi="Calibri"/>
      <w:b/>
      <w:bCs/>
      <w:caps/>
      <w:color w:val="008B98"/>
      <w:sz w:val="18"/>
      <w:szCs w:val="26"/>
      <w:lang w:val="en-GB" w:eastAsia="en-GB"/>
    </w:rPr>
  </w:style>
  <w:style w:type="paragraph" w:styleId="Heading3">
    <w:name w:val="heading 3"/>
    <w:basedOn w:val="Normal"/>
    <w:next w:val="Normal"/>
    <w:link w:val="Heading3Char"/>
    <w:uiPriority w:val="99"/>
    <w:qFormat/>
    <w:rsid w:val="005B2397"/>
    <w:pPr>
      <w:keepNext/>
      <w:keepLines/>
      <w:spacing w:before="200" w:after="0"/>
      <w:outlineLvl w:val="2"/>
    </w:pPr>
    <w:rPr>
      <w:b/>
      <w:bCs/>
      <w:color w:val="0093B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5B2397"/>
    <w:rPr>
      <w:rFonts w:ascii="Calibri" w:hAnsi="Calibri" w:cs="Times New Roman"/>
      <w:b/>
      <w:bCs/>
      <w:caps/>
      <w:color w:val="008B98"/>
      <w:sz w:val="26"/>
      <w:szCs w:val="26"/>
      <w:lang w:val="en-GB" w:eastAsia="en-GB"/>
    </w:rPr>
  </w:style>
  <w:style w:type="character" w:customStyle="1" w:styleId="Heading3Char">
    <w:name w:val="Heading 3 Char"/>
    <w:basedOn w:val="DefaultParagraphFont"/>
    <w:link w:val="Heading3"/>
    <w:uiPriority w:val="99"/>
    <w:semiHidden/>
    <w:locked/>
    <w:rsid w:val="005B2397"/>
    <w:rPr>
      <w:rFonts w:ascii="Arial" w:hAnsi="Arial" w:cs="Times New Roman"/>
      <w:b/>
      <w:bCs/>
      <w:color w:val="0093B2"/>
    </w:rPr>
  </w:style>
  <w:style w:type="paragraph" w:styleId="Header">
    <w:name w:val="header"/>
    <w:basedOn w:val="Normal"/>
    <w:link w:val="HeaderChar"/>
    <w:uiPriority w:val="99"/>
    <w:rsid w:val="00C91FF1"/>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C91FF1"/>
    <w:rPr>
      <w:rFonts w:cs="Times New Roman"/>
    </w:rPr>
  </w:style>
  <w:style w:type="paragraph" w:styleId="Footer">
    <w:name w:val="footer"/>
    <w:basedOn w:val="Normal"/>
    <w:link w:val="FooterChar"/>
    <w:uiPriority w:val="99"/>
    <w:rsid w:val="00C91FF1"/>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C91FF1"/>
    <w:rPr>
      <w:rFonts w:cs="Times New Roman"/>
    </w:rPr>
  </w:style>
  <w:style w:type="paragraph" w:styleId="BalloonText">
    <w:name w:val="Balloon Text"/>
    <w:basedOn w:val="Normal"/>
    <w:link w:val="BalloonTextChar"/>
    <w:uiPriority w:val="99"/>
    <w:semiHidden/>
    <w:rsid w:val="00C91F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91FF1"/>
    <w:rPr>
      <w:rFonts w:ascii="Tahoma" w:hAnsi="Tahoma" w:cs="Tahoma"/>
      <w:sz w:val="16"/>
      <w:szCs w:val="16"/>
    </w:rPr>
  </w:style>
  <w:style w:type="paragraph" w:customStyle="1" w:styleId="BasicParagraph">
    <w:name w:val="[Basic Paragraph]"/>
    <w:basedOn w:val="Normal"/>
    <w:uiPriority w:val="99"/>
    <w:rsid w:val="00C91FF1"/>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Hyperlink">
    <w:name w:val="Hyperlink"/>
    <w:basedOn w:val="DefaultParagraphFont"/>
    <w:uiPriority w:val="99"/>
    <w:rsid w:val="00292A40"/>
    <w:rPr>
      <w:rFonts w:cs="Times New Roman"/>
      <w:color w:val="0093B2"/>
      <w:u w:val="single"/>
    </w:rPr>
  </w:style>
  <w:style w:type="paragraph" w:customStyle="1" w:styleId="FooterLimited">
    <w:name w:val="Footer_Limited"/>
    <w:basedOn w:val="Normal"/>
    <w:uiPriority w:val="99"/>
    <w:rsid w:val="00424537"/>
    <w:pPr>
      <w:spacing w:before="80" w:after="20" w:line="160" w:lineRule="atLeast"/>
    </w:pPr>
    <w:rPr>
      <w:rFonts w:ascii="Calibri" w:hAnsi="Calibri"/>
      <w:b/>
      <w:color w:val="000000"/>
      <w:sz w:val="13"/>
      <w:szCs w:val="24"/>
      <w:lang w:val="en-GB" w:eastAsia="en-GB"/>
    </w:rPr>
  </w:style>
  <w:style w:type="table" w:styleId="TableGrid">
    <w:name w:val="Table Grid"/>
    <w:basedOn w:val="TableNormal"/>
    <w:uiPriority w:val="99"/>
    <w:rsid w:val="00424537"/>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5B2397"/>
    <w:pPr>
      <w:spacing w:before="100" w:beforeAutospacing="1" w:after="100" w:afterAutospacing="1" w:line="240" w:lineRule="auto"/>
    </w:pPr>
    <w:rPr>
      <w:rFonts w:ascii="Times New Roman" w:hAnsi="Times New Roman"/>
      <w:sz w:val="24"/>
      <w:szCs w:val="24"/>
    </w:rPr>
  </w:style>
  <w:style w:type="paragraph" w:customStyle="1" w:styleId="ContactName">
    <w:name w:val="ContactName"/>
    <w:basedOn w:val="Heading3"/>
    <w:uiPriority w:val="99"/>
    <w:rsid w:val="005B2397"/>
    <w:pPr>
      <w:spacing w:before="0" w:line="216" w:lineRule="atLeast"/>
    </w:pPr>
    <w:rPr>
      <w:rFonts w:ascii="Calibri" w:hAnsi="Calibri"/>
      <w:color w:val="008B98"/>
      <w:sz w:val="18"/>
      <w:szCs w:val="24"/>
      <w:lang w:val="en-GB" w:eastAsia="en-GB"/>
    </w:rPr>
  </w:style>
  <w:style w:type="paragraph" w:customStyle="1" w:styleId="ContactDetail">
    <w:name w:val="ContactDetail"/>
    <w:basedOn w:val="Normal"/>
    <w:uiPriority w:val="99"/>
    <w:rsid w:val="005B2397"/>
    <w:pPr>
      <w:spacing w:after="0" w:line="216" w:lineRule="atLeast"/>
    </w:pPr>
    <w:rPr>
      <w:rFonts w:ascii="Calibri" w:hAnsi="Calibri"/>
      <w:color w:val="000000"/>
      <w:sz w:val="18"/>
      <w:szCs w:val="24"/>
      <w:lang w:val="en-GB" w:eastAsia="en-GB"/>
    </w:rPr>
  </w:style>
</w:styles>
</file>

<file path=word/webSettings.xml><?xml version="1.0" encoding="utf-8"?>
<w:webSettings xmlns:r="http://schemas.openxmlformats.org/officeDocument/2006/relationships" xmlns:w="http://schemas.openxmlformats.org/wordprocessingml/2006/main">
  <w:divs>
    <w:div w:id="1104154697">
      <w:marLeft w:val="0"/>
      <w:marRight w:val="0"/>
      <w:marTop w:val="0"/>
      <w:marBottom w:val="0"/>
      <w:divBdr>
        <w:top w:val="none" w:sz="0" w:space="0" w:color="auto"/>
        <w:left w:val="none" w:sz="0" w:space="0" w:color="auto"/>
        <w:bottom w:val="none" w:sz="0" w:space="0" w:color="auto"/>
        <w:right w:val="none" w:sz="0" w:space="0" w:color="auto"/>
      </w:divBdr>
    </w:div>
    <w:div w:id="1104154698">
      <w:marLeft w:val="0"/>
      <w:marRight w:val="0"/>
      <w:marTop w:val="0"/>
      <w:marBottom w:val="0"/>
      <w:divBdr>
        <w:top w:val="none" w:sz="0" w:space="0" w:color="auto"/>
        <w:left w:val="none" w:sz="0" w:space="0" w:color="auto"/>
        <w:bottom w:val="none" w:sz="0" w:space="0" w:color="auto"/>
        <w:right w:val="none" w:sz="0" w:space="0" w:color="auto"/>
      </w:divBdr>
    </w:div>
    <w:div w:id="1104154699">
      <w:marLeft w:val="0"/>
      <w:marRight w:val="0"/>
      <w:marTop w:val="0"/>
      <w:marBottom w:val="0"/>
      <w:divBdr>
        <w:top w:val="none" w:sz="0" w:space="0" w:color="auto"/>
        <w:left w:val="none" w:sz="0" w:space="0" w:color="auto"/>
        <w:bottom w:val="none" w:sz="0" w:space="0" w:color="auto"/>
        <w:right w:val="none" w:sz="0" w:space="0" w:color="auto"/>
      </w:divBdr>
    </w:div>
    <w:div w:id="1104154700">
      <w:marLeft w:val="0"/>
      <w:marRight w:val="0"/>
      <w:marTop w:val="0"/>
      <w:marBottom w:val="0"/>
      <w:divBdr>
        <w:top w:val="none" w:sz="0" w:space="0" w:color="auto"/>
        <w:left w:val="none" w:sz="0" w:space="0" w:color="auto"/>
        <w:bottom w:val="none" w:sz="0" w:space="0" w:color="auto"/>
        <w:right w:val="none" w:sz="0" w:space="0" w:color="auto"/>
      </w:divBdr>
    </w:div>
    <w:div w:id="1104154701">
      <w:marLeft w:val="0"/>
      <w:marRight w:val="0"/>
      <w:marTop w:val="0"/>
      <w:marBottom w:val="0"/>
      <w:divBdr>
        <w:top w:val="none" w:sz="0" w:space="0" w:color="auto"/>
        <w:left w:val="none" w:sz="0" w:space="0" w:color="auto"/>
        <w:bottom w:val="none" w:sz="0" w:space="0" w:color="auto"/>
        <w:right w:val="none" w:sz="0" w:space="0" w:color="auto"/>
      </w:divBdr>
    </w:div>
    <w:div w:id="11041547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twitter.com/cushwak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ushmanwakefield.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mailto:first.last@cushwake.com" TargetMode="External"/><Relationship Id="rId1" Type="http://schemas.openxmlformats.org/officeDocument/2006/relationships/hyperlink" Target="mailto:first.last@cushwak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2</Pages>
  <Words>677</Words>
  <Characters>3860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Immediate Release</dc:title>
  <dc:subject/>
  <dc:creator>Daily, Krissy</dc:creator>
  <cp:keywords/>
  <dc:description/>
  <cp:lastModifiedBy>DELL</cp:lastModifiedBy>
  <cp:revision>2</cp:revision>
  <cp:lastPrinted>2016-08-12T07:41:00Z</cp:lastPrinted>
  <dcterms:created xsi:type="dcterms:W3CDTF">2016-08-12T08:30:00Z</dcterms:created>
  <dcterms:modified xsi:type="dcterms:W3CDTF">2016-08-12T08:30:00Z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8bdfa2b0-c14b-40e8-92f3-7982a37fd285</vt:lpwstr>
  </property>
  <property fmtid="{D5CDD505-2E9C-101B-9397-08002B2CF9AE}" pid="3" name="ContentTypeId">
    <vt:lpwstr>0x010100FB55CAF91F753C47AFA644DA90026764</vt:lpwstr>
  </property>
  <property fmtid="{D5CDD505-2E9C-101B-9397-08002B2CF9AE}" pid="4" name="IconOverlay">
    <vt:lpwstr/>
  </property>
  <property fmtid="{D5CDD505-2E9C-101B-9397-08002B2CF9AE}" pid="5" name="_dlc_DocId">
    <vt:lpwstr>FKKVPAFXYH6Q-9-2103</vt:lpwstr>
  </property>
  <property fmtid="{D5CDD505-2E9C-101B-9397-08002B2CF9AE}" pid="6" name="_dlc_DocIdUrl">
    <vt:lpwstr>http://intranet.cushwake.com/connect/Resources/_layouts/DocIdRedir.aspx?ID=FKKVPAFXYH6Q-9-2103, FKKVPAFXYH6Q-9-2103</vt:lpwstr>
  </property>
</Properties>
</file>