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4" w:type="dxa"/>
        <w:jc w:val="center"/>
        <w:tblLook w:val="01E0"/>
      </w:tblPr>
      <w:tblGrid>
        <w:gridCol w:w="3556"/>
        <w:gridCol w:w="6488"/>
      </w:tblGrid>
      <w:tr w:rsidR="00900767" w:rsidRPr="003C1625" w:rsidTr="00B0278F">
        <w:trPr>
          <w:jc w:val="center"/>
        </w:trPr>
        <w:tc>
          <w:tcPr>
            <w:tcW w:w="3556" w:type="dxa"/>
          </w:tcPr>
          <w:p w:rsidR="00900767" w:rsidRPr="003C1625" w:rsidRDefault="00900767" w:rsidP="00910F80">
            <w:pPr>
              <w:widowControl w:val="0"/>
              <w:spacing w:after="0" w:line="288" w:lineRule="auto"/>
              <w:ind w:firstLine="0"/>
              <w:jc w:val="center"/>
              <w:rPr>
                <w:b/>
                <w:bCs/>
                <w:sz w:val="26"/>
                <w:szCs w:val="26"/>
                <w:lang w:val="vi-VN"/>
              </w:rPr>
            </w:pPr>
            <w:r w:rsidRPr="003C1625">
              <w:rPr>
                <w:b/>
                <w:bCs/>
                <w:sz w:val="26"/>
                <w:szCs w:val="26"/>
                <w:lang w:val="vi-VN"/>
              </w:rPr>
              <w:t xml:space="preserve">ỦY BAN GIÁM SÁT </w:t>
            </w:r>
          </w:p>
          <w:p w:rsidR="00900767" w:rsidRPr="003C1625" w:rsidRDefault="00900767" w:rsidP="00910F80">
            <w:pPr>
              <w:widowControl w:val="0"/>
              <w:spacing w:after="0" w:line="288" w:lineRule="auto"/>
              <w:ind w:firstLine="0"/>
              <w:jc w:val="center"/>
              <w:rPr>
                <w:b/>
                <w:bCs/>
                <w:sz w:val="26"/>
                <w:szCs w:val="26"/>
                <w:lang w:val="vi-VN"/>
              </w:rPr>
            </w:pPr>
            <w:r w:rsidRPr="003C1625">
              <w:rPr>
                <w:b/>
                <w:bCs/>
                <w:sz w:val="26"/>
                <w:szCs w:val="26"/>
                <w:lang w:val="vi-VN"/>
              </w:rPr>
              <w:t>TÀI CHÍNH QUỐC GIA</w:t>
            </w:r>
          </w:p>
          <w:p w:rsidR="00900767" w:rsidRPr="003C1625" w:rsidRDefault="00196149" w:rsidP="00910F80">
            <w:pPr>
              <w:widowControl w:val="0"/>
              <w:spacing w:after="0" w:line="288" w:lineRule="auto"/>
              <w:ind w:firstLine="0"/>
              <w:jc w:val="center"/>
              <w:rPr>
                <w:sz w:val="26"/>
                <w:szCs w:val="26"/>
                <w:lang w:val="vi-VN"/>
              </w:rPr>
            </w:pPr>
            <w:r>
              <w:rPr>
                <w:noProof/>
                <w:sz w:val="26"/>
                <w:szCs w:val="26"/>
              </w:rPr>
              <w:pict>
                <v:line id="Line 2" o:spid="_x0000_s1026" style="position:absolute;left:0;text-align:left;z-index:251656192;visibility:visible;mso-wrap-distance-top:-1e-4mm;mso-wrap-distance-bottom:-1e-4mm" from="51pt,3.5pt" to="105.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"/>
              </w:pict>
            </w:r>
          </w:p>
          <w:p w:rsidR="00900767" w:rsidRPr="003C1625" w:rsidRDefault="00900767" w:rsidP="00910F80">
            <w:pPr>
              <w:widowControl w:val="0"/>
              <w:spacing w:after="0" w:line="288" w:lineRule="auto"/>
              <w:ind w:firstLine="0"/>
              <w:jc w:val="center"/>
              <w:rPr>
                <w:sz w:val="26"/>
                <w:szCs w:val="26"/>
                <w:lang w:val="vi-VN"/>
              </w:rPr>
            </w:pPr>
            <w:r w:rsidRPr="003C1625">
              <w:rPr>
                <w:sz w:val="26"/>
                <w:szCs w:val="26"/>
                <w:lang w:val="vi-VN"/>
              </w:rPr>
              <w:t>Số:        /</w:t>
            </w:r>
            <w:r w:rsidR="000E5F9F" w:rsidRPr="003C1625">
              <w:rPr>
                <w:sz w:val="26"/>
                <w:szCs w:val="26"/>
              </w:rPr>
              <w:t>BC-</w:t>
            </w:r>
            <w:r w:rsidRPr="003C1625">
              <w:rPr>
                <w:sz w:val="26"/>
                <w:szCs w:val="26"/>
                <w:lang w:val="vi-VN"/>
              </w:rPr>
              <w:t>UBGSTCQG</w:t>
            </w:r>
          </w:p>
        </w:tc>
        <w:tc>
          <w:tcPr>
            <w:tcW w:w="6488" w:type="dxa"/>
          </w:tcPr>
          <w:p w:rsidR="00900767" w:rsidRPr="003C1625" w:rsidRDefault="00900767" w:rsidP="00910F80">
            <w:pPr>
              <w:widowControl w:val="0"/>
              <w:spacing w:after="0" w:line="288" w:lineRule="auto"/>
              <w:jc w:val="center"/>
              <w:rPr>
                <w:b/>
                <w:bCs/>
                <w:sz w:val="26"/>
                <w:szCs w:val="26"/>
                <w:lang w:val="vi-VN"/>
              </w:rPr>
            </w:pPr>
            <w:r w:rsidRPr="003C1625">
              <w:rPr>
                <w:b/>
                <w:bCs/>
                <w:sz w:val="26"/>
                <w:szCs w:val="26"/>
                <w:lang w:val="vi-VN"/>
              </w:rPr>
              <w:t>CỘNG HÒA XÃ HỘI CHỦ NGHĨA VIỆT NAM</w:t>
            </w:r>
          </w:p>
          <w:p w:rsidR="00900767" w:rsidRPr="003C1625" w:rsidRDefault="00900767" w:rsidP="00910F80">
            <w:pPr>
              <w:widowControl w:val="0"/>
              <w:spacing w:after="0" w:line="288" w:lineRule="auto"/>
              <w:jc w:val="center"/>
              <w:rPr>
                <w:b/>
                <w:bCs/>
                <w:sz w:val="26"/>
                <w:szCs w:val="26"/>
                <w:lang w:val="vi-VN"/>
              </w:rPr>
            </w:pPr>
            <w:r w:rsidRPr="003C1625">
              <w:rPr>
                <w:b/>
                <w:bCs/>
                <w:sz w:val="26"/>
                <w:szCs w:val="26"/>
                <w:lang w:val="vi-VN"/>
              </w:rPr>
              <w:t>Độc lập - Tự do - Hạnh phúc</w:t>
            </w:r>
          </w:p>
          <w:p w:rsidR="00900767" w:rsidRPr="003C1625" w:rsidRDefault="00196149" w:rsidP="00910F80">
            <w:pPr>
              <w:widowControl w:val="0"/>
              <w:spacing w:after="0" w:line="288" w:lineRule="auto"/>
              <w:ind w:left="397"/>
              <w:jc w:val="right"/>
              <w:rPr>
                <w:i/>
                <w:iCs/>
                <w:sz w:val="26"/>
                <w:szCs w:val="26"/>
              </w:rPr>
            </w:pPr>
            <w:r w:rsidRPr="00196149">
              <w:rPr>
                <w:noProof/>
                <w:sz w:val="26"/>
                <w:szCs w:val="26"/>
              </w:rPr>
              <w:pict>
                <v:line id="Line 3" o:spid="_x0000_s1027" style="position:absolute;left:0;text-align:left;z-index:251657216;visibility:visible;mso-wrap-distance-top:-1e-4mm;mso-wrap-distance-bottom:-1e-4mm" from="93pt,3.5pt" to="25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Vjm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"/>
              </w:pict>
            </w:r>
          </w:p>
          <w:p w:rsidR="00900767" w:rsidRPr="003C1625" w:rsidRDefault="00900767" w:rsidP="00E41DE0">
            <w:pPr>
              <w:widowControl w:val="0"/>
              <w:spacing w:after="0" w:line="288" w:lineRule="auto"/>
              <w:ind w:firstLine="0"/>
              <w:jc w:val="right"/>
              <w:rPr>
                <w:i/>
                <w:iCs/>
                <w:sz w:val="26"/>
                <w:szCs w:val="26"/>
              </w:rPr>
            </w:pPr>
            <w:r w:rsidRPr="003C1625">
              <w:rPr>
                <w:i/>
                <w:iCs/>
                <w:sz w:val="26"/>
                <w:szCs w:val="26"/>
                <w:lang w:val="vi-VN"/>
              </w:rPr>
              <w:t>Hà Nội, ngày</w:t>
            </w:r>
            <w:r w:rsidR="00E41DE0">
              <w:rPr>
                <w:i/>
                <w:iCs/>
                <w:sz w:val="26"/>
                <w:szCs w:val="26"/>
              </w:rPr>
              <w:t>28</w:t>
            </w:r>
            <w:r w:rsidRPr="003C1625">
              <w:rPr>
                <w:i/>
                <w:iCs/>
                <w:sz w:val="26"/>
                <w:szCs w:val="26"/>
                <w:lang w:val="vi-VN"/>
              </w:rPr>
              <w:t>tháng</w:t>
            </w:r>
            <w:r w:rsidR="00E41DE0">
              <w:rPr>
                <w:i/>
                <w:iCs/>
                <w:sz w:val="26"/>
                <w:szCs w:val="26"/>
              </w:rPr>
              <w:t>8</w:t>
            </w:r>
            <w:r w:rsidRPr="003C1625">
              <w:rPr>
                <w:i/>
                <w:iCs/>
                <w:sz w:val="26"/>
                <w:szCs w:val="26"/>
                <w:lang w:val="vi-VN"/>
              </w:rPr>
              <w:t>năm 201</w:t>
            </w:r>
            <w:r w:rsidR="00547EF8" w:rsidRPr="003C1625">
              <w:rPr>
                <w:i/>
                <w:iCs/>
                <w:sz w:val="26"/>
                <w:szCs w:val="26"/>
              </w:rPr>
              <w:t>5</w:t>
            </w:r>
          </w:p>
        </w:tc>
      </w:tr>
    </w:tbl>
    <w:p w:rsidR="00900767" w:rsidRPr="003C1625" w:rsidRDefault="00900767" w:rsidP="00910F80">
      <w:pPr>
        <w:spacing w:line="288" w:lineRule="auto"/>
        <w:rPr>
          <w:sz w:val="26"/>
          <w:szCs w:val="26"/>
        </w:rPr>
      </w:pPr>
    </w:p>
    <w:p w:rsidR="00900767" w:rsidRPr="003C1625" w:rsidRDefault="00900767" w:rsidP="00910F80">
      <w:pPr>
        <w:spacing w:line="288" w:lineRule="auto"/>
        <w:ind w:firstLine="0"/>
        <w:jc w:val="center"/>
        <w:rPr>
          <w:b/>
          <w:sz w:val="26"/>
          <w:szCs w:val="26"/>
        </w:rPr>
      </w:pPr>
    </w:p>
    <w:p w:rsidR="00F22114" w:rsidRPr="003C1625" w:rsidRDefault="00F22114" w:rsidP="00910F80">
      <w:pPr>
        <w:spacing w:before="120" w:line="288" w:lineRule="auto"/>
        <w:ind w:firstLine="0"/>
        <w:jc w:val="center"/>
        <w:rPr>
          <w:b/>
          <w:sz w:val="26"/>
          <w:szCs w:val="26"/>
        </w:rPr>
      </w:pPr>
      <w:r w:rsidRPr="003C1625">
        <w:rPr>
          <w:b/>
          <w:sz w:val="26"/>
          <w:szCs w:val="26"/>
          <w:lang w:val="vi-VN"/>
        </w:rPr>
        <w:t>BÁO CÁO</w:t>
      </w:r>
    </w:p>
    <w:p w:rsidR="00F22114" w:rsidRPr="003C1625" w:rsidRDefault="00F22114" w:rsidP="00910F80">
      <w:pPr>
        <w:spacing w:before="120" w:line="288" w:lineRule="auto"/>
        <w:ind w:firstLine="0"/>
        <w:jc w:val="center"/>
        <w:rPr>
          <w:b/>
          <w:sz w:val="26"/>
          <w:szCs w:val="26"/>
        </w:rPr>
      </w:pPr>
      <w:r w:rsidRPr="003C1625">
        <w:rPr>
          <w:b/>
          <w:sz w:val="26"/>
          <w:szCs w:val="26"/>
        </w:rPr>
        <w:t xml:space="preserve">TÌNH HÌNH KINH TẾ THÁNG </w:t>
      </w:r>
      <w:r w:rsidR="00633266">
        <w:rPr>
          <w:b/>
          <w:sz w:val="26"/>
          <w:szCs w:val="26"/>
        </w:rPr>
        <w:t>8</w:t>
      </w:r>
      <w:r w:rsidR="00D63CF0" w:rsidRPr="003C1625">
        <w:rPr>
          <w:b/>
          <w:sz w:val="26"/>
          <w:szCs w:val="26"/>
        </w:rPr>
        <w:t xml:space="preserve"> VÀ </w:t>
      </w:r>
      <w:r w:rsidR="00633266">
        <w:rPr>
          <w:b/>
          <w:sz w:val="26"/>
          <w:szCs w:val="26"/>
        </w:rPr>
        <w:t>8</w:t>
      </w:r>
      <w:r w:rsidRPr="003C1625">
        <w:rPr>
          <w:b/>
          <w:sz w:val="26"/>
          <w:szCs w:val="26"/>
        </w:rPr>
        <w:t xml:space="preserve"> THÁNG ĐẦU NĂM 2015</w:t>
      </w:r>
    </w:p>
    <w:p w:rsidR="00F22114" w:rsidRPr="003C1625" w:rsidRDefault="00F22114" w:rsidP="00910F80">
      <w:pPr>
        <w:pStyle w:val="Footer"/>
        <w:spacing w:before="120" w:line="288" w:lineRule="auto"/>
        <w:ind w:firstLine="0"/>
        <w:jc w:val="center"/>
        <w:rPr>
          <w:i/>
          <w:sz w:val="26"/>
          <w:szCs w:val="26"/>
        </w:rPr>
      </w:pPr>
      <w:r w:rsidRPr="003C1625">
        <w:rPr>
          <w:i/>
          <w:sz w:val="26"/>
          <w:szCs w:val="26"/>
          <w:lang w:val="vi-VN"/>
        </w:rPr>
        <w:t xml:space="preserve">(Tài liệu phục vụ </w:t>
      </w:r>
      <w:r w:rsidRPr="003C1625">
        <w:rPr>
          <w:i/>
          <w:sz w:val="26"/>
          <w:szCs w:val="26"/>
        </w:rPr>
        <w:t>phiên họp</w:t>
      </w:r>
      <w:r w:rsidR="00D63CF0" w:rsidRPr="003C1625">
        <w:rPr>
          <w:i/>
          <w:sz w:val="26"/>
          <w:szCs w:val="26"/>
        </w:rPr>
        <w:t xml:space="preserve"> Chính phủ tháng </w:t>
      </w:r>
      <w:r w:rsidR="00E41DE0">
        <w:rPr>
          <w:i/>
          <w:sz w:val="26"/>
          <w:szCs w:val="26"/>
        </w:rPr>
        <w:t>8</w:t>
      </w:r>
      <w:r w:rsidRPr="003C1625">
        <w:rPr>
          <w:i/>
          <w:sz w:val="26"/>
          <w:szCs w:val="26"/>
        </w:rPr>
        <w:t>/2015</w:t>
      </w:r>
      <w:r w:rsidRPr="003C1625">
        <w:rPr>
          <w:i/>
          <w:sz w:val="26"/>
          <w:szCs w:val="26"/>
          <w:lang w:val="vi-VN"/>
        </w:rPr>
        <w:t>)</w:t>
      </w:r>
    </w:p>
    <w:p w:rsidR="00900767" w:rsidRPr="00CC1FDE" w:rsidRDefault="00900767" w:rsidP="00910F80">
      <w:pPr>
        <w:pStyle w:val="Footer"/>
        <w:spacing w:before="120" w:line="288" w:lineRule="auto"/>
        <w:ind w:firstLine="0"/>
        <w:jc w:val="center"/>
        <w:rPr>
          <w:i/>
          <w:sz w:val="46"/>
          <w:szCs w:val="26"/>
        </w:rPr>
      </w:pPr>
    </w:p>
    <w:p w:rsidR="00E41DE0" w:rsidRPr="00E41DE0" w:rsidRDefault="00CC1FDE" w:rsidP="00CC1FDE">
      <w:pPr>
        <w:pStyle w:val="ListParagraph"/>
        <w:numPr>
          <w:ilvl w:val="0"/>
          <w:numId w:val="27"/>
        </w:numPr>
        <w:spacing w:before="240" w:line="288" w:lineRule="auto"/>
        <w:ind w:left="1134" w:hanging="425"/>
        <w:contextualSpacing w:val="0"/>
        <w:rPr>
          <w:i/>
          <w:sz w:val="26"/>
          <w:szCs w:val="26"/>
        </w:rPr>
      </w:pPr>
      <w:r>
        <w:rPr>
          <w:i/>
          <w:sz w:val="26"/>
          <w:szCs w:val="26"/>
        </w:rPr>
        <w:t>Trong khi tăng trưởng của các nền kinh tế phát triển tích cực (nhất là Mỹ và Châu Âu) thì các nước BRICS lại đang phải đối mặt với hàng loạt khó khăn.</w:t>
      </w:r>
    </w:p>
    <w:p w:rsidR="00E41DE0" w:rsidRPr="00E41DE0" w:rsidRDefault="00CC1FDE" w:rsidP="00CC1FDE">
      <w:pPr>
        <w:pStyle w:val="ListParagraph"/>
        <w:numPr>
          <w:ilvl w:val="0"/>
          <w:numId w:val="27"/>
        </w:numPr>
        <w:spacing w:before="240" w:line="288" w:lineRule="auto"/>
        <w:ind w:left="1134" w:hanging="425"/>
        <w:contextualSpacing w:val="0"/>
        <w:rPr>
          <w:i/>
          <w:sz w:val="26"/>
          <w:szCs w:val="26"/>
        </w:rPr>
      </w:pPr>
      <w:r>
        <w:rPr>
          <w:i/>
          <w:sz w:val="26"/>
          <w:szCs w:val="26"/>
        </w:rPr>
        <w:t>Trước</w:t>
      </w:r>
      <w:r w:rsidR="00E41DE0" w:rsidRPr="00E41DE0">
        <w:rPr>
          <w:i/>
          <w:sz w:val="26"/>
          <w:szCs w:val="26"/>
        </w:rPr>
        <w:t xml:space="preserve"> việc NDT </w:t>
      </w:r>
      <w:r>
        <w:rPr>
          <w:i/>
          <w:sz w:val="26"/>
          <w:szCs w:val="26"/>
        </w:rPr>
        <w:t>mất giá, NHNN đã chủ động điều chỉnh biên độ và tỷ giá bình quân liên ngân hàng. Sự điều chỉnh này</w:t>
      </w:r>
      <w:r w:rsidR="00E41DE0" w:rsidRPr="00E41DE0">
        <w:rPr>
          <w:i/>
          <w:sz w:val="26"/>
          <w:szCs w:val="26"/>
        </w:rPr>
        <w:t xml:space="preserve"> là kịp thời với liều lượng hợp lý, vừa duy trì lợi thế cạnh tranh của hàng Việt Nam đối với Trung Quốc cũng như các nước trong khu vực, vừa không ảnh hưởng đến mục tiêu kiểm soát lạm phát. </w:t>
      </w:r>
    </w:p>
    <w:p w:rsidR="00E41DE0" w:rsidRPr="00E41DE0" w:rsidRDefault="00E41DE0" w:rsidP="00CC1FDE">
      <w:pPr>
        <w:pStyle w:val="ListParagraph"/>
        <w:numPr>
          <w:ilvl w:val="0"/>
          <w:numId w:val="27"/>
        </w:numPr>
        <w:spacing w:before="240" w:line="288" w:lineRule="auto"/>
        <w:ind w:left="1134" w:hanging="425"/>
        <w:contextualSpacing w:val="0"/>
        <w:rPr>
          <w:i/>
          <w:sz w:val="26"/>
          <w:szCs w:val="26"/>
        </w:rPr>
      </w:pPr>
      <w:r w:rsidRPr="00E41DE0">
        <w:rPr>
          <w:i/>
          <w:sz w:val="26"/>
          <w:szCs w:val="26"/>
        </w:rPr>
        <w:t xml:space="preserve">Khu vực ngân hàng ổn định thanh khoản, tăng trưởng tốt, trích lập DPRR tăng. Thị trường chứng khoán suy giảm nhưng có cơ sở để phục hồi. </w:t>
      </w:r>
    </w:p>
    <w:p w:rsidR="00E41DE0" w:rsidRPr="00E41DE0" w:rsidRDefault="00E41DE0" w:rsidP="00CC1FDE">
      <w:pPr>
        <w:pStyle w:val="ListParagraph"/>
        <w:numPr>
          <w:ilvl w:val="0"/>
          <w:numId w:val="27"/>
        </w:numPr>
        <w:spacing w:before="240" w:line="288" w:lineRule="auto"/>
        <w:ind w:left="1134" w:hanging="425"/>
        <w:contextualSpacing w:val="0"/>
        <w:rPr>
          <w:i/>
          <w:sz w:val="26"/>
          <w:szCs w:val="26"/>
        </w:rPr>
      </w:pPr>
      <w:r w:rsidRPr="00E41DE0">
        <w:rPr>
          <w:i/>
          <w:sz w:val="26"/>
          <w:szCs w:val="26"/>
        </w:rPr>
        <w:t xml:space="preserve">Nền kinh tế còn một số khó khăn như thu NSNN chậm hơn so với kế hoạch, phát hành TPCP khó đạt kế hoạch đề ra. </w:t>
      </w:r>
    </w:p>
    <w:p w:rsidR="00D13B1D" w:rsidRPr="00E41DE0" w:rsidRDefault="00D13B1D" w:rsidP="00CC1FDE">
      <w:pPr>
        <w:pStyle w:val="Footer"/>
        <w:spacing w:before="120" w:line="288" w:lineRule="auto"/>
        <w:ind w:firstLine="0"/>
        <w:rPr>
          <w:i/>
          <w:sz w:val="26"/>
          <w:szCs w:val="26"/>
        </w:rPr>
      </w:pPr>
    </w:p>
    <w:p w:rsidR="00F7112F" w:rsidRPr="00E41DE0" w:rsidRDefault="00F7112F" w:rsidP="00910F80">
      <w:pPr>
        <w:pStyle w:val="Footer"/>
        <w:spacing w:before="120" w:line="288" w:lineRule="auto"/>
        <w:ind w:firstLine="0"/>
        <w:rPr>
          <w:i/>
          <w:sz w:val="26"/>
          <w:szCs w:val="26"/>
        </w:rPr>
      </w:pPr>
    </w:p>
    <w:p w:rsidR="00F22114" w:rsidRPr="00E41DE0" w:rsidRDefault="00F22114" w:rsidP="00910F80">
      <w:pPr>
        <w:spacing w:after="200" w:line="288" w:lineRule="auto"/>
        <w:ind w:firstLine="0"/>
        <w:jc w:val="left"/>
        <w:rPr>
          <w:b/>
          <w:sz w:val="26"/>
          <w:szCs w:val="26"/>
        </w:rPr>
      </w:pPr>
      <w:r w:rsidRPr="00E41DE0">
        <w:rPr>
          <w:b/>
          <w:sz w:val="26"/>
          <w:szCs w:val="26"/>
        </w:rPr>
        <w:br w:type="page"/>
      </w:r>
    </w:p>
    <w:p w:rsidR="005926AC" w:rsidRPr="003C1625" w:rsidRDefault="005926AC" w:rsidP="00910F80">
      <w:pPr>
        <w:pStyle w:val="Footer"/>
        <w:numPr>
          <w:ilvl w:val="0"/>
          <w:numId w:val="12"/>
        </w:numPr>
        <w:tabs>
          <w:tab w:val="left" w:pos="284"/>
          <w:tab w:val="left" w:pos="567"/>
        </w:tabs>
        <w:spacing w:before="120" w:line="288" w:lineRule="auto"/>
        <w:ind w:hanging="1080"/>
        <w:rPr>
          <w:b/>
          <w:sz w:val="26"/>
          <w:szCs w:val="26"/>
        </w:rPr>
      </w:pPr>
      <w:r w:rsidRPr="003C1625">
        <w:rPr>
          <w:b/>
          <w:sz w:val="26"/>
          <w:szCs w:val="26"/>
        </w:rPr>
        <w:lastRenderedPageBreak/>
        <w:t>KINH TẾ THẾ GIỚI</w:t>
      </w:r>
    </w:p>
    <w:p w:rsidR="00633266" w:rsidRPr="00633266" w:rsidRDefault="00633266" w:rsidP="00633266">
      <w:pPr>
        <w:spacing w:line="288" w:lineRule="auto"/>
        <w:rPr>
          <w:sz w:val="26"/>
          <w:szCs w:val="26"/>
        </w:rPr>
      </w:pPr>
      <w:r w:rsidRPr="00633266">
        <w:rPr>
          <w:sz w:val="26"/>
          <w:szCs w:val="26"/>
        </w:rPr>
        <w:t xml:space="preserve">Trong khi những rủi ro kinh tế vĩ mô (suy thoái, giảm phát, vấn đề Hy Lạp…) tại Mỹ, Châu Âu có phần giảm nhẹ thì các vấn đề về tài chính như biến động tỷ giá, giá dầu thấp, dòng vốn </w:t>
      </w:r>
      <w:r>
        <w:rPr>
          <w:sz w:val="26"/>
          <w:szCs w:val="26"/>
        </w:rPr>
        <w:t>đổi chiều</w:t>
      </w:r>
      <w:r w:rsidRPr="00633266">
        <w:rPr>
          <w:sz w:val="26"/>
          <w:szCs w:val="26"/>
        </w:rPr>
        <w:t xml:space="preserve">, thị trường chứng khoán sụt giảm… </w:t>
      </w:r>
      <w:r>
        <w:rPr>
          <w:sz w:val="26"/>
          <w:szCs w:val="26"/>
        </w:rPr>
        <w:t>làm tăng</w:t>
      </w:r>
      <w:r w:rsidRPr="00633266">
        <w:rPr>
          <w:sz w:val="26"/>
          <w:szCs w:val="26"/>
        </w:rPr>
        <w:t xml:space="preserve"> rủi ro cho các nền kinh tế mới nổi.</w:t>
      </w:r>
    </w:p>
    <w:p w:rsidR="00633266" w:rsidRDefault="00633266" w:rsidP="00633266">
      <w:pPr>
        <w:spacing w:line="288" w:lineRule="auto"/>
        <w:rPr>
          <w:b/>
          <w:sz w:val="26"/>
          <w:szCs w:val="26"/>
        </w:rPr>
      </w:pPr>
      <w:r w:rsidRPr="00633266">
        <w:rPr>
          <w:b/>
          <w:sz w:val="26"/>
          <w:szCs w:val="26"/>
        </w:rPr>
        <w:t xml:space="preserve">1. </w:t>
      </w:r>
      <w:r w:rsidR="005A60CE">
        <w:rPr>
          <w:b/>
          <w:szCs w:val="26"/>
        </w:rPr>
        <w:t>Về t</w:t>
      </w:r>
      <w:r w:rsidRPr="00633266">
        <w:rPr>
          <w:b/>
          <w:szCs w:val="26"/>
        </w:rPr>
        <w:t>ăng trưởng kinh tế</w:t>
      </w:r>
    </w:p>
    <w:p w:rsidR="005A60CE" w:rsidRPr="005A60CE" w:rsidRDefault="005A60CE" w:rsidP="00633266">
      <w:pPr>
        <w:spacing w:line="288" w:lineRule="auto"/>
        <w:rPr>
          <w:b/>
          <w:i/>
          <w:sz w:val="26"/>
          <w:szCs w:val="26"/>
        </w:rPr>
      </w:pPr>
      <w:r w:rsidRPr="005A60CE">
        <w:rPr>
          <w:b/>
          <w:i/>
          <w:sz w:val="26"/>
          <w:szCs w:val="26"/>
        </w:rPr>
        <w:t>1.1 Tăng trưởng của các nền kinh tế phát triển tích cực nhất là Mỹ và Châu Âu</w:t>
      </w:r>
    </w:p>
    <w:p w:rsidR="00633266" w:rsidRPr="00633266" w:rsidRDefault="00633266" w:rsidP="00633266">
      <w:pPr>
        <w:spacing w:line="288" w:lineRule="auto"/>
        <w:rPr>
          <w:color w:val="000000"/>
          <w:sz w:val="26"/>
          <w:szCs w:val="26"/>
        </w:rPr>
      </w:pPr>
      <w:r w:rsidRPr="00633266">
        <w:rPr>
          <w:b/>
          <w:i/>
          <w:sz w:val="26"/>
          <w:szCs w:val="26"/>
        </w:rPr>
        <w:t>Mỹ,</w:t>
      </w:r>
      <w:r w:rsidR="005A60CE">
        <w:rPr>
          <w:sz w:val="26"/>
          <w:szCs w:val="26"/>
        </w:rPr>
        <w:t>t</w:t>
      </w:r>
      <w:r w:rsidRPr="00633266">
        <w:rPr>
          <w:sz w:val="26"/>
          <w:szCs w:val="26"/>
        </w:rPr>
        <w:t xml:space="preserve">ăng trưởng </w:t>
      </w:r>
      <w:r w:rsidRPr="00633266">
        <w:rPr>
          <w:color w:val="000000"/>
          <w:sz w:val="26"/>
          <w:szCs w:val="26"/>
          <w:shd w:val="clear" w:color="auto" w:fill="FFFFFF"/>
        </w:rPr>
        <w:t>GDP quý II đạt 2,</w:t>
      </w:r>
      <w:r w:rsidR="00A939CA">
        <w:rPr>
          <w:color w:val="000000"/>
          <w:sz w:val="26"/>
          <w:szCs w:val="26"/>
          <w:shd w:val="clear" w:color="auto" w:fill="FFFFFF"/>
        </w:rPr>
        <w:t>7</w:t>
      </w:r>
      <w:r w:rsidRPr="00633266">
        <w:rPr>
          <w:color w:val="000000"/>
          <w:sz w:val="26"/>
          <w:szCs w:val="26"/>
          <w:shd w:val="clear" w:color="auto" w:fill="FFFFFF"/>
        </w:rPr>
        <w:t>% (</w:t>
      </w:r>
      <w:r w:rsidR="005A60CE">
        <w:rPr>
          <w:color w:val="000000"/>
          <w:sz w:val="26"/>
          <w:szCs w:val="26"/>
          <w:shd w:val="clear" w:color="auto" w:fill="FFFFFF"/>
        </w:rPr>
        <w:t>so với mức</w:t>
      </w:r>
      <w:r w:rsidR="00A939CA">
        <w:rPr>
          <w:color w:val="000000"/>
          <w:sz w:val="26"/>
          <w:szCs w:val="26"/>
          <w:shd w:val="clear" w:color="auto" w:fill="FFFFFF"/>
        </w:rPr>
        <w:t>2</w:t>
      </w:r>
      <w:r w:rsidRPr="00633266">
        <w:rPr>
          <w:color w:val="000000"/>
          <w:sz w:val="26"/>
          <w:szCs w:val="26"/>
          <w:shd w:val="clear" w:color="auto" w:fill="FFFFFF"/>
        </w:rPr>
        <w:t xml:space="preserve">,6% </w:t>
      </w:r>
      <w:r w:rsidR="00A939CA">
        <w:rPr>
          <w:color w:val="000000"/>
          <w:sz w:val="26"/>
          <w:szCs w:val="26"/>
          <w:shd w:val="clear" w:color="auto" w:fill="FFFFFF"/>
        </w:rPr>
        <w:t>cùng kỳ 2014</w:t>
      </w:r>
      <w:r w:rsidRPr="00633266">
        <w:rPr>
          <w:color w:val="000000"/>
          <w:sz w:val="26"/>
          <w:szCs w:val="26"/>
          <w:shd w:val="clear" w:color="auto" w:fill="FFFFFF"/>
        </w:rPr>
        <w:t xml:space="preserve">); tỷ lệ thất nghiệp </w:t>
      </w:r>
      <w:r w:rsidR="005A60CE">
        <w:rPr>
          <w:color w:val="000000"/>
          <w:sz w:val="26"/>
          <w:szCs w:val="26"/>
          <w:shd w:val="clear" w:color="auto" w:fill="FFFFFF"/>
        </w:rPr>
        <w:t>giảm từ 5,5% xuống</w:t>
      </w:r>
      <w:r w:rsidRPr="00633266">
        <w:rPr>
          <w:color w:val="000000"/>
          <w:sz w:val="26"/>
          <w:szCs w:val="26"/>
          <w:shd w:val="clear" w:color="auto" w:fill="FFFFFF"/>
        </w:rPr>
        <w:t xml:space="preserve"> 5,3%</w:t>
      </w:r>
      <w:r w:rsidR="005A60CE">
        <w:rPr>
          <w:color w:val="000000"/>
          <w:sz w:val="26"/>
          <w:szCs w:val="26"/>
          <w:shd w:val="clear" w:color="auto" w:fill="FFFFFF"/>
        </w:rPr>
        <w:t xml:space="preserve"> trong tháng 6 và 7</w:t>
      </w:r>
      <w:r w:rsidRPr="00633266">
        <w:rPr>
          <w:color w:val="000000"/>
          <w:sz w:val="26"/>
          <w:szCs w:val="26"/>
          <w:shd w:val="clear" w:color="auto" w:fill="FFFFFF"/>
        </w:rPr>
        <w:t>; sản xuất công nghiệp</w:t>
      </w:r>
      <w:r w:rsidR="00A939CA">
        <w:rPr>
          <w:color w:val="000000"/>
          <w:sz w:val="26"/>
          <w:szCs w:val="26"/>
          <w:shd w:val="clear" w:color="auto" w:fill="FFFFFF"/>
        </w:rPr>
        <w:t xml:space="preserve"> tháng 7</w:t>
      </w:r>
      <w:r w:rsidRPr="00633266">
        <w:rPr>
          <w:color w:val="000000"/>
          <w:sz w:val="26"/>
          <w:szCs w:val="26"/>
          <w:shd w:val="clear" w:color="auto" w:fill="FFFFFF"/>
        </w:rPr>
        <w:t xml:space="preserve"> tăng 0,6% </w:t>
      </w:r>
      <w:r w:rsidR="00A939CA">
        <w:rPr>
          <w:color w:val="000000"/>
          <w:sz w:val="26"/>
          <w:szCs w:val="26"/>
          <w:shd w:val="clear" w:color="auto" w:fill="FFFFFF"/>
        </w:rPr>
        <w:t>(</w:t>
      </w:r>
      <w:r w:rsidRPr="00633266">
        <w:rPr>
          <w:color w:val="000000"/>
          <w:sz w:val="26"/>
          <w:szCs w:val="26"/>
          <w:shd w:val="clear" w:color="auto" w:fill="FFFFFF"/>
        </w:rPr>
        <w:t>so với mức 0,1% của tháng trước</w:t>
      </w:r>
      <w:r w:rsidR="00A939CA">
        <w:rPr>
          <w:color w:val="000000"/>
          <w:sz w:val="26"/>
          <w:szCs w:val="26"/>
          <w:shd w:val="clear" w:color="auto" w:fill="FFFFFF"/>
        </w:rPr>
        <w:t>)</w:t>
      </w:r>
      <w:r w:rsidRPr="00633266">
        <w:rPr>
          <w:color w:val="000000"/>
          <w:sz w:val="26"/>
          <w:szCs w:val="26"/>
          <w:shd w:val="clear" w:color="auto" w:fill="FFFFFF"/>
        </w:rPr>
        <w:t xml:space="preserve">, lạm phát </w:t>
      </w:r>
      <w:r w:rsidR="00A939CA">
        <w:rPr>
          <w:color w:val="000000"/>
          <w:sz w:val="26"/>
          <w:szCs w:val="26"/>
          <w:shd w:val="clear" w:color="auto" w:fill="FFFFFF"/>
        </w:rPr>
        <w:t>là</w:t>
      </w:r>
      <w:r w:rsidRPr="00633266">
        <w:rPr>
          <w:color w:val="000000"/>
          <w:sz w:val="26"/>
          <w:szCs w:val="26"/>
          <w:shd w:val="clear" w:color="auto" w:fill="FFFFFF"/>
        </w:rPr>
        <w:t xml:space="preserve"> 0,2%.</w:t>
      </w:r>
    </w:p>
    <w:p w:rsidR="00633266" w:rsidRPr="00633266" w:rsidRDefault="00633266" w:rsidP="00633266">
      <w:pPr>
        <w:spacing w:line="288" w:lineRule="auto"/>
        <w:rPr>
          <w:sz w:val="26"/>
          <w:szCs w:val="26"/>
        </w:rPr>
      </w:pPr>
      <w:r w:rsidRPr="00633266">
        <w:rPr>
          <w:b/>
          <w:i/>
          <w:sz w:val="26"/>
          <w:szCs w:val="26"/>
        </w:rPr>
        <w:t>Châu Âu,</w:t>
      </w:r>
      <w:r w:rsidR="005A60CE">
        <w:rPr>
          <w:sz w:val="26"/>
          <w:szCs w:val="26"/>
        </w:rPr>
        <w:t>tăng trưởng</w:t>
      </w:r>
      <w:r w:rsidRPr="00633266">
        <w:rPr>
          <w:sz w:val="26"/>
          <w:szCs w:val="26"/>
        </w:rPr>
        <w:t xml:space="preserve"> GDPquý II </w:t>
      </w:r>
      <w:r w:rsidR="005A60CE">
        <w:rPr>
          <w:sz w:val="26"/>
          <w:szCs w:val="26"/>
        </w:rPr>
        <w:t>đạt</w:t>
      </w:r>
      <w:r w:rsidRPr="00633266">
        <w:rPr>
          <w:sz w:val="26"/>
          <w:szCs w:val="26"/>
        </w:rPr>
        <w:t xml:space="preserve"> 1,2%</w:t>
      </w:r>
      <w:r w:rsidR="00A939CA">
        <w:rPr>
          <w:sz w:val="26"/>
          <w:szCs w:val="26"/>
        </w:rPr>
        <w:t xml:space="preserve"> (so với mức 0,8% cùng kỳ 2014)</w:t>
      </w:r>
      <w:r w:rsidRPr="00633266">
        <w:rPr>
          <w:sz w:val="26"/>
          <w:szCs w:val="26"/>
        </w:rPr>
        <w:t xml:space="preserve">, lạm phát tháng 7 </w:t>
      </w:r>
      <w:r w:rsidR="005A60CE">
        <w:rPr>
          <w:sz w:val="26"/>
          <w:szCs w:val="26"/>
        </w:rPr>
        <w:t>là</w:t>
      </w:r>
      <w:r w:rsidRPr="00633266">
        <w:rPr>
          <w:sz w:val="26"/>
          <w:szCs w:val="26"/>
        </w:rPr>
        <w:t xml:space="preserve"> 0,2% (mức lạm phát cao hơn 0% tháng thứ 3 liên tiếp). Do được hưởng lợi từ đồng euro yếu nên kim ngạch xuất khẩu của </w:t>
      </w:r>
      <w:r w:rsidRPr="00633266">
        <w:rPr>
          <w:szCs w:val="26"/>
        </w:rPr>
        <w:t>k</w:t>
      </w:r>
      <w:r w:rsidRPr="00633266">
        <w:rPr>
          <w:sz w:val="26"/>
          <w:szCs w:val="26"/>
        </w:rPr>
        <w:t>hu vực trong tháng 6 đạt 182,7 tỷ euro</w:t>
      </w:r>
      <w:r w:rsidRPr="00076EE4">
        <w:rPr>
          <w:rStyle w:val="FootnoteReference"/>
          <w:sz w:val="26"/>
          <w:szCs w:val="26"/>
        </w:rPr>
        <w:footnoteReference w:id="1"/>
      </w:r>
      <w:r w:rsidRPr="00633266">
        <w:rPr>
          <w:sz w:val="26"/>
          <w:szCs w:val="26"/>
        </w:rPr>
        <w:t>, tăng 12% so với cùng kỳ năm 2014, đưa thặng dư thương mại hàng hóa của khu vực lên 26,3 tỷ euro. Tuy nhiên, chỉ số PMI tháng 8 và tỷ lệ thất nghiệp tr</w:t>
      </w:r>
      <w:r w:rsidRPr="00633266">
        <w:rPr>
          <w:szCs w:val="26"/>
        </w:rPr>
        <w:t>o</w:t>
      </w:r>
      <w:r w:rsidRPr="00633266">
        <w:rPr>
          <w:sz w:val="26"/>
          <w:szCs w:val="26"/>
        </w:rPr>
        <w:t>ng tháng 6</w:t>
      </w:r>
      <w:r w:rsidRPr="00633266">
        <w:rPr>
          <w:szCs w:val="26"/>
        </w:rPr>
        <w:t xml:space="preserve"> vẫn</w:t>
      </w:r>
      <w:r w:rsidRPr="00633266">
        <w:rPr>
          <w:sz w:val="26"/>
          <w:szCs w:val="26"/>
        </w:rPr>
        <w:t xml:space="preserve"> giữ nguyên so với tháng trước lần lượt là 52,4 điểm và 11,1%. </w:t>
      </w:r>
    </w:p>
    <w:p w:rsidR="00633266" w:rsidRDefault="00633266" w:rsidP="00633266">
      <w:pPr>
        <w:spacing w:line="288" w:lineRule="auto"/>
        <w:rPr>
          <w:sz w:val="26"/>
          <w:szCs w:val="26"/>
        </w:rPr>
      </w:pPr>
      <w:r w:rsidRPr="00633266">
        <w:rPr>
          <w:b/>
          <w:i/>
          <w:sz w:val="26"/>
          <w:szCs w:val="26"/>
        </w:rPr>
        <w:t>Nhật Bản</w:t>
      </w:r>
      <w:r w:rsidRPr="00633266">
        <w:rPr>
          <w:sz w:val="26"/>
          <w:szCs w:val="26"/>
        </w:rPr>
        <w:t xml:space="preserve">, tăng trưởng GDP quý II </w:t>
      </w:r>
      <w:r w:rsidR="005A60CE">
        <w:rPr>
          <w:sz w:val="26"/>
          <w:szCs w:val="26"/>
        </w:rPr>
        <w:t>là âm</w:t>
      </w:r>
      <w:r w:rsidRPr="00633266">
        <w:rPr>
          <w:sz w:val="26"/>
          <w:szCs w:val="26"/>
        </w:rPr>
        <w:t xml:space="preserve"> 1,6%</w:t>
      </w:r>
      <w:r w:rsidRPr="00076EE4">
        <w:rPr>
          <w:rStyle w:val="FootnoteReference"/>
          <w:sz w:val="26"/>
          <w:szCs w:val="26"/>
        </w:rPr>
        <w:footnoteReference w:id="2"/>
      </w:r>
      <w:r w:rsidRPr="00633266">
        <w:rPr>
          <w:sz w:val="26"/>
          <w:szCs w:val="26"/>
        </w:rPr>
        <w:t xml:space="preserve"> do tiêu dùng giảm 0,8%</w:t>
      </w:r>
      <w:r w:rsidRPr="00633266">
        <w:rPr>
          <w:szCs w:val="26"/>
        </w:rPr>
        <w:t xml:space="preserve"> (</w:t>
      </w:r>
      <w:r w:rsidRPr="00633266">
        <w:rPr>
          <w:sz w:val="26"/>
          <w:szCs w:val="26"/>
        </w:rPr>
        <w:t>chiếm 60% GDP</w:t>
      </w:r>
      <w:r w:rsidRPr="00633266">
        <w:rPr>
          <w:szCs w:val="26"/>
        </w:rPr>
        <w:t>)</w:t>
      </w:r>
      <w:r w:rsidR="005A60CE">
        <w:rPr>
          <w:sz w:val="26"/>
          <w:szCs w:val="26"/>
        </w:rPr>
        <w:t>khi</w:t>
      </w:r>
      <w:r w:rsidRPr="00633266">
        <w:rPr>
          <w:sz w:val="26"/>
          <w:szCs w:val="26"/>
        </w:rPr>
        <w:t xml:space="preserve"> tiền lương tăng chậm, trong khi xuất khẩu giảm tới 4,4%. Chỉ số giá tiêu dùng tăng 0,4% trong tháng 6 </w:t>
      </w:r>
      <w:r w:rsidRPr="00633266">
        <w:rPr>
          <w:szCs w:val="26"/>
        </w:rPr>
        <w:t xml:space="preserve">- </w:t>
      </w:r>
      <w:r w:rsidRPr="00633266">
        <w:rPr>
          <w:sz w:val="26"/>
          <w:szCs w:val="26"/>
        </w:rPr>
        <w:t xml:space="preserve">tháng tăng thứ 2 liên tiếp. Tuy nhiên, chỉ số PMI tháng 8 ở mức 51,9 điểm tăng so với mức 51,2 điểm trong tháng 7. </w:t>
      </w:r>
    </w:p>
    <w:p w:rsidR="005A60CE" w:rsidRPr="005A60CE" w:rsidRDefault="005A60CE" w:rsidP="00633266">
      <w:pPr>
        <w:spacing w:line="288" w:lineRule="auto"/>
        <w:rPr>
          <w:b/>
          <w:i/>
          <w:sz w:val="26"/>
          <w:szCs w:val="26"/>
        </w:rPr>
      </w:pPr>
      <w:r w:rsidRPr="005A60CE">
        <w:rPr>
          <w:b/>
          <w:i/>
          <w:sz w:val="26"/>
          <w:szCs w:val="26"/>
        </w:rPr>
        <w:t>1.2 Tăng trưởng của các nước BRICS gặp khó khăn</w:t>
      </w:r>
    </w:p>
    <w:p w:rsidR="00633266" w:rsidRDefault="00633266" w:rsidP="00633266">
      <w:pPr>
        <w:spacing w:line="288" w:lineRule="auto"/>
        <w:rPr>
          <w:sz w:val="26"/>
          <w:szCs w:val="26"/>
        </w:rPr>
      </w:pPr>
      <w:r w:rsidRPr="00633266">
        <w:rPr>
          <w:b/>
          <w:i/>
          <w:sz w:val="26"/>
          <w:szCs w:val="26"/>
        </w:rPr>
        <w:t>Nga</w:t>
      </w:r>
      <w:r w:rsidRPr="00633266">
        <w:rPr>
          <w:sz w:val="26"/>
          <w:szCs w:val="26"/>
        </w:rPr>
        <w:t xml:space="preserve"> tiếp tục đối mặt với </w:t>
      </w:r>
      <w:r w:rsidR="003B3C43">
        <w:rPr>
          <w:sz w:val="26"/>
          <w:szCs w:val="26"/>
        </w:rPr>
        <w:t>nhiều thách thức</w:t>
      </w:r>
      <w:r w:rsidRPr="00633266">
        <w:rPr>
          <w:sz w:val="26"/>
          <w:szCs w:val="26"/>
        </w:rPr>
        <w:t xml:space="preserve"> khi giá dầu giảm sâu. Chính phủ nước này dự báo tăng trưởng năm </w:t>
      </w:r>
      <w:r w:rsidR="003B3C43">
        <w:rPr>
          <w:sz w:val="26"/>
          <w:szCs w:val="26"/>
        </w:rPr>
        <w:t>2015 là âm</w:t>
      </w:r>
      <w:r w:rsidRPr="00633266">
        <w:rPr>
          <w:sz w:val="26"/>
          <w:szCs w:val="26"/>
        </w:rPr>
        <w:t xml:space="preserve"> 2,8%. Thậm chí nếu giá dầu ở mức 40 USD/thùng thì tăng trưởng</w:t>
      </w:r>
      <w:r w:rsidR="003B3C43">
        <w:rPr>
          <w:sz w:val="26"/>
          <w:szCs w:val="26"/>
        </w:rPr>
        <w:t xml:space="preserve"> còn xuống tới</w:t>
      </w:r>
      <w:r w:rsidRPr="00633266">
        <w:rPr>
          <w:sz w:val="26"/>
          <w:szCs w:val="26"/>
        </w:rPr>
        <w:t xml:space="preserve"> âm 7%</w:t>
      </w:r>
      <w:r w:rsidRPr="00076EE4">
        <w:rPr>
          <w:rStyle w:val="FootnoteReference"/>
          <w:sz w:val="26"/>
          <w:szCs w:val="26"/>
        </w:rPr>
        <w:footnoteReference w:id="3"/>
      </w:r>
      <w:r w:rsidRPr="00633266">
        <w:rPr>
          <w:sz w:val="26"/>
          <w:szCs w:val="26"/>
        </w:rPr>
        <w:t xml:space="preserve">, </w:t>
      </w:r>
      <w:r w:rsidR="003B3C43">
        <w:rPr>
          <w:sz w:val="26"/>
          <w:szCs w:val="26"/>
        </w:rPr>
        <w:t>và</w:t>
      </w:r>
      <w:r w:rsidRPr="00633266">
        <w:rPr>
          <w:sz w:val="26"/>
          <w:szCs w:val="26"/>
        </w:rPr>
        <w:t xml:space="preserve"> khoảng 187 ngân hàng đối mặt với tình trạng thiếu hụt nguồn vốn, trong khi tỷ lệ nợ xấu sẽ tăng gấp đôi lên 17,7%. </w:t>
      </w:r>
      <w:r w:rsidR="003B3C43">
        <w:rPr>
          <w:sz w:val="26"/>
          <w:szCs w:val="26"/>
        </w:rPr>
        <w:t>Trong khi đó,</w:t>
      </w:r>
      <w:r w:rsidRPr="00633266">
        <w:rPr>
          <w:sz w:val="26"/>
          <w:szCs w:val="26"/>
        </w:rPr>
        <w:t xml:space="preserve"> lạm phát tháng 7 tăng nhẹ ở mức 15,8% (tháng 6 là 15,3%), đồng Rupe giảm giá 18% so với USD trong tháng 7</w:t>
      </w:r>
      <w:r w:rsidR="003B3C43">
        <w:rPr>
          <w:sz w:val="26"/>
          <w:szCs w:val="26"/>
        </w:rPr>
        <w:t>.</w:t>
      </w:r>
      <w:r w:rsidRPr="00633266">
        <w:rPr>
          <w:sz w:val="26"/>
          <w:szCs w:val="26"/>
        </w:rPr>
        <w:t xml:space="preserve"> N</w:t>
      </w:r>
      <w:r w:rsidR="003B3C43">
        <w:rPr>
          <w:sz w:val="26"/>
          <w:szCs w:val="26"/>
        </w:rPr>
        <w:t xml:space="preserve">HTW Nga đã lần thứ 5 trong năm 2015 </w:t>
      </w:r>
      <w:r w:rsidRPr="00633266">
        <w:rPr>
          <w:sz w:val="26"/>
          <w:szCs w:val="26"/>
        </w:rPr>
        <w:t xml:space="preserve">hạ lãi suất cơ bản từ mức 11,5% xuống còn 11%. </w:t>
      </w:r>
    </w:p>
    <w:p w:rsidR="003B3C43" w:rsidRPr="003B3C43" w:rsidRDefault="003B3C43" w:rsidP="003B3C43">
      <w:pPr>
        <w:spacing w:line="288" w:lineRule="auto"/>
        <w:rPr>
          <w:sz w:val="26"/>
          <w:szCs w:val="26"/>
        </w:rPr>
      </w:pPr>
      <w:r w:rsidRPr="003B3C43">
        <w:rPr>
          <w:b/>
          <w:i/>
          <w:sz w:val="26"/>
          <w:szCs w:val="26"/>
        </w:rPr>
        <w:t>Brazil,</w:t>
      </w:r>
      <w:r w:rsidRPr="003B3C43">
        <w:rPr>
          <w:sz w:val="26"/>
          <w:szCs w:val="26"/>
        </w:rPr>
        <w:t xml:space="preserve"> tăng trưởng quý I là -1,6%, là quý th</w:t>
      </w:r>
      <w:r>
        <w:rPr>
          <w:sz w:val="26"/>
          <w:szCs w:val="26"/>
        </w:rPr>
        <w:t>ứ 4 liên tiếp tăng trưởng âm. Trong khi đó, lạm phát tăng từ 7,2% trong tháng 1 lên 9,6% trong tháng 7. Nước này cũng đang phải đối mặt với vấn đề nợ công khi bang Rio Grande do Sul (bang lớn thứ 5) tuyên bố vỡ nợ.</w:t>
      </w:r>
    </w:p>
    <w:p w:rsidR="00633266" w:rsidRDefault="00633266" w:rsidP="00633266">
      <w:pPr>
        <w:spacing w:line="288" w:lineRule="auto"/>
        <w:rPr>
          <w:sz w:val="26"/>
          <w:szCs w:val="26"/>
        </w:rPr>
      </w:pPr>
      <w:r w:rsidRPr="003B3C43">
        <w:rPr>
          <w:b/>
          <w:i/>
          <w:sz w:val="26"/>
          <w:szCs w:val="26"/>
        </w:rPr>
        <w:lastRenderedPageBreak/>
        <w:t>Trung Quốc</w:t>
      </w:r>
      <w:r w:rsidRPr="003B3C43">
        <w:rPr>
          <w:sz w:val="26"/>
          <w:szCs w:val="26"/>
        </w:rPr>
        <w:t xml:space="preserve"> đang tăng trưởng chậm lại, xuất khẩu và nhu cầu nội địa cũng như đầu tư đều yếu: chỉ số PMI tháng 8 là 47,1 điểm thấp hơn mức 47,8 điểm trong tháng trước; giá trị gia tăng của công nghiệp trong tháng 7 tăng 6% so với cùng kỳ, (giảm so với mức 6,8% của tháng 6); doanh số bán lẻ tăng 10,5% so với cùng kỳ (thấp hơn mức 10,6% của tháng 6); xuất khẩu tháng 7 giảm 8,3% so với cùng kỳ. </w:t>
      </w:r>
      <w:r w:rsidRPr="00633266">
        <w:rPr>
          <w:sz w:val="26"/>
          <w:szCs w:val="26"/>
        </w:rPr>
        <w:t>Trong 7 tháng đầu năm 2015, đầu tư tài sản cố định tăng 11,2% so với năm 2014 (thấp hơn mức 11,4 % của 6 tháng đầu năm). Chính phủ Trung Quốc đã phải tung ra hàng loạt các biện pháp mạnh để kích cầu và ổn định thị trường như phá giá đồng nhân dân tệ; bơm tiền vào hệ thống tài chính với số lượng lớn</w:t>
      </w:r>
      <w:r w:rsidRPr="00076EE4">
        <w:rPr>
          <w:rStyle w:val="FootnoteReference"/>
          <w:sz w:val="26"/>
          <w:szCs w:val="26"/>
        </w:rPr>
        <w:footnoteReference w:id="4"/>
      </w:r>
      <w:r w:rsidRPr="00633266">
        <w:rPr>
          <w:sz w:val="26"/>
          <w:szCs w:val="26"/>
        </w:rPr>
        <w:t>, hạ lãi suất và giảm tỷ lệ dự trữ bắt buộc</w:t>
      </w:r>
      <w:r>
        <w:rPr>
          <w:rStyle w:val="FootnoteReference"/>
          <w:sz w:val="26"/>
          <w:szCs w:val="26"/>
        </w:rPr>
        <w:footnoteReference w:id="5"/>
      </w:r>
      <w:r w:rsidRPr="00633266">
        <w:rPr>
          <w:sz w:val="26"/>
          <w:szCs w:val="26"/>
        </w:rPr>
        <w:t>. Điều này đã đẩy chi tiêu ngân sách tăng cao, chi tiêu công của Trung Quốc trong 7 tháng đầu năm đã tăng lên mức 9 nghìn tỷ NDT, tăng 13,4% so với năm ngoái</w:t>
      </w:r>
      <w:r w:rsidRPr="00076EE4">
        <w:rPr>
          <w:rStyle w:val="FootnoteReference"/>
          <w:sz w:val="26"/>
          <w:szCs w:val="26"/>
        </w:rPr>
        <w:footnoteReference w:id="6"/>
      </w:r>
      <w:r w:rsidRPr="00633266">
        <w:rPr>
          <w:sz w:val="26"/>
          <w:szCs w:val="26"/>
        </w:rPr>
        <w:t>, nợ xấu trong quý I tăng lên mức kỷ lục 140 tỷ NDT (23 tỷ USD); dự trữ ngoại hối giảm 192 tỷ USD trong 7 tháng qua</w:t>
      </w:r>
      <w:r>
        <w:rPr>
          <w:rStyle w:val="FootnoteReference"/>
          <w:sz w:val="26"/>
          <w:szCs w:val="26"/>
        </w:rPr>
        <w:footnoteReference w:id="7"/>
      </w:r>
      <w:r w:rsidRPr="00633266">
        <w:rPr>
          <w:sz w:val="26"/>
          <w:szCs w:val="26"/>
        </w:rPr>
        <w:t>.</w:t>
      </w:r>
      <w:r w:rsidR="00806CE6">
        <w:rPr>
          <w:sz w:val="26"/>
          <w:szCs w:val="26"/>
        </w:rPr>
        <w:t xml:space="preserve"> Dự báo tăng trưởng GDP của Trung Quốc tiếp tục giảm trong 2 quý cuối năm, xuống 6,7% và 6,6%</w:t>
      </w:r>
      <w:r w:rsidR="00806CE6">
        <w:rPr>
          <w:rStyle w:val="FootnoteReference"/>
          <w:sz w:val="26"/>
          <w:szCs w:val="26"/>
        </w:rPr>
        <w:footnoteReference w:id="8"/>
      </w:r>
      <w:r w:rsidR="00806CE6">
        <w:rPr>
          <w:sz w:val="26"/>
          <w:szCs w:val="26"/>
        </w:rPr>
        <w:t>.</w:t>
      </w:r>
    </w:p>
    <w:p w:rsidR="00633266" w:rsidRPr="00633266" w:rsidRDefault="00633266" w:rsidP="00633266">
      <w:pPr>
        <w:spacing w:line="288" w:lineRule="auto"/>
        <w:rPr>
          <w:b/>
          <w:sz w:val="26"/>
          <w:szCs w:val="26"/>
        </w:rPr>
      </w:pPr>
      <w:r w:rsidRPr="00633266">
        <w:rPr>
          <w:b/>
          <w:sz w:val="26"/>
          <w:szCs w:val="26"/>
        </w:rPr>
        <w:t>2.</w:t>
      </w:r>
      <w:r w:rsidR="00180502">
        <w:rPr>
          <w:b/>
          <w:sz w:val="26"/>
          <w:szCs w:val="26"/>
        </w:rPr>
        <w:t xml:space="preserve"> Về t</w:t>
      </w:r>
      <w:r w:rsidRPr="00633266">
        <w:rPr>
          <w:b/>
          <w:sz w:val="26"/>
          <w:szCs w:val="26"/>
        </w:rPr>
        <w:t>hị trường tài chính</w:t>
      </w:r>
      <w:r w:rsidR="00180502">
        <w:rPr>
          <w:b/>
          <w:sz w:val="26"/>
          <w:szCs w:val="26"/>
        </w:rPr>
        <w:t xml:space="preserve"> tiền tệ và hàng hóa</w:t>
      </w:r>
    </w:p>
    <w:p w:rsidR="00AF592A" w:rsidRPr="00AF592A" w:rsidRDefault="00AF592A" w:rsidP="00AF592A">
      <w:pPr>
        <w:spacing w:line="288" w:lineRule="auto"/>
        <w:rPr>
          <w:sz w:val="26"/>
          <w:szCs w:val="26"/>
        </w:rPr>
      </w:pPr>
      <w:r w:rsidRPr="00AF592A">
        <w:rPr>
          <w:sz w:val="26"/>
          <w:szCs w:val="26"/>
        </w:rPr>
        <w:t>Thị trường tài chính quốc tế đã hứng chịu một cơn chấn động lớn sau khi NHTW Trung Quốc phá giá NDT. Thị trường tiếp tục diễn biến phức tạp khi có nhiều thông tin trái chiều nhận định về tình hình cũng như dự báo kinh tế Trung Quốc.</w:t>
      </w:r>
    </w:p>
    <w:p w:rsidR="00180502" w:rsidRPr="00633266" w:rsidRDefault="00180502" w:rsidP="00180502">
      <w:pPr>
        <w:spacing w:line="288" w:lineRule="auto"/>
        <w:rPr>
          <w:sz w:val="26"/>
          <w:szCs w:val="26"/>
        </w:rPr>
      </w:pPr>
      <w:r>
        <w:rPr>
          <w:sz w:val="26"/>
          <w:szCs w:val="26"/>
        </w:rPr>
        <w:t xml:space="preserve">Đồng NDT </w:t>
      </w:r>
      <w:r w:rsidR="00DC7D3D">
        <w:rPr>
          <w:sz w:val="26"/>
          <w:szCs w:val="26"/>
        </w:rPr>
        <w:t>(theo giá thị trường) mất</w:t>
      </w:r>
      <w:r>
        <w:rPr>
          <w:sz w:val="26"/>
          <w:szCs w:val="26"/>
        </w:rPr>
        <w:t xml:space="preserve"> giá 2,9% trong tuần thứ 2 tháng 8</w:t>
      </w:r>
      <w:r w:rsidR="00DC7D3D">
        <w:rPr>
          <w:rStyle w:val="FootnoteReference"/>
          <w:sz w:val="26"/>
          <w:szCs w:val="26"/>
        </w:rPr>
        <w:footnoteReference w:id="9"/>
      </w:r>
      <w:r>
        <w:rPr>
          <w:sz w:val="26"/>
          <w:szCs w:val="26"/>
        </w:rPr>
        <w:t>, cao hơn mức mất giá 2,4% của cả năm 2014. Việc mất giá NDT đã dẫn đến đồng tiền 8 nước châu Á (</w:t>
      </w:r>
      <w:r w:rsidR="00A66309" w:rsidRPr="00A66309">
        <w:rPr>
          <w:sz w:val="26"/>
          <w:szCs w:val="26"/>
        </w:rPr>
        <w:t>Hàn Quốc, Đài Loan, Ấn Độ, Singapore, Phillipine, Malaysia, Thái Lan và Indonesia</w:t>
      </w:r>
      <w:r>
        <w:rPr>
          <w:sz w:val="26"/>
          <w:szCs w:val="26"/>
        </w:rPr>
        <w:t>) mất giá trung bình 1,7% ngay trong tuần thứ 2 và 1,2% trong tuần tiếp theo (tổng cộng là 2,9%). Tuy nhiên, đồng Euro và Yên Nhật vẫn giữ ổn định.</w:t>
      </w:r>
    </w:p>
    <w:p w:rsidR="00633266" w:rsidRPr="00AF592A" w:rsidRDefault="00EB191D" w:rsidP="00AF592A">
      <w:pPr>
        <w:spacing w:line="288" w:lineRule="auto"/>
        <w:rPr>
          <w:sz w:val="26"/>
          <w:szCs w:val="26"/>
          <w:shd w:val="clear" w:color="auto" w:fill="FFFFFF"/>
        </w:rPr>
      </w:pPr>
      <w:r w:rsidRPr="00AF592A">
        <w:rPr>
          <w:sz w:val="26"/>
          <w:szCs w:val="26"/>
        </w:rPr>
        <w:t xml:space="preserve">TTCK Trung Quốc </w:t>
      </w:r>
      <w:r w:rsidR="00A612D1" w:rsidRPr="00AF592A">
        <w:rPr>
          <w:sz w:val="26"/>
          <w:szCs w:val="26"/>
        </w:rPr>
        <w:t>lao dốc</w:t>
      </w:r>
      <w:r w:rsidRPr="00AF592A">
        <w:rPr>
          <w:sz w:val="26"/>
          <w:szCs w:val="26"/>
        </w:rPr>
        <w:t>, cho tới ngày 26/08/2015, TTCK mất 43,3% kể từ khi đạt đỉnh vào ngày 12/06/2015</w:t>
      </w:r>
      <w:r w:rsidR="00AF592A" w:rsidRPr="00AF592A">
        <w:rPr>
          <w:sz w:val="26"/>
          <w:szCs w:val="26"/>
        </w:rPr>
        <w:t>. Trong vòng hai tháng, giá trị thị trường của TTCK Trung Quốc sụt giảm 5.000 tỷ USD.</w:t>
      </w:r>
      <w:r w:rsidRPr="00AF592A">
        <w:rPr>
          <w:sz w:val="26"/>
          <w:szCs w:val="26"/>
        </w:rPr>
        <w:t xml:space="preserve"> Chỉ số MSCI các thị trường chứng khoán mới nổi đã giảm 17% </w:t>
      </w:r>
      <w:r w:rsidR="00DC7D3D" w:rsidRPr="00AF592A">
        <w:rPr>
          <w:sz w:val="26"/>
          <w:szCs w:val="26"/>
        </w:rPr>
        <w:t>so với đầu</w:t>
      </w:r>
      <w:r w:rsidRPr="00AF592A">
        <w:rPr>
          <w:sz w:val="26"/>
          <w:szCs w:val="26"/>
        </w:rPr>
        <w:t xml:space="preserve"> năm 2015 và 27% so với cùng kỳ năm ngoái.  Giới đầu tư quốc tế đang có xu hướng nhìn nhận sự suy giảm rất mạnh của các TTCK mới nổi trong thời gian gần </w:t>
      </w:r>
      <w:r w:rsidRPr="00AF592A">
        <w:rPr>
          <w:sz w:val="26"/>
          <w:szCs w:val="26"/>
        </w:rPr>
        <w:lastRenderedPageBreak/>
        <w:t>đây có sự tương đồng với cuộc khủng hoảng 1997 – 1998 và lo ngại những biến động và rủi ro hệ thống có thể còn tiềm ẩn trong tương lai gần. TTCK Mỹ điều chỉnh mạnh. Chỉ số Dow Jones và S&amp;P 500 đã điều chỉnh giảm hơn 10% từ mức cao nhất trong tháng 5 năm nay</w:t>
      </w:r>
      <w:r w:rsidR="00633266" w:rsidRPr="00AF592A">
        <w:rPr>
          <w:sz w:val="26"/>
          <w:szCs w:val="26"/>
          <w:shd w:val="clear" w:color="auto" w:fill="FFFFFF"/>
        </w:rPr>
        <w:t>; Nikkei 225 giảm 13,64%; Kospi giảm 8,23%</w:t>
      </w:r>
      <w:r w:rsidR="00806CE6" w:rsidRPr="00AF592A">
        <w:rPr>
          <w:sz w:val="26"/>
          <w:szCs w:val="26"/>
          <w:shd w:val="clear" w:color="auto" w:fill="FFFFFF"/>
        </w:rPr>
        <w:t>.</w:t>
      </w:r>
    </w:p>
    <w:p w:rsidR="00633266" w:rsidRPr="00633266" w:rsidRDefault="00633266" w:rsidP="00633266">
      <w:pPr>
        <w:spacing w:line="288" w:lineRule="auto"/>
        <w:rPr>
          <w:sz w:val="26"/>
          <w:szCs w:val="26"/>
        </w:rPr>
      </w:pPr>
      <w:r w:rsidRPr="00633266">
        <w:rPr>
          <w:sz w:val="26"/>
          <w:szCs w:val="26"/>
        </w:rPr>
        <w:t>Trước những bất ổn về tình hình tài chính, dòng vốn đầu tư chứng khoán đang có dấu hiệu chảy từ thị trường mới nổi sang châu Âu. Từ giữa tháng 7 đến giữa tháng 8, tổng số vốn chảy ra khỏi những thị trường mới nổi đã lên đến 17 tỷ USD, chiếm hơn 50% trên tổng số 29,4 tỷ USD vốn bị rút kể từ đầu năm nay</w:t>
      </w:r>
      <w:r w:rsidRPr="0038180B">
        <w:rPr>
          <w:rStyle w:val="FootnoteReference"/>
          <w:sz w:val="26"/>
          <w:szCs w:val="26"/>
        </w:rPr>
        <w:footnoteReference w:id="10"/>
      </w:r>
      <w:r w:rsidRPr="00633266">
        <w:rPr>
          <w:sz w:val="26"/>
          <w:szCs w:val="26"/>
        </w:rPr>
        <w:t>. Trong khi đó, chứng khoán Châu Âu đón nhận 83,5 tỷ USD chảy vào thị trường này. Dòng vốn bị rút ra khỏi Trung Quốc đã lên đến 190 tỷ USD trong 7 tuần qua khiến thanh khoản trên thị trường liên ngân hàng cạn kiệt và đẩy lãi suất Shibor tăng tổng cộng 30 điểm cơ bản trong 10 phiên giao dịch gần nhất, báo hiệu sự căng thẳng trên thị trường.</w:t>
      </w:r>
    </w:p>
    <w:p w:rsidR="00E829A7" w:rsidRPr="00E829A7" w:rsidRDefault="00E829A7" w:rsidP="00E829A7">
      <w:pPr>
        <w:spacing w:line="288" w:lineRule="auto"/>
        <w:rPr>
          <w:sz w:val="26"/>
          <w:szCs w:val="26"/>
        </w:rPr>
      </w:pPr>
      <w:r w:rsidRPr="00E829A7">
        <w:rPr>
          <w:sz w:val="26"/>
          <w:szCs w:val="26"/>
        </w:rPr>
        <w:t>Việc điều chỉnh tỷ giá NDT thực chất chỉ là ngòi nổ của quả bom “lòng tin” vốn dĩ đã lung lay từ lâu về nền kinh tế Trung Quốc. Thị trường quốc tế bao gồm cả các nhà đầu tư và các nhà kinh tế lâu nay vẫn ngờ vực về số liệu thống kê của Trung Quốc. Một số đánh giá cho rằng kinh tế Trung Quốc 6 tháng đầu năm chỉ tăng trưởng 6,2%-6,3% so với 7% Chính phủ công bố. Willem Buiter, kinh tế gia trưởng của Citigroup thậm chí còn đánh giá kinh tế Trung Quốc chỉ tăng trưởng khoảng 4%-5%. Nợ công của Chính phủ địa phương cũng được một số nguồn ước tính cao hơn tới 30%-35% so với số liệu chính thức. Chính vì vậy, thị trường đã phản ứng rất tiêu cực trước động thái điều chỉnh tỷ giá của NHTW Trung Quốc và e ngại Trung Quốc sẽ rơi vào khủng hoảng tài chính và suy thoái kinh tế. Những người theo quan điểm này dự báo NDT sẽ tiếp tục giảm giá mạnh.</w:t>
      </w:r>
    </w:p>
    <w:p w:rsidR="00E829A7" w:rsidRPr="00E829A7" w:rsidRDefault="00E829A7" w:rsidP="00E829A7">
      <w:pPr>
        <w:spacing w:line="288" w:lineRule="auto"/>
        <w:rPr>
          <w:sz w:val="26"/>
          <w:szCs w:val="26"/>
        </w:rPr>
      </w:pPr>
      <w:r w:rsidRPr="00E829A7">
        <w:rPr>
          <w:sz w:val="26"/>
          <w:szCs w:val="26"/>
        </w:rPr>
        <w:t>Bên cạnh đó, cũng có quan điểm cho rằng kinh tế Trung Quốc tuy chậm lại đáng kể nhưng vẫn còn khá vững chắc và dự trữ của Trung Quốc còn rất lớn đủ sức để đối phó với biến động trên thị trường, chưa thể rơi vào khủng hoảng. Hơn nữa Chính phủ và NHTW Trung Quốc phải tính tới nhu cầu ổn định thị trường tài chính Trung Quốc (tránh để xảy ra tình trạng vốn tháo chạy quá lớn khỏi Trung Quốc) cũng như nhu cầu ổn định thị trường tài chính toàn cầu. Bởi vậy, NHTW Trung Quốc sẽ không phá giá NDT nhiều hơn nữa. Các nhà đầu tư trên thị trường thời gian qua có thể đã phản ứng thái quá, đẩy thị trường trượt dốc quá mạnh. Quan điểm này cho rằng thị trường dự báo sẽ ổn định trở lại về mặt kỹ thuật và sẽ khó có thể giảm sâu hơn nữa.</w:t>
      </w:r>
    </w:p>
    <w:p w:rsidR="00633266" w:rsidRPr="00633266" w:rsidRDefault="00633266" w:rsidP="00633266">
      <w:pPr>
        <w:spacing w:after="200" w:line="288" w:lineRule="auto"/>
        <w:rPr>
          <w:sz w:val="26"/>
          <w:szCs w:val="26"/>
        </w:rPr>
      </w:pPr>
      <w:r w:rsidRPr="00DC7D3D">
        <w:rPr>
          <w:bCs/>
          <w:i/>
          <w:sz w:val="26"/>
          <w:szCs w:val="26"/>
        </w:rPr>
        <w:t>Giá háng hóa giảm</w:t>
      </w:r>
      <w:r w:rsidRPr="00DC7D3D">
        <w:rPr>
          <w:bCs/>
          <w:sz w:val="26"/>
          <w:szCs w:val="26"/>
        </w:rPr>
        <w:t>,</w:t>
      </w:r>
      <w:r w:rsidRPr="00633266">
        <w:rPr>
          <w:bCs/>
          <w:sz w:val="26"/>
          <w:szCs w:val="26"/>
        </w:rPr>
        <w:t>Chỉ số Bloomberg Commodity theo dõi 22 loại hàng hóa giảm 1,6%</w:t>
      </w:r>
      <w:r w:rsidRPr="00633266">
        <w:rPr>
          <w:bCs/>
          <w:szCs w:val="26"/>
        </w:rPr>
        <w:t xml:space="preserve"> trong tháng 6 lần giảm đầu tiên trong 3 tháng gần đây</w:t>
      </w:r>
      <w:r w:rsidRPr="00633266">
        <w:rPr>
          <w:bCs/>
          <w:sz w:val="26"/>
          <w:szCs w:val="26"/>
        </w:rPr>
        <w:t xml:space="preserve">. Giá dầu đã giảm xuống mức 38,24 USD/thùng vào hôm 24/8 (kể từ 1/7 giá dầu giảm tới 41,16%), mức thấp nhất trong 6 năm rưỡi qua, khi các thành viên OPEC tăng mạnh sản lượng để bảo vệ thị phần, sản lượng dầu của Mỹ chưa chịu giảm, trong khi nền kinh tế Trung Quốc có nhiều dấu </w:t>
      </w:r>
      <w:r w:rsidRPr="00633266">
        <w:rPr>
          <w:bCs/>
          <w:sz w:val="26"/>
          <w:szCs w:val="26"/>
        </w:rPr>
        <w:lastRenderedPageBreak/>
        <w:t>hiệu bất ổn. Tuy nhiên, OPEC đã quyết định không giảm sản lượng,</w:t>
      </w:r>
      <w:r w:rsidRPr="00633266">
        <w:rPr>
          <w:sz w:val="26"/>
          <w:szCs w:val="26"/>
        </w:rPr>
        <w:t xml:space="preserve"> s</w:t>
      </w:r>
      <w:r w:rsidRPr="00633266">
        <w:rPr>
          <w:bCs/>
          <w:sz w:val="26"/>
          <w:szCs w:val="26"/>
        </w:rPr>
        <w:t xml:space="preserve">ản lượng dầu của khối trong tháng 7 ở mức 31,79 triệu thùng/ngày cao nhất nhiều năm qua khiến giá dầu cộng hưởng thêm yếu tố để lao dốc. </w:t>
      </w:r>
      <w:r w:rsidR="00DC7D3D">
        <w:rPr>
          <w:bCs/>
          <w:sz w:val="26"/>
          <w:szCs w:val="26"/>
        </w:rPr>
        <w:t>Theo dự báo của Cơ quan quản lý thông tin năng lượng Mỹ (EIA), giá dầu sẽ giữ xu hướng giảm đến tháng 10, trước khi tăng trở lại trong hai tháng cuối năm. Giá dầu WTI được cơ quan này dự báo cho cuối năm 2015 sẽ dao động tro</w:t>
      </w:r>
      <w:r w:rsidR="00D62843">
        <w:rPr>
          <w:bCs/>
          <w:sz w:val="26"/>
          <w:szCs w:val="26"/>
        </w:rPr>
        <w:t>n</w:t>
      </w:r>
      <w:r w:rsidR="00DC7D3D">
        <w:rPr>
          <w:bCs/>
          <w:sz w:val="26"/>
          <w:szCs w:val="26"/>
        </w:rPr>
        <w:t>g khoảng từ 32,4 đến 69,7 USD/thùng.</w:t>
      </w:r>
    </w:p>
    <w:p w:rsidR="00633266" w:rsidRDefault="00633266">
      <w:pPr>
        <w:spacing w:after="200" w:line="276" w:lineRule="auto"/>
        <w:ind w:firstLine="0"/>
        <w:jc w:val="left"/>
        <w:rPr>
          <w:sz w:val="26"/>
          <w:szCs w:val="26"/>
        </w:rPr>
      </w:pPr>
      <w:r>
        <w:rPr>
          <w:sz w:val="26"/>
          <w:szCs w:val="26"/>
        </w:rPr>
        <w:br w:type="page"/>
      </w:r>
    </w:p>
    <w:p w:rsidR="005926AC" w:rsidRPr="003C1625" w:rsidRDefault="005926AC" w:rsidP="00384661">
      <w:pPr>
        <w:pStyle w:val="Footer"/>
        <w:numPr>
          <w:ilvl w:val="0"/>
          <w:numId w:val="12"/>
        </w:numPr>
        <w:tabs>
          <w:tab w:val="left" w:pos="284"/>
          <w:tab w:val="left" w:pos="567"/>
        </w:tabs>
        <w:spacing w:before="120" w:line="288" w:lineRule="auto"/>
        <w:ind w:left="1077" w:hanging="1077"/>
        <w:rPr>
          <w:b/>
          <w:sz w:val="26"/>
          <w:szCs w:val="26"/>
        </w:rPr>
      </w:pPr>
      <w:r w:rsidRPr="003C1625">
        <w:rPr>
          <w:b/>
          <w:sz w:val="26"/>
          <w:szCs w:val="26"/>
        </w:rPr>
        <w:lastRenderedPageBreak/>
        <w:t>KINH TẾ VIỆT NAM</w:t>
      </w:r>
    </w:p>
    <w:p w:rsidR="00AE4F5D" w:rsidRDefault="001649AF" w:rsidP="00384661">
      <w:pPr>
        <w:spacing w:before="120" w:line="288" w:lineRule="auto"/>
        <w:ind w:firstLine="0"/>
        <w:jc w:val="left"/>
        <w:rPr>
          <w:b/>
          <w:sz w:val="26"/>
          <w:szCs w:val="26"/>
          <w:lang w:val="nl-NL"/>
        </w:rPr>
      </w:pPr>
      <w:r w:rsidRPr="003C1625">
        <w:rPr>
          <w:b/>
          <w:sz w:val="26"/>
          <w:szCs w:val="26"/>
          <w:lang w:val="nl-NL"/>
        </w:rPr>
        <w:t xml:space="preserve">1. </w:t>
      </w:r>
      <w:r w:rsidR="0055433C" w:rsidRPr="003C1625">
        <w:rPr>
          <w:b/>
          <w:sz w:val="26"/>
          <w:szCs w:val="26"/>
          <w:lang w:val="nl-NL"/>
        </w:rPr>
        <w:t>Tăng tr</w:t>
      </w:r>
      <w:r w:rsidR="003C1625" w:rsidRPr="003C1625">
        <w:rPr>
          <w:b/>
          <w:sz w:val="26"/>
          <w:szCs w:val="26"/>
          <w:lang w:val="nl-NL"/>
        </w:rPr>
        <w:t>ưở</w:t>
      </w:r>
      <w:r w:rsidR="0055433C" w:rsidRPr="003C1625">
        <w:rPr>
          <w:b/>
          <w:sz w:val="26"/>
          <w:szCs w:val="26"/>
          <w:lang w:val="nl-NL"/>
        </w:rPr>
        <w:t>ng tiếp tục đà hồi phục</w:t>
      </w:r>
    </w:p>
    <w:p w:rsidR="00384661" w:rsidRDefault="00384661" w:rsidP="00384661">
      <w:pPr>
        <w:spacing w:before="120" w:line="276" w:lineRule="auto"/>
        <w:ind w:firstLine="709"/>
        <w:rPr>
          <w:rFonts w:eastAsiaTheme="minorHAnsi"/>
          <w:spacing w:val="2"/>
          <w:sz w:val="26"/>
          <w:szCs w:val="26"/>
          <w:lang w:val="pl-PL"/>
        </w:rPr>
      </w:pPr>
      <w:r w:rsidRPr="000F3EAE">
        <w:rPr>
          <w:rFonts w:eastAsiaTheme="minorHAnsi"/>
          <w:i/>
          <w:spacing w:val="2"/>
          <w:sz w:val="26"/>
          <w:szCs w:val="26"/>
          <w:lang w:val="vi-VN"/>
        </w:rPr>
        <w:t xml:space="preserve">- </w:t>
      </w:r>
      <w:r w:rsidRPr="000407D7">
        <w:rPr>
          <w:rFonts w:eastAsiaTheme="minorHAnsi"/>
          <w:i/>
          <w:spacing w:val="2"/>
          <w:sz w:val="26"/>
          <w:szCs w:val="26"/>
          <w:lang w:val="nl-NL"/>
        </w:rPr>
        <w:t>K</w:t>
      </w:r>
      <w:r w:rsidRPr="000F3EAE">
        <w:rPr>
          <w:rFonts w:eastAsiaTheme="minorHAnsi"/>
          <w:i/>
          <w:spacing w:val="2"/>
          <w:sz w:val="26"/>
          <w:szCs w:val="26"/>
          <w:lang w:val="vi-VN"/>
        </w:rPr>
        <w:t>hu vực sản xuất</w:t>
      </w:r>
      <w:r w:rsidRPr="000407D7">
        <w:rPr>
          <w:rFonts w:eastAsiaTheme="minorHAnsi"/>
          <w:i/>
          <w:spacing w:val="2"/>
          <w:sz w:val="26"/>
          <w:szCs w:val="26"/>
          <w:lang w:val="nl-NL"/>
        </w:rPr>
        <w:t xml:space="preserve"> tăng khá</w:t>
      </w:r>
      <w:r w:rsidRPr="000F3EAE">
        <w:rPr>
          <w:rFonts w:eastAsiaTheme="minorHAnsi"/>
          <w:i/>
          <w:spacing w:val="2"/>
          <w:sz w:val="26"/>
          <w:szCs w:val="26"/>
          <w:lang w:val="vi-VN"/>
        </w:rPr>
        <w:t xml:space="preserve">, </w:t>
      </w:r>
      <w:r w:rsidRPr="00FD1F3F">
        <w:rPr>
          <w:rFonts w:eastAsiaTheme="minorHAnsi"/>
          <w:spacing w:val="2"/>
          <w:sz w:val="26"/>
          <w:szCs w:val="26"/>
          <w:lang w:val="vi-VN"/>
        </w:rPr>
        <w:t>nhất là công nghiệp chế biến, chế tạo.</w:t>
      </w:r>
      <w:r w:rsidRPr="000F3EAE">
        <w:rPr>
          <w:rFonts w:eastAsiaTheme="minorHAnsi"/>
          <w:spacing w:val="2"/>
          <w:sz w:val="26"/>
          <w:szCs w:val="26"/>
          <w:lang w:val="vi-VN"/>
        </w:rPr>
        <w:t xml:space="preserve"> Tính chung </w:t>
      </w:r>
      <w:r w:rsidRPr="005E65C3">
        <w:rPr>
          <w:rFonts w:eastAsiaTheme="minorHAnsi"/>
          <w:spacing w:val="2"/>
          <w:sz w:val="26"/>
          <w:szCs w:val="26"/>
          <w:lang w:val="vi-VN"/>
        </w:rPr>
        <w:t>8</w:t>
      </w:r>
      <w:r w:rsidRPr="000F3EAE">
        <w:rPr>
          <w:rFonts w:eastAsiaTheme="minorHAnsi"/>
          <w:spacing w:val="2"/>
          <w:sz w:val="26"/>
          <w:szCs w:val="26"/>
          <w:lang w:val="vi-VN"/>
        </w:rPr>
        <w:t xml:space="preserve"> tháng đầu năm, chỉ số sản xuất công nghiệp IIP ước tăng 9,9% (so với cùng kỳ 2014), </w:t>
      </w:r>
      <w:r w:rsidRPr="000F3EAE">
        <w:rPr>
          <w:rFonts w:eastAsiaTheme="minorHAnsi"/>
          <w:spacing w:val="2"/>
          <w:sz w:val="26"/>
          <w:szCs w:val="26"/>
          <w:lang w:val="pl-PL"/>
        </w:rPr>
        <w:t xml:space="preserve">cao hơn nhiều so </w:t>
      </w:r>
      <w:r>
        <w:rPr>
          <w:rFonts w:eastAsiaTheme="minorHAnsi"/>
          <w:spacing w:val="2"/>
          <w:sz w:val="26"/>
          <w:szCs w:val="26"/>
          <w:lang w:val="pl-PL"/>
        </w:rPr>
        <w:t xml:space="preserve">với mức 6,3% </w:t>
      </w:r>
      <w:r w:rsidRPr="000F3EAE">
        <w:rPr>
          <w:rFonts w:eastAsiaTheme="minorHAnsi"/>
          <w:spacing w:val="2"/>
          <w:sz w:val="26"/>
          <w:szCs w:val="26"/>
          <w:lang w:val="pl-PL"/>
        </w:rPr>
        <w:t>của cùng kỳ</w:t>
      </w:r>
      <w:r>
        <w:rPr>
          <w:rFonts w:eastAsiaTheme="minorHAnsi"/>
          <w:spacing w:val="2"/>
          <w:sz w:val="26"/>
          <w:szCs w:val="26"/>
          <w:lang w:val="pl-PL"/>
        </w:rPr>
        <w:t xml:space="preserve"> năm 2014</w:t>
      </w:r>
      <w:r w:rsidRPr="000F3EAE">
        <w:rPr>
          <w:rFonts w:eastAsiaTheme="minorHAnsi"/>
          <w:spacing w:val="2"/>
          <w:sz w:val="26"/>
          <w:szCs w:val="26"/>
          <w:lang w:val="pl-PL"/>
        </w:rPr>
        <w:t>. Trong đó IIP ngành công nghiệp chế biến chế tăng 10</w:t>
      </w:r>
      <w:r>
        <w:rPr>
          <w:rFonts w:eastAsiaTheme="minorHAnsi"/>
          <w:spacing w:val="2"/>
          <w:sz w:val="26"/>
          <w:szCs w:val="26"/>
          <w:lang w:val="pl-PL"/>
        </w:rPr>
        <w:t>,4</w:t>
      </w:r>
      <w:r w:rsidRPr="000F3EAE">
        <w:rPr>
          <w:rFonts w:eastAsiaTheme="minorHAnsi"/>
          <w:spacing w:val="2"/>
          <w:sz w:val="26"/>
          <w:szCs w:val="26"/>
          <w:lang w:val="pl-PL"/>
        </w:rPr>
        <w:t xml:space="preserve">% (cùng kỳ </w:t>
      </w:r>
      <w:r>
        <w:rPr>
          <w:rFonts w:eastAsiaTheme="minorHAnsi"/>
          <w:spacing w:val="2"/>
          <w:sz w:val="26"/>
          <w:szCs w:val="26"/>
          <w:lang w:val="pl-PL"/>
        </w:rPr>
        <w:t xml:space="preserve">năm </w:t>
      </w:r>
      <w:r w:rsidRPr="000F3EAE">
        <w:rPr>
          <w:rFonts w:eastAsiaTheme="minorHAnsi"/>
          <w:spacing w:val="2"/>
          <w:sz w:val="26"/>
          <w:szCs w:val="26"/>
          <w:lang w:val="pl-PL"/>
        </w:rPr>
        <w:t>2013</w:t>
      </w:r>
      <w:r>
        <w:rPr>
          <w:rFonts w:eastAsiaTheme="minorHAnsi"/>
          <w:spacing w:val="2"/>
          <w:sz w:val="26"/>
          <w:szCs w:val="26"/>
          <w:lang w:val="pl-PL"/>
        </w:rPr>
        <w:t xml:space="preserve">, 2014 lần lượt tăng 6,5% và </w:t>
      </w:r>
      <w:r w:rsidRPr="000F3EAE">
        <w:rPr>
          <w:rFonts w:eastAsiaTheme="minorHAnsi"/>
          <w:spacing w:val="2"/>
          <w:sz w:val="26"/>
          <w:szCs w:val="26"/>
          <w:lang w:val="pl-PL"/>
        </w:rPr>
        <w:t xml:space="preserve">8,1%). </w:t>
      </w:r>
      <w:r w:rsidRPr="005E65C3">
        <w:rPr>
          <w:rFonts w:eastAsiaTheme="minorHAnsi"/>
          <w:spacing w:val="2"/>
          <w:sz w:val="26"/>
          <w:szCs w:val="26"/>
          <w:lang w:val="pl-PL"/>
        </w:rPr>
        <w:t>Chỉ số PMI</w:t>
      </w:r>
      <w:r>
        <w:rPr>
          <w:rFonts w:eastAsiaTheme="minorHAnsi"/>
          <w:spacing w:val="2"/>
          <w:sz w:val="26"/>
          <w:szCs w:val="26"/>
          <w:lang w:val="pl-PL"/>
        </w:rPr>
        <w:t xml:space="preserve">tháng 7 đạt 52,6 điểm tăng nhẹ so với mức 52,2 điểm của tháng 6 và cao hơn mức 52,4 điểm -bình quần 6 tháng đầu năm. </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22"/>
        <w:gridCol w:w="48"/>
        <w:gridCol w:w="4677"/>
      </w:tblGrid>
      <w:tr w:rsidR="00384661" w:rsidTr="00384661">
        <w:tc>
          <w:tcPr>
            <w:tcW w:w="5022" w:type="dxa"/>
          </w:tcPr>
          <w:p w:rsidR="00384661" w:rsidRPr="00384661" w:rsidRDefault="00384661" w:rsidP="00384661">
            <w:pPr>
              <w:ind w:firstLine="0"/>
              <w:jc w:val="center"/>
              <w:rPr>
                <w:rFonts w:ascii="Times New Roman Bold" w:eastAsiaTheme="minorEastAsia" w:hAnsi="Times New Roman Bold"/>
                <w:b/>
                <w:spacing w:val="-4"/>
                <w:sz w:val="24"/>
                <w:szCs w:val="26"/>
                <w:lang w:val="pl-PL"/>
              </w:rPr>
            </w:pPr>
            <w:r w:rsidRPr="00384661">
              <w:rPr>
                <w:rFonts w:ascii="Times New Roman Bold" w:eastAsiaTheme="minorEastAsia" w:hAnsi="Times New Roman Bold"/>
                <w:b/>
                <w:spacing w:val="-4"/>
                <w:sz w:val="24"/>
                <w:szCs w:val="26"/>
                <w:lang w:val="pl-PL"/>
              </w:rPr>
              <w:t>Hình 1: IIP toàn ngành và công nghiệp chế biến chế tạo T8/2014-T8/2015 (%, so với cùng kỳ)</w:t>
            </w:r>
          </w:p>
          <w:p w:rsidR="00384661" w:rsidRPr="00511547" w:rsidRDefault="00384661" w:rsidP="00384661">
            <w:pPr>
              <w:ind w:firstLine="0"/>
              <w:jc w:val="center"/>
              <w:rPr>
                <w:rFonts w:eastAsiaTheme="minorEastAsia"/>
                <w:b/>
                <w:sz w:val="24"/>
                <w:szCs w:val="26"/>
                <w:lang w:val="pl-PL"/>
              </w:rPr>
            </w:pPr>
            <w:r w:rsidRPr="00511547">
              <w:rPr>
                <w:rFonts w:eastAsiaTheme="minorEastAsia"/>
                <w:b/>
                <w:noProof/>
                <w:sz w:val="24"/>
                <w:szCs w:val="26"/>
              </w:rPr>
              <w:drawing>
                <wp:inline distT="0" distB="0" distL="0" distR="0">
                  <wp:extent cx="2981739" cy="1304014"/>
                  <wp:effectExtent l="0" t="0" r="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84661" w:rsidRDefault="00384661" w:rsidP="00384661">
            <w:pPr>
              <w:spacing w:line="276" w:lineRule="auto"/>
              <w:ind w:firstLine="0"/>
              <w:jc w:val="right"/>
              <w:rPr>
                <w:rFonts w:eastAsiaTheme="minorHAnsi"/>
                <w:spacing w:val="2"/>
                <w:sz w:val="26"/>
                <w:szCs w:val="26"/>
                <w:lang w:val="pl-PL"/>
              </w:rPr>
            </w:pPr>
            <w:r w:rsidRPr="00894FC4">
              <w:rPr>
                <w:rFonts w:eastAsiaTheme="minorEastAsia"/>
                <w:i/>
                <w:sz w:val="24"/>
                <w:szCs w:val="26"/>
                <w:lang w:val="pl-PL"/>
              </w:rPr>
              <w:t xml:space="preserve">Nguồn: </w:t>
            </w:r>
            <w:r w:rsidRPr="00384661">
              <w:rPr>
                <w:rFonts w:eastAsiaTheme="minorEastAsia"/>
                <w:i/>
                <w:sz w:val="24"/>
                <w:szCs w:val="26"/>
                <w:lang w:val="pl-PL"/>
              </w:rPr>
              <w:t>TCTK</w:t>
            </w:r>
          </w:p>
        </w:tc>
        <w:tc>
          <w:tcPr>
            <w:tcW w:w="4725" w:type="dxa"/>
            <w:gridSpan w:val="2"/>
          </w:tcPr>
          <w:p w:rsidR="00384661" w:rsidRDefault="00384661" w:rsidP="00384661">
            <w:pPr>
              <w:spacing w:after="0"/>
              <w:ind w:firstLine="0"/>
              <w:jc w:val="center"/>
              <w:rPr>
                <w:b/>
                <w:sz w:val="24"/>
                <w:lang w:val="pl-PL"/>
              </w:rPr>
            </w:pPr>
            <w:r w:rsidRPr="00384661">
              <w:rPr>
                <w:b/>
                <w:sz w:val="24"/>
                <w:lang w:val="pl-PL"/>
              </w:rPr>
              <w:t>Hình</w:t>
            </w:r>
            <w:r>
              <w:rPr>
                <w:b/>
                <w:sz w:val="24"/>
                <w:lang w:val="pl-PL"/>
              </w:rPr>
              <w:t xml:space="preserve"> 2</w:t>
            </w:r>
            <w:r w:rsidRPr="00384661">
              <w:rPr>
                <w:b/>
                <w:sz w:val="24"/>
                <w:lang w:val="pl-PL"/>
              </w:rPr>
              <w:t xml:space="preserve">: chỉ số PMI </w:t>
            </w:r>
            <w:r>
              <w:rPr>
                <w:b/>
                <w:sz w:val="24"/>
                <w:lang w:val="pl-PL"/>
              </w:rPr>
              <w:t>T7/2014 – T7/2015</w:t>
            </w:r>
          </w:p>
          <w:p w:rsidR="00384661" w:rsidRPr="00384661" w:rsidRDefault="00384661" w:rsidP="00384661">
            <w:pPr>
              <w:spacing w:after="0"/>
              <w:jc w:val="center"/>
              <w:rPr>
                <w:b/>
                <w:sz w:val="24"/>
                <w:lang w:val="pl-PL"/>
              </w:rPr>
            </w:pPr>
          </w:p>
          <w:p w:rsidR="00384661" w:rsidRDefault="00384661" w:rsidP="00384661">
            <w:pPr>
              <w:spacing w:after="0"/>
              <w:ind w:left="80" w:firstLine="0"/>
              <w:jc w:val="center"/>
              <w:rPr>
                <w:rFonts w:eastAsiaTheme="minorEastAsia"/>
                <w:b/>
                <w:i/>
                <w:sz w:val="24"/>
                <w:lang w:val="pl-PL"/>
              </w:rPr>
            </w:pPr>
            <w:r w:rsidRPr="00384661">
              <w:rPr>
                <w:rFonts w:eastAsiaTheme="minorEastAsia"/>
                <w:b/>
                <w:i/>
                <w:noProof/>
                <w:sz w:val="24"/>
              </w:rPr>
              <w:drawing>
                <wp:inline distT="0" distB="0" distL="0" distR="0">
                  <wp:extent cx="2771858" cy="1383527"/>
                  <wp:effectExtent l="19050" t="0" r="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84661" w:rsidRPr="00384661" w:rsidRDefault="00384661" w:rsidP="00384661">
            <w:pPr>
              <w:spacing w:before="120" w:after="0"/>
              <w:jc w:val="right"/>
              <w:rPr>
                <w:rFonts w:eastAsiaTheme="minorEastAsia"/>
                <w:i/>
                <w:sz w:val="24"/>
                <w:lang w:val="pl-PL"/>
              </w:rPr>
            </w:pPr>
            <w:r w:rsidRPr="00384661">
              <w:rPr>
                <w:rFonts w:eastAsiaTheme="minorEastAsia"/>
                <w:i/>
                <w:sz w:val="24"/>
                <w:lang w:val="pl-PL"/>
              </w:rPr>
              <w:t>Nguồn: TCTK</w:t>
            </w:r>
          </w:p>
        </w:tc>
      </w:tr>
      <w:tr w:rsidR="001649AF" w:rsidRPr="00894FC4" w:rsidTr="00384661">
        <w:tblPrEx>
          <w:tblLook w:val="0480"/>
        </w:tblPrEx>
        <w:trPr>
          <w:trHeight w:val="60"/>
        </w:trPr>
        <w:tc>
          <w:tcPr>
            <w:tcW w:w="5070" w:type="dxa"/>
            <w:gridSpan w:val="2"/>
          </w:tcPr>
          <w:p w:rsidR="003D6CE7" w:rsidRPr="00384661" w:rsidRDefault="008E7F5E" w:rsidP="004B4900">
            <w:pPr>
              <w:spacing w:before="120" w:line="276" w:lineRule="auto"/>
              <w:ind w:firstLine="709"/>
              <w:rPr>
                <w:spacing w:val="-2"/>
                <w:sz w:val="26"/>
                <w:szCs w:val="26"/>
                <w:lang w:val="pl-PL"/>
              </w:rPr>
            </w:pPr>
            <w:r w:rsidRPr="00384661">
              <w:rPr>
                <w:spacing w:val="-2"/>
                <w:sz w:val="26"/>
                <w:szCs w:val="26"/>
                <w:lang w:val="nl-NL"/>
              </w:rPr>
              <w:t xml:space="preserve">- </w:t>
            </w:r>
            <w:r w:rsidRPr="00384661">
              <w:rPr>
                <w:i/>
                <w:spacing w:val="-2"/>
                <w:sz w:val="26"/>
                <w:szCs w:val="26"/>
                <w:lang w:val="pl-PL"/>
              </w:rPr>
              <w:t>Hoạt động xuất nhập khẩu tăng trưởng tốt</w:t>
            </w:r>
            <w:r w:rsidR="004B4900" w:rsidRPr="00384661">
              <w:rPr>
                <w:i/>
                <w:spacing w:val="-2"/>
                <w:sz w:val="26"/>
                <w:szCs w:val="26"/>
                <w:lang w:val="pl-PL"/>
              </w:rPr>
              <w:t xml:space="preserve"> giúp giảm tỷ lệ nhập siêu</w:t>
            </w:r>
            <w:r w:rsidRPr="00384661">
              <w:rPr>
                <w:i/>
                <w:spacing w:val="-2"/>
                <w:sz w:val="26"/>
                <w:szCs w:val="26"/>
                <w:lang w:val="pl-PL"/>
              </w:rPr>
              <w:t xml:space="preserve">; </w:t>
            </w:r>
            <w:r w:rsidRPr="00384661">
              <w:rPr>
                <w:spacing w:val="-2"/>
                <w:sz w:val="26"/>
                <w:szCs w:val="26"/>
                <w:lang w:val="pl-PL"/>
              </w:rPr>
              <w:t xml:space="preserve">nhập siêu so với kim ngạch xuất khẩu giảm so với </w:t>
            </w:r>
            <w:r w:rsidR="00C7293A">
              <w:rPr>
                <w:spacing w:val="-2"/>
                <w:sz w:val="26"/>
                <w:szCs w:val="26"/>
                <w:lang w:val="pl-PL"/>
              </w:rPr>
              <w:t>7</w:t>
            </w:r>
            <w:r w:rsidRPr="00384661">
              <w:rPr>
                <w:spacing w:val="-2"/>
                <w:sz w:val="26"/>
                <w:szCs w:val="26"/>
                <w:lang w:val="pl-PL"/>
              </w:rPr>
              <w:t xml:space="preserve"> tháng đầu năm.Tính chung </w:t>
            </w:r>
            <w:r w:rsidR="00C7293A">
              <w:rPr>
                <w:spacing w:val="-2"/>
                <w:sz w:val="26"/>
                <w:szCs w:val="26"/>
                <w:lang w:val="pl-PL"/>
              </w:rPr>
              <w:t>8</w:t>
            </w:r>
            <w:r w:rsidRPr="00384661">
              <w:rPr>
                <w:spacing w:val="-2"/>
                <w:sz w:val="26"/>
                <w:szCs w:val="26"/>
                <w:lang w:val="pl-PL"/>
              </w:rPr>
              <w:t xml:space="preserve"> tháng năm 2015, tổng kim ngạch xuất khẩu ước đạt </w:t>
            </w:r>
            <w:r w:rsidR="00C7293A">
              <w:rPr>
                <w:spacing w:val="-2"/>
                <w:sz w:val="26"/>
                <w:szCs w:val="26"/>
                <w:lang w:val="pl-PL"/>
              </w:rPr>
              <w:t>106</w:t>
            </w:r>
            <w:r w:rsidRPr="00384661">
              <w:rPr>
                <w:spacing w:val="-2"/>
                <w:sz w:val="26"/>
                <w:szCs w:val="26"/>
                <w:lang w:val="pl-PL"/>
              </w:rPr>
              <w:t xml:space="preserve">,3 tỷ USD, tăng </w:t>
            </w:r>
            <w:r w:rsidR="00C7293A">
              <w:rPr>
                <w:spacing w:val="-2"/>
                <w:sz w:val="26"/>
                <w:szCs w:val="26"/>
                <w:lang w:val="pl-PL"/>
              </w:rPr>
              <w:t>9</w:t>
            </w:r>
            <w:r w:rsidRPr="00384661">
              <w:rPr>
                <w:spacing w:val="-2"/>
                <w:sz w:val="26"/>
                <w:szCs w:val="26"/>
                <w:lang w:val="pl-PL"/>
              </w:rPr>
              <w:t>%</w:t>
            </w:r>
            <w:r w:rsidR="004B4900" w:rsidRPr="00384661">
              <w:rPr>
                <w:rStyle w:val="FootnoteReference"/>
                <w:spacing w:val="-2"/>
                <w:sz w:val="26"/>
                <w:szCs w:val="26"/>
                <w:lang w:val="pl-PL"/>
              </w:rPr>
              <w:footnoteReference w:id="11"/>
            </w:r>
            <w:r w:rsidR="00C7293A">
              <w:rPr>
                <w:spacing w:val="-2"/>
                <w:sz w:val="26"/>
                <w:szCs w:val="26"/>
                <w:lang w:val="pl-PL"/>
              </w:rPr>
              <w:t>; nhập siêu ước 3,6 tỷ USD, bằng 3,4</w:t>
            </w:r>
            <w:r w:rsidRPr="00384661">
              <w:rPr>
                <w:spacing w:val="-2"/>
                <w:sz w:val="26"/>
                <w:szCs w:val="26"/>
                <w:lang w:val="pl-PL"/>
              </w:rPr>
              <w:t xml:space="preserve">% </w:t>
            </w:r>
            <w:r w:rsidR="00C7293A">
              <w:rPr>
                <w:spacing w:val="-2"/>
                <w:sz w:val="26"/>
                <w:szCs w:val="26"/>
                <w:lang w:val="pl-PL"/>
              </w:rPr>
              <w:t>tổng kim ngạch xuất khẩu (giảm 0,2 điểm phần trăm so với 7</w:t>
            </w:r>
            <w:r w:rsidRPr="00384661">
              <w:rPr>
                <w:spacing w:val="-2"/>
                <w:sz w:val="26"/>
                <w:szCs w:val="26"/>
                <w:lang w:val="pl-PL"/>
              </w:rPr>
              <w:t xml:space="preserve"> tháng năm 2015</w:t>
            </w:r>
            <w:r w:rsidR="004B4900" w:rsidRPr="00384661">
              <w:rPr>
                <w:spacing w:val="-2"/>
                <w:sz w:val="26"/>
                <w:szCs w:val="26"/>
                <w:lang w:val="pl-PL"/>
              </w:rPr>
              <w:t xml:space="preserve"> và thấp hơn mục tiêu 5% do Quốc hội đề ra</w:t>
            </w:r>
            <w:r w:rsidRPr="00384661">
              <w:rPr>
                <w:spacing w:val="-2"/>
                <w:sz w:val="26"/>
                <w:szCs w:val="26"/>
                <w:lang w:val="pl-PL"/>
              </w:rPr>
              <w:t xml:space="preserve">). </w:t>
            </w:r>
          </w:p>
          <w:p w:rsidR="004B4900" w:rsidRPr="00E41DE0" w:rsidRDefault="004B4900" w:rsidP="004B4900">
            <w:pPr>
              <w:pStyle w:val="ListParagraph"/>
              <w:numPr>
                <w:ilvl w:val="0"/>
                <w:numId w:val="26"/>
              </w:numPr>
              <w:tabs>
                <w:tab w:val="left" w:pos="960"/>
              </w:tabs>
              <w:spacing w:line="276" w:lineRule="auto"/>
              <w:ind w:left="0" w:firstLine="720"/>
              <w:contextualSpacing w:val="0"/>
              <w:rPr>
                <w:i/>
                <w:sz w:val="26"/>
                <w:szCs w:val="26"/>
                <w:lang w:val="pl-PL"/>
              </w:rPr>
            </w:pPr>
            <w:r w:rsidRPr="004B4900">
              <w:rPr>
                <w:i/>
                <w:sz w:val="26"/>
                <w:szCs w:val="26"/>
                <w:lang w:val="pl-PL"/>
              </w:rPr>
              <w:t>Tình hình sản xuất kinh doanh khu vực doanh nghiệp tiếp tục đà cải thiện.</w:t>
            </w:r>
            <w:r w:rsidRPr="00E41DE0">
              <w:rPr>
                <w:sz w:val="26"/>
                <w:szCs w:val="26"/>
                <w:lang w:val="pl-PL"/>
              </w:rPr>
              <w:t>ROA và ROE của các công ty niêm yết tại SGD chứng khoán TP. Hồ Chí Minh trong 6 tháng đầu năm tăng so với cùng kỳ năm trước, với mức tăng tương ứng từ 0,93% lên 1,25% và 0,69% lên 8,18%.</w:t>
            </w:r>
          </w:p>
          <w:p w:rsidR="004B4900" w:rsidRPr="00384661" w:rsidRDefault="008E41CB" w:rsidP="008E41CB">
            <w:pPr>
              <w:spacing w:before="120" w:line="276" w:lineRule="auto"/>
              <w:ind w:firstLine="709"/>
              <w:rPr>
                <w:sz w:val="26"/>
                <w:szCs w:val="26"/>
                <w:lang w:val="pl-PL"/>
              </w:rPr>
            </w:pPr>
            <w:r>
              <w:rPr>
                <w:sz w:val="26"/>
                <w:szCs w:val="26"/>
                <w:lang w:val="pl-PL"/>
              </w:rPr>
              <w:t>Trong 8</w:t>
            </w:r>
            <w:r w:rsidR="004B4900" w:rsidRPr="00384661">
              <w:rPr>
                <w:sz w:val="26"/>
                <w:szCs w:val="26"/>
                <w:lang w:val="pl-PL"/>
              </w:rPr>
              <w:t xml:space="preserve"> tháng đầu năm, doanh nghiệp thành lập mới tăng </w:t>
            </w:r>
            <w:r>
              <w:rPr>
                <w:sz w:val="26"/>
                <w:szCs w:val="26"/>
                <w:lang w:val="pl-PL"/>
              </w:rPr>
              <w:t>29,2</w:t>
            </w:r>
            <w:r w:rsidR="004B4900" w:rsidRPr="00384661">
              <w:rPr>
                <w:sz w:val="26"/>
                <w:szCs w:val="26"/>
                <w:lang w:val="pl-PL"/>
              </w:rPr>
              <w:t xml:space="preserve">% về số lượng và </w:t>
            </w:r>
            <w:r>
              <w:rPr>
                <w:sz w:val="26"/>
                <w:szCs w:val="26"/>
                <w:lang w:val="pl-PL"/>
              </w:rPr>
              <w:t>29,9</w:t>
            </w:r>
            <w:r w:rsidR="004B4900" w:rsidRPr="00384661">
              <w:rPr>
                <w:sz w:val="26"/>
                <w:szCs w:val="26"/>
                <w:lang w:val="pl-PL"/>
              </w:rPr>
              <w:t xml:space="preserve">% về vốn so với cùng kỳ năm 2014. Trong khi đó, số doanh nghiệp hoàn tất thủ </w:t>
            </w:r>
            <w:r w:rsidR="004B4900" w:rsidRPr="00384661">
              <w:rPr>
                <w:sz w:val="26"/>
                <w:szCs w:val="26"/>
                <w:lang w:val="pl-PL"/>
              </w:rPr>
              <w:lastRenderedPageBreak/>
              <w:t xml:space="preserve">tục giải </w:t>
            </w:r>
            <w:r>
              <w:rPr>
                <w:sz w:val="26"/>
                <w:szCs w:val="26"/>
                <w:lang w:val="pl-PL"/>
              </w:rPr>
              <w:t>thể, chấm dứt hoạt động giảm 2,9</w:t>
            </w:r>
            <w:r w:rsidR="004B4900" w:rsidRPr="00384661">
              <w:rPr>
                <w:sz w:val="26"/>
                <w:szCs w:val="26"/>
                <w:lang w:val="pl-PL"/>
              </w:rPr>
              <w:t>% so với cùng kỳ năm 2014.</w:t>
            </w:r>
          </w:p>
        </w:tc>
        <w:tc>
          <w:tcPr>
            <w:tcW w:w="4677" w:type="dxa"/>
          </w:tcPr>
          <w:p w:rsidR="00055235" w:rsidRDefault="00894FC4" w:rsidP="00055235">
            <w:pPr>
              <w:spacing w:after="0"/>
              <w:ind w:left="80" w:firstLine="0"/>
              <w:jc w:val="center"/>
              <w:rPr>
                <w:rFonts w:eastAsiaTheme="minorEastAsia"/>
                <w:b/>
                <w:sz w:val="24"/>
                <w:szCs w:val="26"/>
                <w:lang w:val="pl-PL"/>
              </w:rPr>
            </w:pPr>
            <w:r w:rsidRPr="00894FC4">
              <w:rPr>
                <w:rFonts w:eastAsiaTheme="minorEastAsia"/>
                <w:b/>
                <w:sz w:val="24"/>
                <w:szCs w:val="26"/>
                <w:lang w:val="pl-PL"/>
              </w:rPr>
              <w:lastRenderedPageBreak/>
              <w:t>Hình</w:t>
            </w:r>
            <w:r w:rsidR="00384661">
              <w:rPr>
                <w:rFonts w:eastAsiaTheme="minorEastAsia"/>
                <w:b/>
                <w:sz w:val="24"/>
                <w:szCs w:val="26"/>
                <w:lang w:val="pl-PL"/>
              </w:rPr>
              <w:t>3</w:t>
            </w:r>
            <w:r w:rsidRPr="00894FC4">
              <w:rPr>
                <w:rFonts w:eastAsiaTheme="minorEastAsia"/>
                <w:b/>
                <w:sz w:val="24"/>
                <w:szCs w:val="26"/>
                <w:lang w:val="pl-PL"/>
              </w:rPr>
              <w:t xml:space="preserve">: Hoạt động xuất nhập khẩu </w:t>
            </w:r>
          </w:p>
          <w:p w:rsidR="00997047" w:rsidRDefault="00894FC4" w:rsidP="00384661">
            <w:pPr>
              <w:spacing w:after="0"/>
              <w:ind w:left="80" w:firstLine="0"/>
              <w:jc w:val="center"/>
              <w:rPr>
                <w:rFonts w:eastAsiaTheme="minorEastAsia"/>
                <w:b/>
                <w:sz w:val="24"/>
                <w:szCs w:val="26"/>
                <w:lang w:val="pl-PL"/>
              </w:rPr>
            </w:pPr>
            <w:r w:rsidRPr="00894FC4">
              <w:rPr>
                <w:rFonts w:eastAsiaTheme="minorEastAsia"/>
                <w:b/>
                <w:sz w:val="24"/>
                <w:szCs w:val="26"/>
                <w:lang w:val="pl-PL"/>
              </w:rPr>
              <w:t>7 tháng đầu năm 2015</w:t>
            </w:r>
          </w:p>
          <w:p w:rsidR="00894FC4" w:rsidRPr="00894FC4" w:rsidRDefault="00894FC4" w:rsidP="00894FC4">
            <w:pPr>
              <w:ind w:firstLine="0"/>
              <w:jc w:val="right"/>
              <w:rPr>
                <w:rFonts w:eastAsiaTheme="minorEastAsia"/>
                <w:i/>
                <w:sz w:val="24"/>
                <w:szCs w:val="26"/>
                <w:lang w:val="pl-PL"/>
              </w:rPr>
            </w:pPr>
            <w:r w:rsidRPr="00894FC4">
              <w:rPr>
                <w:rFonts w:eastAsiaTheme="minorEastAsia"/>
                <w:i/>
                <w:sz w:val="24"/>
                <w:szCs w:val="26"/>
                <w:lang w:val="pl-PL"/>
              </w:rPr>
              <w:t>Đơn vị: Tỷ USD</w:t>
            </w:r>
          </w:p>
          <w:p w:rsidR="00894FC4" w:rsidRDefault="00E94C85" w:rsidP="00894FC4">
            <w:pPr>
              <w:ind w:firstLine="0"/>
              <w:rPr>
                <w:rFonts w:eastAsiaTheme="minorEastAsia"/>
                <w:sz w:val="24"/>
                <w:szCs w:val="26"/>
                <w:lang w:val="pl-PL"/>
              </w:rPr>
            </w:pPr>
            <w:r w:rsidRPr="00E94C85">
              <w:rPr>
                <w:rFonts w:eastAsiaTheme="minorEastAsia"/>
                <w:noProof/>
                <w:sz w:val="24"/>
                <w:szCs w:val="26"/>
              </w:rPr>
              <w:drawing>
                <wp:inline distT="0" distB="0" distL="0" distR="0">
                  <wp:extent cx="2878372" cy="1399429"/>
                  <wp:effectExtent l="0" t="0" r="0" b="0"/>
                  <wp:docPr id="1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4900" w:rsidRDefault="00894FC4" w:rsidP="00384661">
            <w:pPr>
              <w:ind w:firstLine="0"/>
              <w:jc w:val="right"/>
              <w:rPr>
                <w:b/>
                <w:sz w:val="24"/>
                <w:lang w:val="pl-PL"/>
              </w:rPr>
            </w:pPr>
            <w:r>
              <w:rPr>
                <w:rFonts w:eastAsiaTheme="minorEastAsia"/>
                <w:sz w:val="24"/>
                <w:szCs w:val="26"/>
                <w:lang w:val="pl-PL"/>
              </w:rPr>
              <w:tab/>
            </w:r>
            <w:r w:rsidRPr="00894FC4">
              <w:rPr>
                <w:rFonts w:eastAsiaTheme="minorEastAsia"/>
                <w:i/>
                <w:sz w:val="24"/>
                <w:szCs w:val="26"/>
                <w:lang w:val="pl-PL"/>
              </w:rPr>
              <w:t xml:space="preserve">Nguồn: </w:t>
            </w:r>
            <w:r w:rsidR="00384661" w:rsidRPr="00384661">
              <w:rPr>
                <w:rFonts w:eastAsiaTheme="minorEastAsia"/>
                <w:i/>
                <w:sz w:val="24"/>
                <w:szCs w:val="26"/>
                <w:lang w:val="pl-PL"/>
              </w:rPr>
              <w:t>TCTK</w:t>
            </w:r>
          </w:p>
          <w:p w:rsidR="004B4900" w:rsidRPr="004B4900" w:rsidRDefault="004B4900" w:rsidP="004B4900">
            <w:pPr>
              <w:ind w:firstLine="0"/>
              <w:jc w:val="center"/>
              <w:rPr>
                <w:b/>
                <w:sz w:val="24"/>
                <w:lang w:val="pl-PL"/>
              </w:rPr>
            </w:pPr>
            <w:r w:rsidRPr="004B4900">
              <w:rPr>
                <w:b/>
                <w:sz w:val="24"/>
                <w:lang w:val="pl-PL"/>
              </w:rPr>
              <w:t xml:space="preserve">Hình </w:t>
            </w:r>
            <w:r w:rsidR="00384661">
              <w:rPr>
                <w:b/>
                <w:sz w:val="24"/>
                <w:lang w:val="pl-PL"/>
              </w:rPr>
              <w:t>4</w:t>
            </w:r>
            <w:r w:rsidRPr="004B4900">
              <w:rPr>
                <w:b/>
                <w:sz w:val="24"/>
                <w:lang w:val="pl-PL"/>
              </w:rPr>
              <w:t>: Số doanh nghiệp thành lập mới, phá sản, giải thể</w:t>
            </w:r>
          </w:p>
          <w:p w:rsidR="004B4900" w:rsidRPr="000C3CF8" w:rsidRDefault="008E41CB" w:rsidP="004B4900">
            <w:pPr>
              <w:ind w:firstLine="0"/>
              <w:jc w:val="center"/>
              <w:rPr>
                <w:sz w:val="24"/>
              </w:rPr>
            </w:pPr>
            <w:r w:rsidRPr="008E41CB">
              <w:rPr>
                <w:noProof/>
                <w:sz w:val="24"/>
              </w:rPr>
              <w:drawing>
                <wp:inline distT="0" distB="0" distL="0" distR="0">
                  <wp:extent cx="2703444" cy="1558456"/>
                  <wp:effectExtent l="0" t="0" r="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4FC4" w:rsidRPr="004B4900" w:rsidRDefault="004B4900" w:rsidP="00384661">
            <w:pPr>
              <w:ind w:firstLine="0"/>
              <w:jc w:val="right"/>
              <w:rPr>
                <w:i/>
                <w:sz w:val="24"/>
              </w:rPr>
            </w:pPr>
            <w:r w:rsidRPr="000C3CF8">
              <w:rPr>
                <w:i/>
                <w:sz w:val="24"/>
              </w:rPr>
              <w:t xml:space="preserve">Nguồn: </w:t>
            </w:r>
            <w:r w:rsidR="00384661">
              <w:rPr>
                <w:i/>
                <w:sz w:val="24"/>
              </w:rPr>
              <w:t>TCTK</w:t>
            </w:r>
          </w:p>
        </w:tc>
      </w:tr>
    </w:tbl>
    <w:p w:rsidR="001649AF" w:rsidRDefault="001649AF" w:rsidP="00910F80">
      <w:pPr>
        <w:spacing w:before="120" w:line="288" w:lineRule="auto"/>
        <w:ind w:firstLine="0"/>
        <w:rPr>
          <w:rFonts w:eastAsiaTheme="minorEastAsia"/>
          <w:b/>
          <w:sz w:val="26"/>
          <w:szCs w:val="26"/>
          <w:lang w:val="de-DE"/>
        </w:rPr>
      </w:pPr>
      <w:r w:rsidRPr="003C1625">
        <w:rPr>
          <w:rFonts w:eastAsiaTheme="minorEastAsia"/>
          <w:b/>
          <w:sz w:val="26"/>
          <w:szCs w:val="26"/>
          <w:lang w:val="pl-PL"/>
        </w:rPr>
        <w:lastRenderedPageBreak/>
        <w:t>2.</w:t>
      </w:r>
      <w:r w:rsidRPr="003C1625">
        <w:rPr>
          <w:rFonts w:eastAsiaTheme="minorEastAsia"/>
          <w:b/>
          <w:sz w:val="26"/>
          <w:szCs w:val="26"/>
          <w:lang w:val="de-DE"/>
        </w:rPr>
        <w:t>Tăng trưởng phục hồi khuyến khích tiêu dùng và đầu tư tư nhân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D73AA" w:rsidTr="00C91E93">
        <w:tc>
          <w:tcPr>
            <w:tcW w:w="4785" w:type="dxa"/>
          </w:tcPr>
          <w:p w:rsidR="004D73AA" w:rsidRPr="00991F7F" w:rsidRDefault="004D73AA" w:rsidP="00FD1F3F">
            <w:pPr>
              <w:spacing w:before="120" w:line="288" w:lineRule="auto"/>
              <w:ind w:firstLine="709"/>
              <w:rPr>
                <w:rFonts w:eastAsiaTheme="minorEastAsia"/>
                <w:sz w:val="26"/>
                <w:szCs w:val="26"/>
                <w:lang w:val="pl-PL"/>
              </w:rPr>
            </w:pPr>
            <w:r w:rsidRPr="00991F7F">
              <w:rPr>
                <w:rFonts w:eastAsiaTheme="minorEastAsia"/>
                <w:i/>
                <w:sz w:val="26"/>
                <w:szCs w:val="26"/>
                <w:lang w:val="pl-PL"/>
              </w:rPr>
              <w:t>- Tiêu dùng tăng trưởng tốt.</w:t>
            </w:r>
            <w:r w:rsidRPr="00991F7F">
              <w:rPr>
                <w:rFonts w:eastAsiaTheme="minorEastAsia"/>
                <w:sz w:val="26"/>
                <w:szCs w:val="26"/>
                <w:lang w:val="pl-PL"/>
              </w:rPr>
              <w:t xml:space="preserve"> Tổng mức bán lẻ hàng hóa và dịch vụ</w:t>
            </w:r>
            <w:r w:rsidR="005E65C3">
              <w:rPr>
                <w:rFonts w:eastAsiaTheme="minorEastAsia"/>
                <w:sz w:val="26"/>
                <w:szCs w:val="26"/>
                <w:lang w:val="pl-PL"/>
              </w:rPr>
              <w:t xml:space="preserve"> tiêu dùng 8</w:t>
            </w:r>
            <w:r w:rsidRPr="00991F7F">
              <w:rPr>
                <w:rFonts w:eastAsiaTheme="minorEastAsia"/>
                <w:sz w:val="26"/>
                <w:szCs w:val="26"/>
                <w:lang w:val="pl-PL"/>
              </w:rPr>
              <w:t xml:space="preserve"> tháng đầu năm 2015 ước tăng </w:t>
            </w:r>
            <w:r w:rsidR="005E65C3">
              <w:rPr>
                <w:rFonts w:eastAsiaTheme="minorEastAsia"/>
                <w:sz w:val="26"/>
                <w:szCs w:val="26"/>
                <w:lang w:val="pl-PL"/>
              </w:rPr>
              <w:t>10,1</w:t>
            </w:r>
            <w:r w:rsidRPr="00991F7F">
              <w:rPr>
                <w:rFonts w:eastAsiaTheme="minorEastAsia"/>
                <w:sz w:val="26"/>
                <w:szCs w:val="26"/>
                <w:lang w:val="pl-PL"/>
              </w:rPr>
              <w:t xml:space="preserve">%, nếu loại trừ yếu tố giá tăng </w:t>
            </w:r>
            <w:r w:rsidR="005E65C3">
              <w:rPr>
                <w:rFonts w:eastAsiaTheme="minorEastAsia"/>
                <w:sz w:val="26"/>
                <w:szCs w:val="26"/>
                <w:lang w:val="pl-PL"/>
              </w:rPr>
              <w:t>9,1</w:t>
            </w:r>
            <w:r w:rsidRPr="00991F7F">
              <w:rPr>
                <w:rFonts w:eastAsiaTheme="minorEastAsia"/>
                <w:sz w:val="26"/>
                <w:szCs w:val="26"/>
                <w:lang w:val="pl-PL"/>
              </w:rPr>
              <w:t>% (cùng kỳ năm trướ</w:t>
            </w:r>
            <w:r w:rsidR="005E65C3">
              <w:rPr>
                <w:rFonts w:eastAsiaTheme="minorEastAsia"/>
                <w:sz w:val="26"/>
                <w:szCs w:val="26"/>
                <w:lang w:val="pl-PL"/>
              </w:rPr>
              <w:t>c tăng 6,4</w:t>
            </w:r>
            <w:r w:rsidRPr="00991F7F">
              <w:rPr>
                <w:rFonts w:eastAsiaTheme="minorEastAsia"/>
                <w:sz w:val="26"/>
                <w:szCs w:val="26"/>
                <w:lang w:val="pl-PL"/>
              </w:rPr>
              <w:t xml:space="preserve">%), mức cao nhất so với cùng kỳ trong 5 năm gần đây. </w:t>
            </w:r>
          </w:p>
          <w:p w:rsidR="00FD1F3F" w:rsidRPr="00FD1F3F" w:rsidRDefault="00562652" w:rsidP="00FD1F3F">
            <w:pPr>
              <w:spacing w:before="240" w:after="240" w:line="288" w:lineRule="auto"/>
              <w:ind w:firstLine="567"/>
              <w:rPr>
                <w:rFonts w:eastAsiaTheme="minorEastAsia"/>
                <w:spacing w:val="4"/>
                <w:sz w:val="26"/>
                <w:szCs w:val="26"/>
                <w:lang w:val="pl-PL"/>
              </w:rPr>
            </w:pPr>
            <w:r w:rsidRPr="00FD1F3F">
              <w:rPr>
                <w:rFonts w:eastAsiaTheme="minorEastAsia"/>
                <w:i/>
                <w:spacing w:val="4"/>
                <w:sz w:val="26"/>
                <w:szCs w:val="26"/>
                <w:lang w:val="pl-PL"/>
              </w:rPr>
              <w:t xml:space="preserve">- So với cùng kỳ, 6 tháng năm 2015 đầu tư khu vực tư nhân tăng 11,4%, </w:t>
            </w:r>
            <w:r w:rsidRPr="00FD1F3F">
              <w:rPr>
                <w:rFonts w:eastAsiaTheme="minorEastAsia"/>
                <w:spacing w:val="4"/>
                <w:sz w:val="26"/>
                <w:szCs w:val="26"/>
                <w:lang w:val="pl-PL"/>
              </w:rPr>
              <w:t>là mức tăng cao nhất so với các khu vực còn lại của nền kinh tế. Tính đế</w:t>
            </w:r>
            <w:r w:rsidR="00F21F26" w:rsidRPr="00FD1F3F">
              <w:rPr>
                <w:rFonts w:eastAsiaTheme="minorEastAsia"/>
                <w:spacing w:val="4"/>
                <w:sz w:val="26"/>
                <w:szCs w:val="26"/>
                <w:lang w:val="pl-PL"/>
              </w:rPr>
              <w:t>n</w:t>
            </w:r>
            <w:r w:rsidR="00FD1F3F">
              <w:rPr>
                <w:rFonts w:eastAsiaTheme="minorEastAsia"/>
                <w:spacing w:val="4"/>
                <w:sz w:val="26"/>
                <w:szCs w:val="26"/>
                <w:lang w:val="pl-PL"/>
              </w:rPr>
              <w:t xml:space="preserve"> ngày</w:t>
            </w:r>
            <w:r w:rsidR="00562EB4">
              <w:rPr>
                <w:rFonts w:eastAsiaTheme="minorEastAsia"/>
                <w:spacing w:val="4"/>
                <w:sz w:val="26"/>
                <w:szCs w:val="26"/>
                <w:lang w:val="pl-PL"/>
              </w:rPr>
              <w:t>10/8</w:t>
            </w:r>
            <w:r w:rsidR="00F21F26" w:rsidRPr="00FD1F3F">
              <w:rPr>
                <w:rFonts w:eastAsiaTheme="minorEastAsia"/>
                <w:spacing w:val="4"/>
                <w:sz w:val="26"/>
                <w:szCs w:val="26"/>
                <w:lang w:val="pl-PL"/>
              </w:rPr>
              <w:t>, tín</w:t>
            </w:r>
            <w:r w:rsidRPr="00FD1F3F">
              <w:rPr>
                <w:rFonts w:eastAsiaTheme="minorEastAsia"/>
                <w:spacing w:val="4"/>
                <w:sz w:val="26"/>
                <w:szCs w:val="26"/>
                <w:lang w:val="pl-PL"/>
              </w:rPr>
              <w:t xml:space="preserve"> dụng đối với nền kinh tế ước tăng </w:t>
            </w:r>
            <w:r w:rsidR="00562EB4">
              <w:rPr>
                <w:rFonts w:eastAsiaTheme="minorEastAsia"/>
                <w:spacing w:val="4"/>
                <w:sz w:val="26"/>
                <w:szCs w:val="26"/>
                <w:lang w:val="pl-PL"/>
              </w:rPr>
              <w:t>8,3</w:t>
            </w:r>
            <w:r w:rsidRPr="00FD1F3F">
              <w:rPr>
                <w:rFonts w:eastAsiaTheme="minorEastAsia"/>
                <w:spacing w:val="4"/>
                <w:sz w:val="26"/>
                <w:szCs w:val="26"/>
                <w:lang w:val="pl-PL"/>
              </w:rPr>
              <w:t>% so với cuối năm 2014 (cùng kỳ</w:t>
            </w:r>
            <w:r w:rsidR="00562EB4">
              <w:rPr>
                <w:rFonts w:eastAsiaTheme="minorEastAsia"/>
                <w:spacing w:val="4"/>
                <w:sz w:val="26"/>
                <w:szCs w:val="26"/>
                <w:lang w:val="pl-PL"/>
              </w:rPr>
              <w:t xml:space="preserve"> 2014 tăng 3,7</w:t>
            </w:r>
            <w:r w:rsidRPr="00FD1F3F">
              <w:rPr>
                <w:rFonts w:eastAsiaTheme="minorEastAsia"/>
                <w:spacing w:val="4"/>
                <w:sz w:val="26"/>
                <w:szCs w:val="26"/>
                <w:lang w:val="pl-PL"/>
              </w:rPr>
              <w:t xml:space="preserve">%). </w:t>
            </w:r>
          </w:p>
          <w:p w:rsidR="00562652" w:rsidRPr="00FD1F3F" w:rsidRDefault="00FD1F3F" w:rsidP="00E819CB">
            <w:pPr>
              <w:spacing w:before="360" w:line="288" w:lineRule="auto"/>
              <w:ind w:firstLine="567"/>
              <w:rPr>
                <w:sz w:val="26"/>
                <w:szCs w:val="26"/>
                <w:lang w:val="sv-SE"/>
              </w:rPr>
            </w:pPr>
            <w:r w:rsidRPr="003C1625">
              <w:rPr>
                <w:i/>
                <w:sz w:val="26"/>
                <w:szCs w:val="26"/>
                <w:lang w:val="sv-SE"/>
              </w:rPr>
              <w:t>- Chỉ số niềm tin người tiêu dùng – CCI</w:t>
            </w:r>
            <w:r w:rsidR="00E063E0">
              <w:rPr>
                <w:sz w:val="26"/>
                <w:szCs w:val="26"/>
                <w:lang w:val="sv-SE"/>
              </w:rPr>
              <w:t xml:space="preserve"> do ANZ công</w:t>
            </w:r>
            <w:r w:rsidR="008E41CB">
              <w:rPr>
                <w:sz w:val="26"/>
                <w:szCs w:val="26"/>
                <w:lang w:val="sv-SE"/>
              </w:rPr>
              <w:t xml:space="preserve"> bố, tại T8</w:t>
            </w:r>
            <w:r w:rsidRPr="003C1625">
              <w:rPr>
                <w:sz w:val="26"/>
                <w:szCs w:val="26"/>
                <w:lang w:val="sv-SE"/>
              </w:rPr>
              <w:t xml:space="preserve">/2015 ở mức </w:t>
            </w:r>
            <w:r w:rsidR="008E41CB">
              <w:rPr>
                <w:sz w:val="26"/>
                <w:szCs w:val="26"/>
                <w:lang w:val="sv-SE"/>
              </w:rPr>
              <w:t>133,7</w:t>
            </w:r>
            <w:r w:rsidRPr="003C1625">
              <w:rPr>
                <w:sz w:val="26"/>
                <w:szCs w:val="26"/>
                <w:lang w:val="sv-SE"/>
              </w:rPr>
              <w:t xml:space="preserve"> điểm, giảm 4,</w:t>
            </w:r>
            <w:r w:rsidR="008E41CB">
              <w:rPr>
                <w:sz w:val="26"/>
                <w:szCs w:val="26"/>
                <w:lang w:val="sv-SE"/>
              </w:rPr>
              <w:t>9</w:t>
            </w:r>
            <w:r w:rsidRPr="003C1625">
              <w:rPr>
                <w:sz w:val="26"/>
                <w:szCs w:val="26"/>
                <w:lang w:val="sv-SE"/>
              </w:rPr>
              <w:t xml:space="preserve"> điểm so với tháng </w:t>
            </w:r>
            <w:r w:rsidRPr="008E41CB">
              <w:rPr>
                <w:sz w:val="26"/>
                <w:szCs w:val="26"/>
                <w:lang w:val="sv-SE"/>
              </w:rPr>
              <w:t>trước</w:t>
            </w:r>
            <w:r w:rsidR="008E41CB" w:rsidRPr="008E41CB">
              <w:rPr>
                <w:sz w:val="26"/>
                <w:szCs w:val="26"/>
                <w:lang w:val="sv-SE"/>
              </w:rPr>
              <w:t xml:space="preserve"> và 1,8 điểm so với cùng kỳ năm 2014. </w:t>
            </w:r>
            <w:r w:rsidR="00E063E0">
              <w:rPr>
                <w:sz w:val="26"/>
                <w:szCs w:val="26"/>
                <w:lang w:val="sv-SE"/>
              </w:rPr>
              <w:t>Niềm tin tiêu dùng sụt giảm do n</w:t>
            </w:r>
            <w:r w:rsidR="008E41CB" w:rsidRPr="008E41CB">
              <w:rPr>
                <w:sz w:val="26"/>
                <w:szCs w:val="26"/>
                <w:lang w:val="sv-SE"/>
              </w:rPr>
              <w:t xml:space="preserve">hững </w:t>
            </w:r>
            <w:r w:rsidR="00E819CB">
              <w:rPr>
                <w:sz w:val="26"/>
                <w:szCs w:val="26"/>
                <w:lang w:val="sv-SE"/>
              </w:rPr>
              <w:t xml:space="preserve">tác </w:t>
            </w:r>
            <w:r w:rsidR="008E41CB" w:rsidRPr="008E41CB">
              <w:rPr>
                <w:sz w:val="26"/>
                <w:szCs w:val="26"/>
                <w:lang w:val="sv-SE"/>
              </w:rPr>
              <w:t xml:space="preserve">động </w:t>
            </w:r>
            <w:r w:rsidR="00E819CB">
              <w:rPr>
                <w:sz w:val="26"/>
                <w:szCs w:val="26"/>
                <w:lang w:val="sv-SE"/>
              </w:rPr>
              <w:t>tiêu cực của</w:t>
            </w:r>
            <w:r w:rsidR="008E41CB" w:rsidRPr="008E41CB">
              <w:rPr>
                <w:sz w:val="26"/>
                <w:szCs w:val="26"/>
                <w:lang w:val="sv-SE"/>
              </w:rPr>
              <w:t xml:space="preserve">kinh tế </w:t>
            </w:r>
            <w:r w:rsidR="00E063E0">
              <w:rPr>
                <w:sz w:val="26"/>
                <w:szCs w:val="26"/>
                <w:lang w:val="sv-SE"/>
              </w:rPr>
              <w:t>thế giới trong thời gian qua</w:t>
            </w:r>
            <w:r w:rsidR="008E41CB" w:rsidRPr="008E41CB">
              <w:rPr>
                <w:sz w:val="26"/>
                <w:szCs w:val="26"/>
                <w:lang w:val="sv-SE"/>
              </w:rPr>
              <w:t>.</w:t>
            </w:r>
            <w:bookmarkStart w:id="0" w:name="_GoBack"/>
            <w:bookmarkEnd w:id="0"/>
          </w:p>
        </w:tc>
        <w:tc>
          <w:tcPr>
            <w:tcW w:w="4786" w:type="dxa"/>
          </w:tcPr>
          <w:p w:rsidR="004D73AA" w:rsidRPr="001649AF" w:rsidRDefault="004D73AA" w:rsidP="004D73AA">
            <w:pPr>
              <w:spacing w:before="120" w:line="288" w:lineRule="auto"/>
              <w:ind w:firstLine="0"/>
              <w:jc w:val="center"/>
              <w:rPr>
                <w:rFonts w:eastAsiaTheme="minorEastAsia"/>
                <w:b/>
                <w:sz w:val="24"/>
                <w:szCs w:val="26"/>
                <w:lang w:val="pl-PL"/>
              </w:rPr>
            </w:pPr>
            <w:r w:rsidRPr="001649AF">
              <w:rPr>
                <w:rFonts w:eastAsiaTheme="minorEastAsia"/>
                <w:b/>
                <w:sz w:val="24"/>
                <w:szCs w:val="26"/>
                <w:lang w:val="pl-PL"/>
              </w:rPr>
              <w:t xml:space="preserve">Hình </w:t>
            </w:r>
            <w:r w:rsidR="00384661">
              <w:rPr>
                <w:rFonts w:eastAsiaTheme="minorEastAsia"/>
                <w:b/>
                <w:sz w:val="24"/>
                <w:szCs w:val="26"/>
                <w:lang w:val="pl-PL"/>
              </w:rPr>
              <w:t>5</w:t>
            </w:r>
            <w:r w:rsidRPr="001649AF">
              <w:rPr>
                <w:rFonts w:eastAsiaTheme="minorEastAsia"/>
                <w:b/>
                <w:sz w:val="24"/>
                <w:szCs w:val="26"/>
                <w:lang w:val="pl-PL"/>
              </w:rPr>
              <w:t xml:space="preserve">: Bán lẻ hh và doanh thu dvtd </w:t>
            </w:r>
            <w:r w:rsidR="00511547">
              <w:rPr>
                <w:rFonts w:eastAsiaTheme="minorEastAsia"/>
                <w:b/>
                <w:sz w:val="24"/>
                <w:szCs w:val="26"/>
                <w:lang w:val="pl-PL"/>
              </w:rPr>
              <w:t>8</w:t>
            </w:r>
            <w:r w:rsidRPr="001649AF">
              <w:rPr>
                <w:rFonts w:eastAsiaTheme="minorEastAsia"/>
                <w:b/>
                <w:sz w:val="24"/>
                <w:szCs w:val="26"/>
                <w:lang w:val="pl-PL"/>
              </w:rPr>
              <w:t xml:space="preserve"> tháng đầu năm 2011-2015 (cộng dồn loại trừ yếu tố giá), % tăng so với cùng kỳ</w:t>
            </w:r>
          </w:p>
          <w:p w:rsidR="004D73AA" w:rsidRPr="001649AF" w:rsidRDefault="00511547" w:rsidP="004D73AA">
            <w:pPr>
              <w:spacing w:before="120" w:line="288" w:lineRule="auto"/>
              <w:ind w:firstLine="0"/>
              <w:jc w:val="center"/>
              <w:rPr>
                <w:rFonts w:eastAsiaTheme="minorEastAsia"/>
                <w:b/>
                <w:sz w:val="24"/>
                <w:szCs w:val="26"/>
                <w:lang w:val="pl-PL"/>
              </w:rPr>
            </w:pPr>
            <w:r w:rsidRPr="00511547">
              <w:rPr>
                <w:rFonts w:eastAsiaTheme="minorEastAsia"/>
                <w:b/>
                <w:noProof/>
                <w:sz w:val="24"/>
                <w:szCs w:val="26"/>
              </w:rPr>
              <w:drawing>
                <wp:inline distT="0" distB="0" distL="0" distR="0">
                  <wp:extent cx="2671638" cy="1383527"/>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2652" w:rsidRDefault="004D73AA" w:rsidP="004D73AA">
            <w:pPr>
              <w:spacing w:before="120" w:line="288" w:lineRule="auto"/>
              <w:ind w:firstLine="0"/>
              <w:jc w:val="right"/>
              <w:rPr>
                <w:rFonts w:eastAsiaTheme="minorEastAsia"/>
                <w:sz w:val="24"/>
                <w:szCs w:val="26"/>
                <w:lang w:val="pl-PL"/>
              </w:rPr>
            </w:pPr>
            <w:r w:rsidRPr="001649AF">
              <w:rPr>
                <w:rFonts w:eastAsiaTheme="minorEastAsia"/>
                <w:i/>
                <w:sz w:val="24"/>
                <w:szCs w:val="26"/>
                <w:lang w:val="pl-PL"/>
              </w:rPr>
              <w:t>Nguồn</w:t>
            </w:r>
            <w:r w:rsidRPr="00384661">
              <w:rPr>
                <w:rFonts w:eastAsiaTheme="minorEastAsia"/>
                <w:i/>
                <w:sz w:val="24"/>
                <w:szCs w:val="26"/>
                <w:lang w:val="pl-PL"/>
              </w:rPr>
              <w:t>: TCTK</w:t>
            </w:r>
          </w:p>
          <w:p w:rsidR="00384661" w:rsidRDefault="00384661" w:rsidP="00562652">
            <w:pPr>
              <w:spacing w:before="120" w:line="288" w:lineRule="auto"/>
              <w:ind w:firstLine="0"/>
              <w:jc w:val="center"/>
              <w:rPr>
                <w:b/>
                <w:sz w:val="24"/>
                <w:szCs w:val="26"/>
                <w:lang w:val="sv-SE"/>
              </w:rPr>
            </w:pPr>
          </w:p>
          <w:p w:rsidR="00562652" w:rsidRPr="003C1625" w:rsidRDefault="00562652" w:rsidP="00562652">
            <w:pPr>
              <w:spacing w:before="120" w:line="288" w:lineRule="auto"/>
              <w:ind w:firstLine="0"/>
              <w:jc w:val="center"/>
              <w:rPr>
                <w:b/>
                <w:sz w:val="24"/>
                <w:szCs w:val="26"/>
                <w:lang w:val="sv-SE"/>
              </w:rPr>
            </w:pPr>
            <w:r w:rsidRPr="003C1625">
              <w:rPr>
                <w:b/>
                <w:sz w:val="24"/>
                <w:szCs w:val="26"/>
                <w:lang w:val="sv-SE"/>
              </w:rPr>
              <w:t xml:space="preserve">Hình </w:t>
            </w:r>
            <w:r w:rsidR="00384661">
              <w:rPr>
                <w:b/>
                <w:sz w:val="24"/>
                <w:szCs w:val="26"/>
                <w:lang w:val="sv-SE"/>
              </w:rPr>
              <w:t>6</w:t>
            </w:r>
            <w:r w:rsidRPr="003C1625">
              <w:rPr>
                <w:b/>
                <w:sz w:val="24"/>
                <w:szCs w:val="26"/>
                <w:lang w:val="sv-SE"/>
              </w:rPr>
              <w:t>: Chỉ số niềm tin tiêu dùng</w:t>
            </w:r>
          </w:p>
          <w:p w:rsidR="00562652" w:rsidRPr="003C1625" w:rsidRDefault="008E41CB" w:rsidP="00562652">
            <w:pPr>
              <w:spacing w:after="0" w:line="288" w:lineRule="auto"/>
              <w:ind w:firstLine="0"/>
              <w:jc w:val="center"/>
              <w:rPr>
                <w:b/>
                <w:sz w:val="24"/>
                <w:szCs w:val="26"/>
                <w:lang w:val="sv-SE"/>
              </w:rPr>
            </w:pPr>
            <w:r w:rsidRPr="007B1E2C">
              <w:rPr>
                <w:b/>
                <w:noProof/>
                <w:sz w:val="24"/>
                <w:szCs w:val="26"/>
              </w:rPr>
              <w:drawing>
                <wp:inline distT="0" distB="0" distL="0" distR="0">
                  <wp:extent cx="2867025" cy="1485900"/>
                  <wp:effectExtent l="0" t="0" r="0" b="0"/>
                  <wp:docPr id="1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73AA" w:rsidRPr="00FD1F3F" w:rsidRDefault="00562652" w:rsidP="00FD1F3F">
            <w:pPr>
              <w:spacing w:line="288" w:lineRule="auto"/>
              <w:ind w:firstLine="0"/>
              <w:jc w:val="right"/>
              <w:rPr>
                <w:rFonts w:eastAsiaTheme="minorEastAsia"/>
                <w:b/>
                <w:sz w:val="24"/>
                <w:szCs w:val="26"/>
                <w:lang w:val="pl-PL"/>
              </w:rPr>
            </w:pPr>
            <w:r w:rsidRPr="003C1625">
              <w:rPr>
                <w:i/>
                <w:sz w:val="24"/>
                <w:szCs w:val="26"/>
                <w:lang w:val="sv-SE"/>
              </w:rPr>
              <w:t>Nguồn</w:t>
            </w:r>
            <w:r w:rsidRPr="003C1625">
              <w:rPr>
                <w:sz w:val="24"/>
                <w:szCs w:val="26"/>
                <w:lang w:val="sv-SE"/>
              </w:rPr>
              <w:t xml:space="preserve">: </w:t>
            </w:r>
            <w:r w:rsidRPr="00384661">
              <w:rPr>
                <w:i/>
                <w:sz w:val="24"/>
                <w:szCs w:val="26"/>
                <w:lang w:val="sv-SE"/>
              </w:rPr>
              <w:t>ANZ</w:t>
            </w:r>
          </w:p>
        </w:tc>
      </w:tr>
    </w:tbl>
    <w:p w:rsidR="001649AF" w:rsidRPr="003C1625" w:rsidRDefault="001649AF" w:rsidP="00384661">
      <w:pPr>
        <w:spacing w:line="288" w:lineRule="auto"/>
        <w:ind w:firstLine="0"/>
        <w:rPr>
          <w:rFonts w:eastAsiaTheme="minorEastAsia"/>
          <w:b/>
          <w:sz w:val="26"/>
          <w:szCs w:val="26"/>
          <w:lang w:val="pl-PL"/>
        </w:rPr>
      </w:pPr>
      <w:r w:rsidRPr="003C1625">
        <w:rPr>
          <w:rFonts w:eastAsiaTheme="minorEastAsia"/>
          <w:b/>
          <w:sz w:val="26"/>
          <w:szCs w:val="26"/>
          <w:lang w:val="pl-PL"/>
        </w:rPr>
        <w:t xml:space="preserve">3. </w:t>
      </w:r>
      <w:r w:rsidR="009A59EB">
        <w:rPr>
          <w:rFonts w:eastAsiaTheme="minorEastAsia"/>
          <w:b/>
          <w:sz w:val="26"/>
          <w:szCs w:val="26"/>
          <w:lang w:val="pl-PL"/>
        </w:rPr>
        <w:t>Về ổn định</w:t>
      </w:r>
      <w:r w:rsidR="008017A9">
        <w:rPr>
          <w:rFonts w:eastAsiaTheme="minorEastAsia"/>
          <w:b/>
          <w:sz w:val="26"/>
          <w:szCs w:val="26"/>
          <w:lang w:val="pl-PL"/>
        </w:rPr>
        <w:t xml:space="preserve"> k</w:t>
      </w:r>
      <w:r w:rsidRPr="003C1625">
        <w:rPr>
          <w:rFonts w:eastAsiaTheme="minorEastAsia"/>
          <w:b/>
          <w:sz w:val="26"/>
          <w:szCs w:val="26"/>
          <w:lang w:val="pl-PL"/>
        </w:rPr>
        <w:t xml:space="preserve">inh tế vĩ mô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679"/>
      </w:tblGrid>
      <w:tr w:rsidR="003C1625" w:rsidRPr="003C1625" w:rsidTr="00035687">
        <w:tc>
          <w:tcPr>
            <w:tcW w:w="4785" w:type="dxa"/>
          </w:tcPr>
          <w:p w:rsidR="003C1625" w:rsidRPr="00D62843" w:rsidRDefault="003C1625" w:rsidP="00D62843">
            <w:pPr>
              <w:spacing w:before="120" w:line="288" w:lineRule="auto"/>
              <w:ind w:firstLine="567"/>
              <w:rPr>
                <w:b/>
                <w:i/>
                <w:spacing w:val="-2"/>
                <w:sz w:val="16"/>
                <w:szCs w:val="16"/>
                <w:lang w:val="pl-PL"/>
              </w:rPr>
            </w:pPr>
            <w:r w:rsidRPr="00D62843">
              <w:rPr>
                <w:rFonts w:eastAsiaTheme="minorEastAsia"/>
                <w:i/>
                <w:spacing w:val="-2"/>
                <w:sz w:val="26"/>
                <w:szCs w:val="26"/>
                <w:lang w:val="pl-PL"/>
              </w:rPr>
              <w:t xml:space="preserve">- </w:t>
            </w:r>
            <w:r w:rsidRPr="00D62843">
              <w:rPr>
                <w:i/>
                <w:spacing w:val="-2"/>
                <w:sz w:val="26"/>
                <w:szCs w:val="26"/>
                <w:lang w:val="pl-PL"/>
              </w:rPr>
              <w:t xml:space="preserve">Lạm phát thấp và ổn định. </w:t>
            </w:r>
            <w:r w:rsidR="009A59EB" w:rsidRPr="00D62843">
              <w:rPr>
                <w:spacing w:val="-2"/>
                <w:sz w:val="26"/>
                <w:szCs w:val="26"/>
                <w:lang w:val="pl-PL"/>
              </w:rPr>
              <w:t>Tháng 8, l</w:t>
            </w:r>
            <w:r w:rsidRPr="00D62843">
              <w:rPr>
                <w:spacing w:val="-2"/>
                <w:sz w:val="26"/>
                <w:szCs w:val="26"/>
                <w:lang w:val="pl-PL"/>
              </w:rPr>
              <w:t xml:space="preserve">ạm phát </w:t>
            </w:r>
            <w:r w:rsidR="009A59EB" w:rsidRPr="00D62843">
              <w:rPr>
                <w:spacing w:val="-2"/>
                <w:sz w:val="26"/>
                <w:szCs w:val="26"/>
                <w:lang w:val="pl-PL"/>
              </w:rPr>
              <w:t>là</w:t>
            </w:r>
            <w:r w:rsidRPr="00D62843">
              <w:rPr>
                <w:spacing w:val="-2"/>
                <w:sz w:val="26"/>
                <w:szCs w:val="26"/>
                <w:lang w:val="pl-PL"/>
              </w:rPr>
              <w:t xml:space="preserve"> 0,6</w:t>
            </w:r>
            <w:r w:rsidR="003D6CE7" w:rsidRPr="00D62843">
              <w:rPr>
                <w:spacing w:val="-2"/>
                <w:sz w:val="26"/>
                <w:szCs w:val="26"/>
                <w:lang w:val="pl-PL"/>
              </w:rPr>
              <w:t>1</w:t>
            </w:r>
            <w:r w:rsidRPr="00D62843">
              <w:rPr>
                <w:spacing w:val="-2"/>
                <w:sz w:val="26"/>
                <w:szCs w:val="26"/>
                <w:lang w:val="pl-PL"/>
              </w:rPr>
              <w:t xml:space="preserve">%; </w:t>
            </w:r>
            <w:r w:rsidR="009A59EB" w:rsidRPr="00D62843">
              <w:rPr>
                <w:spacing w:val="-2"/>
                <w:sz w:val="26"/>
                <w:szCs w:val="26"/>
                <w:lang w:val="pl-PL"/>
              </w:rPr>
              <w:t>và lạm phát cơ bản là 2,41%</w:t>
            </w:r>
            <w:r w:rsidR="009A59EB" w:rsidRPr="00D62843">
              <w:rPr>
                <w:rStyle w:val="FootnoteReference"/>
                <w:spacing w:val="-2"/>
                <w:sz w:val="26"/>
                <w:szCs w:val="26"/>
                <w:lang w:val="pl-PL"/>
              </w:rPr>
              <w:footnoteReference w:id="12"/>
            </w:r>
            <w:r w:rsidR="009A59EB" w:rsidRPr="00D62843">
              <w:rPr>
                <w:spacing w:val="-2"/>
                <w:sz w:val="26"/>
                <w:szCs w:val="26"/>
                <w:lang w:val="pl-PL"/>
              </w:rPr>
              <w:t>; lạm phát</w:t>
            </w:r>
            <w:r w:rsidRPr="00D62843">
              <w:rPr>
                <w:spacing w:val="-2"/>
                <w:sz w:val="26"/>
                <w:szCs w:val="26"/>
                <w:lang w:val="pl-PL"/>
              </w:rPr>
              <w:t xml:space="preserve"> bình quân </w:t>
            </w:r>
            <w:r w:rsidR="003D6CE7" w:rsidRPr="00D62843">
              <w:rPr>
                <w:spacing w:val="-2"/>
                <w:sz w:val="26"/>
                <w:szCs w:val="26"/>
                <w:lang w:val="pl-PL"/>
              </w:rPr>
              <w:t>8</w:t>
            </w:r>
            <w:r w:rsidRPr="00D62843">
              <w:rPr>
                <w:spacing w:val="-2"/>
                <w:sz w:val="26"/>
                <w:szCs w:val="26"/>
                <w:lang w:val="pl-PL"/>
              </w:rPr>
              <w:t xml:space="preserve"> tháng đầu </w:t>
            </w:r>
            <w:r w:rsidRPr="00D62843">
              <w:rPr>
                <w:spacing w:val="-4"/>
                <w:sz w:val="26"/>
                <w:szCs w:val="26"/>
                <w:lang w:val="pl-PL"/>
              </w:rPr>
              <w:t xml:space="preserve">năm </w:t>
            </w:r>
            <w:r w:rsidR="009A59EB" w:rsidRPr="00D62843">
              <w:rPr>
                <w:spacing w:val="-4"/>
                <w:sz w:val="26"/>
                <w:szCs w:val="26"/>
                <w:lang w:val="pl-PL"/>
              </w:rPr>
              <w:t>là</w:t>
            </w:r>
            <w:r w:rsidR="00FF3792">
              <w:rPr>
                <w:spacing w:val="-4"/>
                <w:sz w:val="26"/>
                <w:szCs w:val="26"/>
                <w:lang w:val="pl-PL"/>
              </w:rPr>
              <w:t xml:space="preserve"> 0,83</w:t>
            </w:r>
            <w:r w:rsidRPr="00D62843">
              <w:rPr>
                <w:spacing w:val="-4"/>
                <w:sz w:val="26"/>
                <w:szCs w:val="26"/>
                <w:lang w:val="pl-PL"/>
              </w:rPr>
              <w:t>% so với cùng kỳ năm trước và lạm phát cơ bản  là 2,42%. Nhìn chung, cả lạm phát và lạm phát c</w:t>
            </w:r>
            <w:r w:rsidR="009A59EB" w:rsidRPr="00D62843">
              <w:rPr>
                <w:spacing w:val="-4"/>
                <w:sz w:val="26"/>
                <w:szCs w:val="26"/>
                <w:lang w:val="pl-PL"/>
              </w:rPr>
              <w:t>ơ bản hầu như giữ nguyên trong 6</w:t>
            </w:r>
            <w:r w:rsidRPr="00D62843">
              <w:rPr>
                <w:spacing w:val="-4"/>
                <w:sz w:val="26"/>
                <w:szCs w:val="26"/>
                <w:lang w:val="pl-PL"/>
              </w:rPr>
              <w:t xml:space="preserve"> tháng gần đây. </w:t>
            </w:r>
            <w:r w:rsidR="009A59EB" w:rsidRPr="00D62843">
              <w:rPr>
                <w:spacing w:val="-4"/>
                <w:sz w:val="26"/>
                <w:szCs w:val="26"/>
                <w:lang w:val="pl-PL"/>
              </w:rPr>
              <w:t xml:space="preserve">Dựa trên kỳ vọng của thị trường thông qua những thay đổi của lợi suất TPCP, </w:t>
            </w:r>
            <w:r w:rsidR="009A59EB" w:rsidRPr="00D62843">
              <w:rPr>
                <w:b/>
                <w:i/>
                <w:spacing w:val="-4"/>
                <w:sz w:val="26"/>
                <w:szCs w:val="26"/>
                <w:lang w:val="pl-PL"/>
              </w:rPr>
              <w:t xml:space="preserve">UBGSTCQG đánh giá hai lần điều chỉnh tỷ giá của NHNN </w:t>
            </w:r>
            <w:r w:rsidR="009A59EB" w:rsidRPr="00D62843">
              <w:rPr>
                <w:b/>
                <w:i/>
                <w:spacing w:val="-4"/>
                <w:sz w:val="26"/>
                <w:szCs w:val="26"/>
                <w:lang w:val="pl-PL"/>
              </w:rPr>
              <w:lastRenderedPageBreak/>
              <w:t>trong tháng 8 làm lạm phát</w:t>
            </w:r>
            <w:r w:rsidR="00D62843" w:rsidRPr="00D62843">
              <w:rPr>
                <w:b/>
                <w:i/>
                <w:spacing w:val="-4"/>
                <w:sz w:val="26"/>
                <w:szCs w:val="26"/>
                <w:lang w:val="pl-PL"/>
              </w:rPr>
              <w:t xml:space="preserve"> có thể</w:t>
            </w:r>
            <w:r w:rsidR="009A59EB" w:rsidRPr="00D62843">
              <w:rPr>
                <w:b/>
                <w:i/>
                <w:spacing w:val="-4"/>
                <w:sz w:val="26"/>
                <w:szCs w:val="26"/>
                <w:lang w:val="pl-PL"/>
              </w:rPr>
              <w:t xml:space="preserve"> tăng thêm xấp xỉ 0,2 điểm %</w:t>
            </w:r>
            <w:r w:rsidR="00D62843" w:rsidRPr="00D62843">
              <w:rPr>
                <w:b/>
                <w:i/>
                <w:spacing w:val="-4"/>
                <w:sz w:val="26"/>
                <w:szCs w:val="26"/>
                <w:lang w:val="pl-PL"/>
              </w:rPr>
              <w:t>, là mức tăng không đáng kể</w:t>
            </w:r>
            <w:r w:rsidR="009A59EB" w:rsidRPr="00D62843">
              <w:rPr>
                <w:b/>
                <w:i/>
                <w:spacing w:val="-4"/>
                <w:sz w:val="26"/>
                <w:szCs w:val="26"/>
                <w:lang w:val="pl-PL"/>
              </w:rPr>
              <w:t>.</w:t>
            </w:r>
            <w:r w:rsidR="009A59EB" w:rsidRPr="00D62843">
              <w:rPr>
                <w:spacing w:val="-4"/>
                <w:sz w:val="26"/>
                <w:szCs w:val="26"/>
                <w:lang w:val="pl-PL"/>
              </w:rPr>
              <w:t xml:space="preserve"> Do đó, UBGSTCQG giữ nguyên dự báo năm 2015 lạm phát cơ bản khoảng 3% và lạm phát (tổng thể) thấp hơn 3%.</w:t>
            </w:r>
          </w:p>
        </w:tc>
        <w:tc>
          <w:tcPr>
            <w:tcW w:w="4679" w:type="dxa"/>
          </w:tcPr>
          <w:p w:rsidR="003C1625" w:rsidRPr="003C1625" w:rsidRDefault="003C1625" w:rsidP="004D73AA">
            <w:pPr>
              <w:spacing w:before="120" w:line="288" w:lineRule="auto"/>
              <w:ind w:firstLine="0"/>
              <w:jc w:val="center"/>
              <w:rPr>
                <w:rFonts w:eastAsiaTheme="minorEastAsia"/>
                <w:b/>
                <w:sz w:val="24"/>
                <w:szCs w:val="26"/>
                <w:lang w:val="pl-PL"/>
              </w:rPr>
            </w:pPr>
            <w:r w:rsidRPr="00D85901">
              <w:rPr>
                <w:rFonts w:eastAsiaTheme="minorEastAsia"/>
                <w:b/>
                <w:sz w:val="24"/>
                <w:szCs w:val="26"/>
                <w:lang w:val="pl-PL"/>
              </w:rPr>
              <w:lastRenderedPageBreak/>
              <w:t xml:space="preserve">Hình </w:t>
            </w:r>
            <w:r w:rsidR="00384661">
              <w:rPr>
                <w:rFonts w:eastAsiaTheme="minorEastAsia"/>
                <w:b/>
                <w:sz w:val="24"/>
                <w:szCs w:val="26"/>
                <w:lang w:val="pl-PL"/>
              </w:rPr>
              <w:t>7</w:t>
            </w:r>
            <w:r w:rsidRPr="00D85901">
              <w:rPr>
                <w:rFonts w:eastAsiaTheme="minorEastAsia"/>
                <w:b/>
                <w:sz w:val="24"/>
                <w:szCs w:val="26"/>
                <w:lang w:val="pl-PL"/>
              </w:rPr>
              <w:t xml:space="preserve">: </w:t>
            </w:r>
            <w:r w:rsidRPr="00D85901">
              <w:rPr>
                <w:rFonts w:eastAsiaTheme="minorEastAsia"/>
                <w:b/>
                <w:sz w:val="24"/>
                <w:szCs w:val="26"/>
                <w:lang w:val="vi-VN"/>
              </w:rPr>
              <w:t>Lạm phát và lạm cơ bản</w:t>
            </w:r>
            <w:r w:rsidR="006878B0">
              <w:rPr>
                <w:rFonts w:eastAsiaTheme="minorEastAsia"/>
                <w:b/>
                <w:sz w:val="24"/>
                <w:szCs w:val="26"/>
                <w:lang w:val="pl-PL"/>
              </w:rPr>
              <w:t xml:space="preserve"> 8</w:t>
            </w:r>
            <w:r w:rsidRPr="00D85901">
              <w:rPr>
                <w:rFonts w:eastAsiaTheme="minorEastAsia"/>
                <w:b/>
                <w:sz w:val="24"/>
                <w:szCs w:val="26"/>
                <w:lang w:val="pl-PL"/>
              </w:rPr>
              <w:t>/2014-</w:t>
            </w:r>
            <w:r w:rsidR="0000024B">
              <w:rPr>
                <w:rFonts w:eastAsiaTheme="minorEastAsia"/>
                <w:b/>
                <w:sz w:val="24"/>
                <w:szCs w:val="26"/>
                <w:lang w:val="pl-PL"/>
              </w:rPr>
              <w:t>8</w:t>
            </w:r>
            <w:r w:rsidRPr="00D85901">
              <w:rPr>
                <w:rFonts w:eastAsiaTheme="minorEastAsia"/>
                <w:b/>
                <w:sz w:val="24"/>
                <w:szCs w:val="26"/>
                <w:lang w:val="pl-PL"/>
              </w:rPr>
              <w:t xml:space="preserve">/2015,  </w:t>
            </w:r>
            <w:r w:rsidRPr="00D85901">
              <w:rPr>
                <w:rFonts w:eastAsiaTheme="minorEastAsia"/>
                <w:b/>
                <w:sz w:val="24"/>
                <w:szCs w:val="26"/>
                <w:lang w:val="vi-VN"/>
              </w:rPr>
              <w:t>%tăng CPI so cùng kỳ</w:t>
            </w:r>
          </w:p>
          <w:p w:rsidR="003C1625" w:rsidRPr="003C1625" w:rsidRDefault="006878B0" w:rsidP="006878B0">
            <w:pPr>
              <w:spacing w:before="120" w:line="288" w:lineRule="auto"/>
              <w:ind w:firstLine="0"/>
              <w:jc w:val="center"/>
              <w:rPr>
                <w:rFonts w:eastAsiaTheme="minorEastAsia"/>
                <w:i/>
                <w:sz w:val="26"/>
                <w:szCs w:val="26"/>
                <w:lang w:val="pl-PL"/>
              </w:rPr>
            </w:pPr>
            <w:r w:rsidRPr="006878B0">
              <w:rPr>
                <w:rFonts w:eastAsiaTheme="minorEastAsia"/>
                <w:i/>
                <w:noProof/>
                <w:sz w:val="26"/>
                <w:szCs w:val="26"/>
              </w:rPr>
              <w:drawing>
                <wp:inline distT="0" distB="0" distL="0" distR="0">
                  <wp:extent cx="2876550" cy="1476375"/>
                  <wp:effectExtent l="0" t="0" r="0" b="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1625" w:rsidRPr="003C1625" w:rsidRDefault="003C1625" w:rsidP="004D73AA">
            <w:pPr>
              <w:spacing w:before="120" w:line="288" w:lineRule="auto"/>
              <w:ind w:firstLine="0"/>
              <w:jc w:val="right"/>
              <w:rPr>
                <w:rFonts w:eastAsiaTheme="minorEastAsia"/>
                <w:sz w:val="24"/>
                <w:szCs w:val="26"/>
                <w:lang w:val="pl-PL"/>
              </w:rPr>
            </w:pPr>
            <w:r w:rsidRPr="003C1625">
              <w:rPr>
                <w:rFonts w:eastAsiaTheme="minorEastAsia"/>
                <w:i/>
                <w:sz w:val="24"/>
                <w:szCs w:val="26"/>
                <w:lang w:val="pl-PL"/>
              </w:rPr>
              <w:t>Nguồn:</w:t>
            </w:r>
            <w:r w:rsidR="004D73AA" w:rsidRPr="00384661">
              <w:rPr>
                <w:rFonts w:eastAsiaTheme="minorEastAsia"/>
                <w:i/>
                <w:sz w:val="24"/>
                <w:szCs w:val="26"/>
                <w:lang w:val="pl-PL"/>
              </w:rPr>
              <w:t>UBGSTCQG tính</w:t>
            </w:r>
            <w:r w:rsidRPr="00384661">
              <w:rPr>
                <w:rFonts w:eastAsiaTheme="minorEastAsia"/>
                <w:i/>
                <w:sz w:val="24"/>
                <w:szCs w:val="26"/>
                <w:lang w:val="pl-PL"/>
              </w:rPr>
              <w:t xml:space="preserve"> toán</w:t>
            </w:r>
          </w:p>
        </w:tc>
      </w:tr>
      <w:tr w:rsidR="008017A9" w:rsidRPr="008017A9" w:rsidTr="00035687">
        <w:tc>
          <w:tcPr>
            <w:tcW w:w="4785" w:type="dxa"/>
          </w:tcPr>
          <w:p w:rsidR="00A66309" w:rsidRPr="00147E23" w:rsidRDefault="008017A9" w:rsidP="00147E23">
            <w:pPr>
              <w:spacing w:before="120" w:after="0" w:line="300" w:lineRule="auto"/>
              <w:ind w:firstLine="567"/>
              <w:rPr>
                <w:rFonts w:eastAsiaTheme="minorEastAsia"/>
                <w:spacing w:val="4"/>
                <w:sz w:val="26"/>
                <w:szCs w:val="26"/>
                <w:lang w:val="vi-VN"/>
              </w:rPr>
            </w:pPr>
            <w:r w:rsidRPr="00147E23">
              <w:rPr>
                <w:rFonts w:eastAsiaTheme="minorEastAsia"/>
                <w:i/>
                <w:spacing w:val="4"/>
                <w:sz w:val="26"/>
                <w:szCs w:val="26"/>
                <w:lang w:val="vi-VN"/>
              </w:rPr>
              <w:lastRenderedPageBreak/>
              <w:t xml:space="preserve">- </w:t>
            </w:r>
            <w:r w:rsidR="00E41DE0" w:rsidRPr="00147E23">
              <w:rPr>
                <w:rFonts w:eastAsiaTheme="minorEastAsia"/>
                <w:i/>
                <w:spacing w:val="4"/>
                <w:sz w:val="26"/>
                <w:szCs w:val="26"/>
              </w:rPr>
              <w:t xml:space="preserve">Thu </w:t>
            </w:r>
            <w:r w:rsidR="00E829A7" w:rsidRPr="00147E23">
              <w:rPr>
                <w:rFonts w:eastAsiaTheme="minorEastAsia"/>
                <w:i/>
                <w:spacing w:val="4"/>
                <w:sz w:val="26"/>
                <w:szCs w:val="26"/>
              </w:rPr>
              <w:t xml:space="preserve">NSNN, </w:t>
            </w:r>
            <w:r w:rsidR="00E829A7" w:rsidRPr="00147E23">
              <w:rPr>
                <w:rFonts w:eastAsiaTheme="minorEastAsia"/>
                <w:spacing w:val="4"/>
                <w:sz w:val="26"/>
                <w:szCs w:val="26"/>
              </w:rPr>
              <w:t>t</w:t>
            </w:r>
            <w:r w:rsidR="009A59EB" w:rsidRPr="00147E23">
              <w:rPr>
                <w:rFonts w:eastAsiaTheme="minorEastAsia"/>
                <w:spacing w:val="4"/>
                <w:sz w:val="26"/>
                <w:szCs w:val="26"/>
              </w:rPr>
              <w:t>ính đến ngày 15/8</w:t>
            </w:r>
            <w:r w:rsidR="00E41DE0" w:rsidRPr="00147E23">
              <w:rPr>
                <w:rFonts w:eastAsiaTheme="minorEastAsia"/>
                <w:spacing w:val="4"/>
                <w:sz w:val="26"/>
                <w:szCs w:val="26"/>
              </w:rPr>
              <w:t xml:space="preserve">, thu ngân sách tăng </w:t>
            </w:r>
            <w:r w:rsidRPr="00147E23">
              <w:rPr>
                <w:rFonts w:eastAsiaTheme="minorEastAsia"/>
                <w:spacing w:val="4"/>
                <w:sz w:val="26"/>
                <w:szCs w:val="26"/>
                <w:lang w:val="vi-VN"/>
              </w:rPr>
              <w:t>7,3%</w:t>
            </w:r>
            <w:r w:rsidR="00E41DE0" w:rsidRPr="00147E23">
              <w:rPr>
                <w:rFonts w:eastAsiaTheme="minorEastAsia"/>
                <w:spacing w:val="4"/>
                <w:sz w:val="26"/>
                <w:szCs w:val="26"/>
              </w:rPr>
              <w:t xml:space="preserve"> so với cùng kỳ</w:t>
            </w:r>
            <w:r w:rsidRPr="00147E23">
              <w:rPr>
                <w:rFonts w:eastAsiaTheme="minorEastAsia"/>
                <w:spacing w:val="4"/>
                <w:sz w:val="26"/>
                <w:szCs w:val="26"/>
                <w:lang w:val="vi-VN"/>
              </w:rPr>
              <w:t xml:space="preserve">, thấp hơn nhiều so </w:t>
            </w:r>
            <w:r w:rsidR="00E41DE0" w:rsidRPr="00147E23">
              <w:rPr>
                <w:rFonts w:eastAsiaTheme="minorEastAsia"/>
                <w:spacing w:val="4"/>
                <w:sz w:val="26"/>
                <w:szCs w:val="26"/>
              </w:rPr>
              <w:t xml:space="preserve">với mức tăng </w:t>
            </w:r>
            <w:r w:rsidR="00E829A7" w:rsidRPr="00147E23">
              <w:rPr>
                <w:rFonts w:eastAsiaTheme="minorEastAsia"/>
                <w:spacing w:val="4"/>
                <w:sz w:val="26"/>
                <w:szCs w:val="26"/>
              </w:rPr>
              <w:t>của hai năm trước đó (</w:t>
            </w:r>
            <w:r w:rsidR="00E41DE0" w:rsidRPr="00147E23">
              <w:rPr>
                <w:rFonts w:eastAsiaTheme="minorEastAsia"/>
                <w:spacing w:val="4"/>
                <w:sz w:val="26"/>
                <w:szCs w:val="26"/>
              </w:rPr>
              <w:t>năm</w:t>
            </w:r>
            <w:r w:rsidRPr="00147E23">
              <w:rPr>
                <w:rFonts w:eastAsiaTheme="minorEastAsia"/>
                <w:spacing w:val="4"/>
                <w:sz w:val="26"/>
                <w:szCs w:val="26"/>
                <w:lang w:val="vi-VN"/>
              </w:rPr>
              <w:t xml:space="preserve"> 2014 và 2013 </w:t>
            </w:r>
            <w:r w:rsidR="00E829A7" w:rsidRPr="00147E23">
              <w:rPr>
                <w:rFonts w:eastAsiaTheme="minorEastAsia"/>
                <w:spacing w:val="4"/>
                <w:sz w:val="26"/>
                <w:szCs w:val="26"/>
              </w:rPr>
              <w:t xml:space="preserve">thu ngân sách so với cùng kỳ </w:t>
            </w:r>
            <w:r w:rsidRPr="00147E23">
              <w:rPr>
                <w:rFonts w:eastAsiaTheme="minorEastAsia"/>
                <w:spacing w:val="4"/>
                <w:sz w:val="26"/>
                <w:szCs w:val="26"/>
                <w:lang w:val="vi-VN"/>
              </w:rPr>
              <w:t xml:space="preserve">lần lượt là 16,9% và 10,2%). </w:t>
            </w:r>
            <w:r w:rsidR="009A59EB" w:rsidRPr="00147E23">
              <w:rPr>
                <w:rFonts w:eastAsiaTheme="minorEastAsia"/>
                <w:spacing w:val="4"/>
                <w:sz w:val="26"/>
                <w:szCs w:val="26"/>
                <w:lang w:val="vi-VN"/>
              </w:rPr>
              <w:t>Thu NSNN tính đến ng</w:t>
            </w:r>
            <w:r w:rsidR="00E829A7" w:rsidRPr="00147E23">
              <w:rPr>
                <w:rFonts w:eastAsiaTheme="minorEastAsia"/>
                <w:spacing w:val="4"/>
                <w:sz w:val="26"/>
                <w:szCs w:val="26"/>
                <w:lang w:val="vi-VN"/>
              </w:rPr>
              <w:t>ày 15/8</w:t>
            </w:r>
            <w:r w:rsidR="009A59EB" w:rsidRPr="00147E23">
              <w:rPr>
                <w:rFonts w:eastAsiaTheme="minorEastAsia"/>
                <w:spacing w:val="4"/>
                <w:sz w:val="26"/>
                <w:szCs w:val="26"/>
                <w:lang w:val="vi-VN"/>
              </w:rPr>
              <w:t xml:space="preserve"> đạt 63,5% dự toán năm 2015 (cùng kỳ 2014 đạt 68,8%). </w:t>
            </w:r>
            <w:r w:rsidR="004E0DC9" w:rsidRPr="00147E23">
              <w:rPr>
                <w:rFonts w:eastAsiaTheme="minorEastAsia"/>
                <w:spacing w:val="4"/>
                <w:sz w:val="26"/>
                <w:szCs w:val="26"/>
                <w:lang w:val="vi-VN"/>
              </w:rPr>
              <w:t>So với cùng kỳ 2014,</w:t>
            </w:r>
            <w:r w:rsidRPr="00147E23">
              <w:rPr>
                <w:rFonts w:eastAsiaTheme="minorEastAsia"/>
                <w:spacing w:val="4"/>
                <w:sz w:val="26"/>
                <w:szCs w:val="26"/>
                <w:lang w:val="vi-VN"/>
              </w:rPr>
              <w:t xml:space="preserve"> thu từ dầu thô giảm 30%</w:t>
            </w:r>
            <w:r w:rsidR="004E0DC9" w:rsidRPr="00147E23">
              <w:rPr>
                <w:rFonts w:eastAsiaTheme="minorEastAsia"/>
                <w:spacing w:val="4"/>
                <w:sz w:val="26"/>
                <w:szCs w:val="26"/>
                <w:lang w:val="vi-VN"/>
              </w:rPr>
              <w:t>; t</w:t>
            </w:r>
            <w:r w:rsidRPr="00147E23">
              <w:rPr>
                <w:rFonts w:eastAsiaTheme="minorEastAsia"/>
                <w:spacing w:val="4"/>
                <w:sz w:val="26"/>
                <w:szCs w:val="26"/>
                <w:lang w:val="vi-VN"/>
              </w:rPr>
              <w:t xml:space="preserve">hu </w:t>
            </w:r>
            <w:r w:rsidR="00E829A7" w:rsidRPr="00147E23">
              <w:rPr>
                <w:rFonts w:eastAsiaTheme="minorEastAsia"/>
                <w:spacing w:val="4"/>
                <w:sz w:val="26"/>
                <w:szCs w:val="26"/>
                <w:lang w:val="vi-VN"/>
              </w:rPr>
              <w:t xml:space="preserve">từ </w:t>
            </w:r>
            <w:r w:rsidRPr="00147E23">
              <w:rPr>
                <w:rFonts w:eastAsiaTheme="minorEastAsia"/>
                <w:spacing w:val="4"/>
                <w:sz w:val="26"/>
                <w:szCs w:val="26"/>
                <w:lang w:val="vi-VN"/>
              </w:rPr>
              <w:t>xuất nhập khẩu giảm 2,1%</w:t>
            </w:r>
            <w:r w:rsidR="004E0DC9" w:rsidRPr="00147E23">
              <w:rPr>
                <w:rFonts w:eastAsiaTheme="minorEastAsia"/>
                <w:spacing w:val="4"/>
                <w:sz w:val="26"/>
                <w:szCs w:val="26"/>
                <w:lang w:val="vi-VN"/>
              </w:rPr>
              <w:t>; t</w:t>
            </w:r>
            <w:r w:rsidRPr="00147E23">
              <w:rPr>
                <w:rFonts w:eastAsiaTheme="minorEastAsia"/>
                <w:spacing w:val="4"/>
                <w:sz w:val="26"/>
                <w:szCs w:val="26"/>
                <w:lang w:val="vi-VN"/>
              </w:rPr>
              <w:t xml:space="preserve">hu nội địa </w:t>
            </w:r>
            <w:r w:rsidR="00D62843" w:rsidRPr="00147E23">
              <w:rPr>
                <w:rFonts w:eastAsiaTheme="minorEastAsia"/>
                <w:spacing w:val="4"/>
                <w:sz w:val="26"/>
                <w:szCs w:val="26"/>
                <w:lang w:val="vi-VN"/>
              </w:rPr>
              <w:t>mặc dù</w:t>
            </w:r>
            <w:r w:rsidR="00E829A7" w:rsidRPr="00147E23">
              <w:rPr>
                <w:rFonts w:eastAsiaTheme="minorEastAsia"/>
                <w:spacing w:val="4"/>
                <w:sz w:val="26"/>
                <w:szCs w:val="26"/>
                <w:lang w:val="vi-VN"/>
              </w:rPr>
              <w:t xml:space="preserve"> tăng 17,1% </w:t>
            </w:r>
            <w:r w:rsidRPr="00147E23">
              <w:rPr>
                <w:rFonts w:eastAsiaTheme="minorEastAsia"/>
                <w:spacing w:val="4"/>
                <w:sz w:val="26"/>
                <w:szCs w:val="26"/>
                <w:lang w:val="vi-VN"/>
              </w:rPr>
              <w:t>.</w:t>
            </w:r>
          </w:p>
        </w:tc>
        <w:tc>
          <w:tcPr>
            <w:tcW w:w="4679" w:type="dxa"/>
          </w:tcPr>
          <w:p w:rsidR="008017A9" w:rsidRPr="008017A9" w:rsidRDefault="008017A9" w:rsidP="00384661">
            <w:pPr>
              <w:pStyle w:val="NormalWeb"/>
              <w:shd w:val="clear" w:color="auto" w:fill="FFFFFF"/>
              <w:spacing w:before="240" w:beforeAutospacing="0" w:after="0" w:afterAutospacing="0" w:line="324" w:lineRule="auto"/>
              <w:jc w:val="center"/>
              <w:textAlignment w:val="baseline"/>
              <w:rPr>
                <w:b/>
                <w:sz w:val="24"/>
                <w:lang w:val="vi-VN"/>
              </w:rPr>
            </w:pPr>
            <w:r w:rsidRPr="008017A9">
              <w:rPr>
                <w:b/>
                <w:sz w:val="24"/>
                <w:lang w:val="vi-VN"/>
              </w:rPr>
              <w:t xml:space="preserve">Hình </w:t>
            </w:r>
            <w:r w:rsidR="00384661" w:rsidRPr="00384661">
              <w:rPr>
                <w:b/>
                <w:sz w:val="24"/>
                <w:lang w:val="vi-VN"/>
              </w:rPr>
              <w:t>8</w:t>
            </w:r>
            <w:r w:rsidRPr="008017A9">
              <w:rPr>
                <w:b/>
                <w:sz w:val="24"/>
                <w:lang w:val="vi-VN"/>
              </w:rPr>
              <w:t xml:space="preserve">: Thu NSNN lũy kế đến 15/08/2015 </w:t>
            </w:r>
          </w:p>
          <w:p w:rsidR="008017A9" w:rsidRPr="008017A9" w:rsidRDefault="008017A9" w:rsidP="00384661">
            <w:pPr>
              <w:pStyle w:val="NormalWeb"/>
              <w:shd w:val="clear" w:color="auto" w:fill="FFFFFF"/>
              <w:spacing w:before="0" w:beforeAutospacing="0" w:after="120" w:afterAutospacing="0" w:line="324" w:lineRule="auto"/>
              <w:jc w:val="right"/>
              <w:textAlignment w:val="baseline"/>
              <w:rPr>
                <w:b/>
                <w:sz w:val="24"/>
                <w:lang w:val="vi-VN"/>
              </w:rPr>
            </w:pPr>
            <w:r w:rsidRPr="008017A9">
              <w:rPr>
                <w:i/>
                <w:sz w:val="24"/>
                <w:lang w:val="vi-VN"/>
              </w:rPr>
              <w:t>Đơn vị: %</w:t>
            </w:r>
          </w:p>
          <w:p w:rsidR="008017A9" w:rsidRPr="008017A9" w:rsidRDefault="008017A9" w:rsidP="008017A9">
            <w:pPr>
              <w:pStyle w:val="NormalWeb"/>
              <w:shd w:val="clear" w:color="auto" w:fill="FFFFFF"/>
              <w:spacing w:before="120" w:beforeAutospacing="0" w:after="120" w:afterAutospacing="0" w:line="324" w:lineRule="auto"/>
              <w:textAlignment w:val="baseline"/>
              <w:rPr>
                <w:sz w:val="24"/>
              </w:rPr>
            </w:pPr>
            <w:r w:rsidRPr="008017A9">
              <w:rPr>
                <w:noProof/>
                <w:sz w:val="24"/>
              </w:rPr>
              <w:drawing>
                <wp:inline distT="0" distB="0" distL="0" distR="0">
                  <wp:extent cx="2886323" cy="1820849"/>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017A9" w:rsidRPr="00D85901" w:rsidRDefault="008017A9" w:rsidP="008017A9">
            <w:pPr>
              <w:spacing w:before="120" w:line="288" w:lineRule="auto"/>
              <w:ind w:firstLine="0"/>
              <w:jc w:val="right"/>
              <w:rPr>
                <w:rFonts w:eastAsiaTheme="minorEastAsia"/>
                <w:b/>
                <w:sz w:val="24"/>
                <w:szCs w:val="26"/>
                <w:lang w:val="pl-PL"/>
              </w:rPr>
            </w:pPr>
            <w:r w:rsidRPr="008017A9">
              <w:rPr>
                <w:i/>
                <w:sz w:val="24"/>
                <w:lang w:val="vi-VN"/>
              </w:rPr>
              <w:t>Nguồn: BTC, BNC tính toán</w:t>
            </w:r>
          </w:p>
        </w:tc>
      </w:tr>
      <w:tr w:rsidR="008E7F5E" w:rsidTr="00035687">
        <w:tc>
          <w:tcPr>
            <w:tcW w:w="4785" w:type="dxa"/>
          </w:tcPr>
          <w:p w:rsidR="008E7F5E" w:rsidRPr="00147E23" w:rsidRDefault="008E7F5E" w:rsidP="00147E23">
            <w:pPr>
              <w:spacing w:line="300" w:lineRule="auto"/>
              <w:ind w:firstLine="709"/>
              <w:rPr>
                <w:rFonts w:eastAsiaTheme="minorEastAsia"/>
                <w:spacing w:val="4"/>
                <w:sz w:val="26"/>
                <w:szCs w:val="26"/>
                <w:lang w:val="pl-PL"/>
              </w:rPr>
            </w:pPr>
            <w:r w:rsidRPr="00147E23">
              <w:rPr>
                <w:rFonts w:eastAsiaTheme="minorEastAsia"/>
                <w:b/>
                <w:spacing w:val="4"/>
                <w:sz w:val="26"/>
                <w:szCs w:val="26"/>
                <w:lang w:val="pl-PL"/>
              </w:rPr>
              <w:tab/>
            </w:r>
            <w:r w:rsidRPr="00147E23">
              <w:rPr>
                <w:rFonts w:eastAsiaTheme="minorEastAsia"/>
                <w:spacing w:val="4"/>
                <w:sz w:val="26"/>
                <w:szCs w:val="26"/>
                <w:lang w:val="pl-PL"/>
              </w:rPr>
              <w:t xml:space="preserve">- </w:t>
            </w:r>
            <w:r w:rsidRPr="00147E23">
              <w:rPr>
                <w:rFonts w:eastAsiaTheme="minorEastAsia"/>
                <w:i/>
                <w:spacing w:val="4"/>
                <w:sz w:val="26"/>
                <w:szCs w:val="26"/>
                <w:lang w:val="pl-PL"/>
              </w:rPr>
              <w:t>Thị trường ngoại hối</w:t>
            </w:r>
            <w:r w:rsidRPr="00147E23">
              <w:rPr>
                <w:rFonts w:eastAsiaTheme="minorEastAsia"/>
                <w:spacing w:val="4"/>
                <w:sz w:val="26"/>
                <w:szCs w:val="26"/>
                <w:lang w:val="pl-PL"/>
              </w:rPr>
              <w:t xml:space="preserve">, </w:t>
            </w:r>
            <w:r w:rsidR="00A66309" w:rsidRPr="00147E23">
              <w:rPr>
                <w:rFonts w:eastAsiaTheme="minorEastAsia"/>
                <w:spacing w:val="4"/>
                <w:sz w:val="26"/>
                <w:szCs w:val="26"/>
                <w:lang w:val="pl-PL"/>
              </w:rPr>
              <w:t>trước việc NDT mất giá 2,9% trong tuần thứ 2 tháng 8, NHNN đã ch</w:t>
            </w:r>
            <w:r w:rsidR="00D62843" w:rsidRPr="00147E23">
              <w:rPr>
                <w:rFonts w:eastAsiaTheme="minorEastAsia"/>
                <w:spacing w:val="4"/>
                <w:sz w:val="26"/>
                <w:szCs w:val="26"/>
                <w:lang w:val="pl-PL"/>
              </w:rPr>
              <w:t>ủ</w:t>
            </w:r>
            <w:r w:rsidR="00A66309" w:rsidRPr="00147E23">
              <w:rPr>
                <w:rFonts w:eastAsiaTheme="minorEastAsia"/>
                <w:spacing w:val="4"/>
                <w:sz w:val="26"/>
                <w:szCs w:val="26"/>
                <w:lang w:val="pl-PL"/>
              </w:rPr>
              <w:t xml:space="preserve"> động nới biên độ tỷ giá lên 2% ngay trong tuần và lên 3%, cùng với điều chỉnh tỷ giá bình quân liên ngân hàng tăng 1%</w:t>
            </w:r>
            <w:r w:rsidR="00D62843" w:rsidRPr="00147E23">
              <w:rPr>
                <w:rFonts w:eastAsiaTheme="minorEastAsia"/>
                <w:spacing w:val="4"/>
                <w:sz w:val="26"/>
                <w:szCs w:val="26"/>
                <w:lang w:val="pl-PL"/>
              </w:rPr>
              <w:t>,</w:t>
            </w:r>
            <w:r w:rsidR="00A66309" w:rsidRPr="00147E23">
              <w:rPr>
                <w:rFonts w:eastAsiaTheme="minorEastAsia"/>
                <w:spacing w:val="4"/>
                <w:sz w:val="26"/>
                <w:szCs w:val="26"/>
                <w:lang w:val="pl-PL"/>
              </w:rPr>
              <w:t xml:space="preserve"> trong tuần tiếp theo. Theo đó, tỷ giá thị trường chính thức cũng tăng 1,3% trong tuần thứ 2 và 1,7% trong tuần tiếp theo (tổng cộng là 3%). Mức tăng trên bằng với mức </w:t>
            </w:r>
            <w:r w:rsidR="00D62843" w:rsidRPr="00147E23">
              <w:rPr>
                <w:rFonts w:eastAsiaTheme="minorEastAsia"/>
                <w:spacing w:val="4"/>
                <w:sz w:val="26"/>
                <w:szCs w:val="26"/>
                <w:lang w:val="pl-PL"/>
              </w:rPr>
              <w:t xml:space="preserve">mất giá của NDT cũng như mức mất giá trung bình của đồng tiền </w:t>
            </w:r>
            <w:r w:rsidR="00A66309" w:rsidRPr="00147E23">
              <w:rPr>
                <w:rFonts w:eastAsiaTheme="minorEastAsia"/>
                <w:spacing w:val="4"/>
                <w:sz w:val="26"/>
                <w:szCs w:val="26"/>
                <w:lang w:val="pl-PL"/>
              </w:rPr>
              <w:t>8 nước châu Á</w:t>
            </w:r>
            <w:r w:rsidR="00D62843" w:rsidRPr="00147E23">
              <w:rPr>
                <w:rStyle w:val="FootnoteReference"/>
                <w:rFonts w:eastAsiaTheme="minorEastAsia"/>
                <w:spacing w:val="4"/>
                <w:sz w:val="26"/>
                <w:szCs w:val="26"/>
                <w:lang w:val="pl-PL"/>
              </w:rPr>
              <w:footnoteReference w:id="13"/>
            </w:r>
            <w:r w:rsidR="00A66309" w:rsidRPr="00147E23">
              <w:rPr>
                <w:rFonts w:eastAsiaTheme="minorEastAsia"/>
                <w:spacing w:val="4"/>
                <w:sz w:val="26"/>
                <w:szCs w:val="26"/>
                <w:lang w:val="pl-PL"/>
              </w:rPr>
              <w:t xml:space="preserve">trong tuần thứ 2 và thứ 3 tháng 8. </w:t>
            </w:r>
          </w:p>
        </w:tc>
        <w:tc>
          <w:tcPr>
            <w:tcW w:w="4679" w:type="dxa"/>
          </w:tcPr>
          <w:p w:rsidR="000407D7" w:rsidRPr="009B644B" w:rsidRDefault="000407D7" w:rsidP="004B4900">
            <w:pPr>
              <w:spacing w:after="0" w:line="312" w:lineRule="auto"/>
              <w:jc w:val="center"/>
              <w:rPr>
                <w:b/>
                <w:sz w:val="16"/>
                <w:lang w:val="pl-PL"/>
              </w:rPr>
            </w:pPr>
          </w:p>
          <w:p w:rsidR="008E7F5E" w:rsidRPr="00035687" w:rsidRDefault="008E7F5E" w:rsidP="00035687">
            <w:pPr>
              <w:spacing w:after="0" w:line="312" w:lineRule="auto"/>
              <w:ind w:left="-107" w:right="-108" w:firstLine="0"/>
              <w:jc w:val="center"/>
              <w:rPr>
                <w:rFonts w:ascii="Times New Roman Bold" w:hAnsi="Times New Roman Bold"/>
                <w:b/>
                <w:spacing w:val="-4"/>
                <w:sz w:val="24"/>
                <w:lang w:val="pl-PL"/>
              </w:rPr>
            </w:pPr>
            <w:r w:rsidRPr="00035687">
              <w:rPr>
                <w:rFonts w:ascii="Times New Roman Bold" w:hAnsi="Times New Roman Bold"/>
                <w:b/>
                <w:spacing w:val="-4"/>
                <w:sz w:val="24"/>
                <w:lang w:val="pl-PL"/>
              </w:rPr>
              <w:t>Hình</w:t>
            </w:r>
            <w:r w:rsidR="00384661" w:rsidRPr="00035687">
              <w:rPr>
                <w:rFonts w:ascii="Times New Roman Bold" w:hAnsi="Times New Roman Bold"/>
                <w:b/>
                <w:spacing w:val="-4"/>
                <w:sz w:val="24"/>
                <w:lang w:val="pl-PL"/>
              </w:rPr>
              <w:t>9</w:t>
            </w:r>
            <w:r w:rsidRPr="00035687">
              <w:rPr>
                <w:rFonts w:ascii="Times New Roman Bold" w:hAnsi="Times New Roman Bold"/>
                <w:b/>
                <w:spacing w:val="-4"/>
                <w:sz w:val="24"/>
                <w:lang w:val="pl-PL"/>
              </w:rPr>
              <w:t>: Diễn biến tỷ giá 8 tháng đầu năm 2015</w:t>
            </w:r>
          </w:p>
          <w:p w:rsidR="008E7F5E" w:rsidRDefault="008E7F5E" w:rsidP="004B4900">
            <w:pPr>
              <w:spacing w:before="120" w:line="288" w:lineRule="auto"/>
              <w:ind w:firstLine="0"/>
              <w:rPr>
                <w:rFonts w:eastAsiaTheme="minorEastAsia"/>
                <w:sz w:val="26"/>
                <w:szCs w:val="26"/>
                <w:lang w:val="pl-PL"/>
              </w:rPr>
            </w:pPr>
            <w:r w:rsidRPr="00C5773C">
              <w:rPr>
                <w:rFonts w:eastAsiaTheme="minorEastAsia"/>
                <w:noProof/>
                <w:sz w:val="26"/>
                <w:szCs w:val="26"/>
              </w:rPr>
              <w:drawing>
                <wp:inline distT="0" distB="0" distL="0" distR="0">
                  <wp:extent cx="2806810" cy="228997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E7F5E" w:rsidRPr="00C5773C" w:rsidRDefault="008E7F5E" w:rsidP="004B4900">
            <w:pPr>
              <w:jc w:val="right"/>
              <w:rPr>
                <w:rFonts w:eastAsiaTheme="minorEastAsia"/>
                <w:i/>
                <w:sz w:val="26"/>
                <w:szCs w:val="26"/>
                <w:lang w:val="pl-PL"/>
              </w:rPr>
            </w:pPr>
            <w:r w:rsidRPr="00C5773C">
              <w:rPr>
                <w:rFonts w:eastAsiaTheme="minorEastAsia"/>
                <w:i/>
                <w:sz w:val="26"/>
                <w:szCs w:val="26"/>
                <w:lang w:val="pl-PL"/>
              </w:rPr>
              <w:t>Nguồn: HSC</w:t>
            </w:r>
          </w:p>
        </w:tc>
      </w:tr>
    </w:tbl>
    <w:p w:rsidR="00A66309" w:rsidRDefault="00E829A7" w:rsidP="008E7F5E">
      <w:pPr>
        <w:spacing w:before="120" w:line="288" w:lineRule="auto"/>
        <w:rPr>
          <w:rFonts w:eastAsiaTheme="minorEastAsia"/>
          <w:spacing w:val="4"/>
          <w:sz w:val="26"/>
          <w:szCs w:val="26"/>
          <w:lang w:val="pl-PL"/>
        </w:rPr>
      </w:pPr>
      <w:r>
        <w:rPr>
          <w:rFonts w:eastAsiaTheme="minorEastAsia"/>
          <w:sz w:val="26"/>
          <w:szCs w:val="26"/>
          <w:lang w:val="pl-PL"/>
        </w:rPr>
        <w:t>Đ</w:t>
      </w:r>
      <w:r w:rsidRPr="00E829A7">
        <w:rPr>
          <w:rFonts w:eastAsiaTheme="minorEastAsia"/>
          <w:spacing w:val="4"/>
          <w:sz w:val="26"/>
          <w:szCs w:val="26"/>
          <w:lang w:val="pl-PL"/>
        </w:rPr>
        <w:t>ộng thái điều chỉnh tỷ giá của NHNN được coi là nhanh nhạy, tạo hiệu ứng tích cực hỗ trợ cho cạnh tranh hàng hóa của Việt Nam cũng như hỗ trợ tâm lý cho thị trường</w:t>
      </w:r>
    </w:p>
    <w:p w:rsidR="00E829A7" w:rsidRDefault="00E829A7" w:rsidP="008E7F5E">
      <w:pPr>
        <w:spacing w:before="120" w:line="288" w:lineRule="auto"/>
        <w:rPr>
          <w:rFonts w:eastAsiaTheme="minorEastAsia"/>
          <w:spacing w:val="4"/>
          <w:sz w:val="26"/>
          <w:szCs w:val="26"/>
          <w:lang w:val="pl-PL"/>
        </w:rPr>
      </w:pPr>
    </w:p>
    <w:p w:rsidR="00E829A7" w:rsidRDefault="00E829A7" w:rsidP="008E7F5E">
      <w:pPr>
        <w:spacing w:before="120" w:line="288" w:lineRule="auto"/>
        <w:rPr>
          <w:rFonts w:eastAsiaTheme="minorEastAsia"/>
          <w:sz w:val="26"/>
          <w:szCs w:val="26"/>
          <w:lang w:val="pl-PL"/>
        </w:rPr>
      </w:pPr>
    </w:p>
    <w:p w:rsidR="00391162" w:rsidRPr="00391162" w:rsidRDefault="00391162" w:rsidP="008E7F5E">
      <w:pPr>
        <w:spacing w:before="120" w:line="288" w:lineRule="auto"/>
        <w:ind w:firstLine="0"/>
        <w:rPr>
          <w:rFonts w:eastAsiaTheme="minorEastAsia"/>
          <w:b/>
          <w:sz w:val="26"/>
          <w:szCs w:val="26"/>
          <w:lang w:val="pl-PL"/>
        </w:rPr>
      </w:pPr>
      <w:r w:rsidRPr="00391162">
        <w:rPr>
          <w:rFonts w:eastAsiaTheme="minorEastAsia"/>
          <w:b/>
          <w:sz w:val="26"/>
          <w:szCs w:val="26"/>
          <w:lang w:val="pl-PL"/>
        </w:rPr>
        <w:lastRenderedPageBreak/>
        <w:t>4. Về khu vực tài chính</w:t>
      </w:r>
    </w:p>
    <w:p w:rsidR="008E7F5E" w:rsidRPr="00F262AE" w:rsidRDefault="008E7F5E" w:rsidP="008E7F5E">
      <w:pPr>
        <w:spacing w:before="120" w:line="288" w:lineRule="auto"/>
        <w:ind w:firstLine="0"/>
        <w:rPr>
          <w:rFonts w:eastAsiaTheme="minorEastAsia"/>
          <w:i/>
          <w:sz w:val="26"/>
          <w:szCs w:val="26"/>
          <w:lang w:val="pl-PL"/>
        </w:rPr>
      </w:pPr>
      <w:r>
        <w:rPr>
          <w:rFonts w:eastAsiaTheme="minorEastAsia"/>
          <w:sz w:val="26"/>
          <w:szCs w:val="26"/>
          <w:lang w:val="pl-PL"/>
        </w:rPr>
        <w:tab/>
      </w:r>
      <w:r w:rsidR="001941BA">
        <w:rPr>
          <w:rFonts w:eastAsiaTheme="minorEastAsia"/>
          <w:i/>
          <w:sz w:val="26"/>
          <w:szCs w:val="26"/>
          <w:lang w:val="pl-PL"/>
        </w:rPr>
        <w:t xml:space="preserve">- Khu vực ngân hàng ổn định thanh khoản, tăng trưởng tín dụng tốt, trích lập DPRR tăng. </w:t>
      </w:r>
    </w:p>
    <w:p w:rsidR="008E7F5E" w:rsidRPr="00F262AE" w:rsidRDefault="008E7F5E" w:rsidP="008E7F5E">
      <w:pPr>
        <w:pStyle w:val="ListParagraph"/>
        <w:numPr>
          <w:ilvl w:val="0"/>
          <w:numId w:val="22"/>
        </w:numPr>
        <w:tabs>
          <w:tab w:val="left" w:pos="1134"/>
        </w:tabs>
        <w:spacing w:before="120" w:line="288" w:lineRule="auto"/>
        <w:ind w:left="0" w:firstLine="851"/>
        <w:contextualSpacing w:val="0"/>
        <w:rPr>
          <w:sz w:val="26"/>
          <w:szCs w:val="26"/>
          <w:lang w:val="pl-PL"/>
        </w:rPr>
      </w:pPr>
      <w:r w:rsidRPr="00F262AE">
        <w:rPr>
          <w:sz w:val="26"/>
          <w:szCs w:val="26"/>
          <w:lang w:val="pl-PL"/>
        </w:rPr>
        <w:t xml:space="preserve">Tính tới 10/8/2015, tổng tín đụng đối với nền kinh tế (cho vay doanh nghiệp, cá nhân, và trái phiếu doanh nghiệp) tăng 8,3% so với cuối năm 2014, cao hơn nhiều so với mức tăng 3,7% của 7 tháng đầu năm 2014. </w:t>
      </w:r>
    </w:p>
    <w:p w:rsidR="008E7F5E" w:rsidRPr="0038180B" w:rsidRDefault="008E7F5E" w:rsidP="008E7F5E">
      <w:pPr>
        <w:tabs>
          <w:tab w:val="left" w:pos="851"/>
        </w:tabs>
        <w:spacing w:before="120" w:line="288" w:lineRule="auto"/>
        <w:ind w:firstLine="0"/>
        <w:rPr>
          <w:sz w:val="26"/>
          <w:szCs w:val="26"/>
          <w:lang w:val="pl-PL"/>
        </w:rPr>
      </w:pPr>
      <w:r>
        <w:rPr>
          <w:sz w:val="26"/>
          <w:szCs w:val="26"/>
          <w:lang w:val="pl-PL"/>
        </w:rPr>
        <w:tab/>
        <w:t xml:space="preserve">(ii) </w:t>
      </w:r>
      <w:r w:rsidR="001941BA">
        <w:rPr>
          <w:sz w:val="26"/>
          <w:szCs w:val="26"/>
          <w:lang w:val="pl-PL"/>
        </w:rPr>
        <w:t xml:space="preserve">Tăng trưởng tín dụng tốt hơn, khu vực doanh nghiệp hoạt động hiệu quả hơn phần nào giúp </w:t>
      </w:r>
      <w:r w:rsidRPr="0038180B">
        <w:rPr>
          <w:sz w:val="26"/>
          <w:szCs w:val="26"/>
          <w:lang w:val="pl-PL"/>
        </w:rPr>
        <w:t xml:space="preserve">khoản mục “lãi dự thu” của các NHTM cũng giảm nhẹ (-4,2%) so với cùng kỳ 2014. </w:t>
      </w:r>
    </w:p>
    <w:p w:rsidR="008E7F5E" w:rsidRPr="0038180B" w:rsidRDefault="008E7F5E" w:rsidP="008E7F5E">
      <w:pPr>
        <w:tabs>
          <w:tab w:val="left" w:pos="851"/>
        </w:tabs>
        <w:spacing w:before="120" w:line="288" w:lineRule="auto"/>
        <w:ind w:firstLine="0"/>
        <w:rPr>
          <w:sz w:val="26"/>
          <w:szCs w:val="26"/>
          <w:lang w:val="pl-PL"/>
        </w:rPr>
      </w:pPr>
      <w:r w:rsidRPr="0038180B">
        <w:rPr>
          <w:sz w:val="26"/>
          <w:szCs w:val="26"/>
          <w:lang w:val="pl-PL"/>
        </w:rPr>
        <w:tab/>
        <w:t>(iii) Hiện tại, khả năng thanh khoản của khu vực ngân hàng khá tốt, tỷ lệ LDR (cho vay/huy động) duy trì ở mức dưới 80%; với huy động và tín dụng ngo</w:t>
      </w:r>
      <w:r w:rsidR="001941BA">
        <w:rPr>
          <w:sz w:val="26"/>
          <w:szCs w:val="26"/>
          <w:lang w:val="pl-PL"/>
        </w:rPr>
        <w:t xml:space="preserve">ại tệ, LDR cũng ở mức dưới 85%. Những tỷ lệ này nằm trong giới hạn an toàn về thanh khoản. </w:t>
      </w:r>
    </w:p>
    <w:p w:rsidR="008E7F5E" w:rsidRPr="0038180B" w:rsidRDefault="008E7F5E" w:rsidP="008E7F5E">
      <w:pPr>
        <w:tabs>
          <w:tab w:val="left" w:pos="851"/>
        </w:tabs>
        <w:spacing w:before="120" w:line="288" w:lineRule="auto"/>
        <w:ind w:firstLine="0"/>
        <w:rPr>
          <w:sz w:val="26"/>
          <w:szCs w:val="26"/>
          <w:lang w:val="pl-PL"/>
        </w:rPr>
      </w:pPr>
      <w:r w:rsidRPr="0038180B">
        <w:rPr>
          <w:sz w:val="26"/>
          <w:szCs w:val="26"/>
          <w:lang w:val="pl-PL"/>
        </w:rPr>
        <w:tab/>
        <w:t xml:space="preserve">(iv) </w:t>
      </w:r>
      <w:r w:rsidR="001941BA">
        <w:rPr>
          <w:sz w:val="26"/>
          <w:szCs w:val="26"/>
          <w:lang w:val="pl-PL"/>
        </w:rPr>
        <w:t>Mặc dù tăng trưởng tín dụng khá, hệ số NIM tăng nhẹ, nhưng do trích lập dự phòng rủi ro tăng khiến k</w:t>
      </w:r>
      <w:r w:rsidRPr="0038180B">
        <w:rPr>
          <w:sz w:val="26"/>
          <w:szCs w:val="26"/>
          <w:lang w:val="pl-PL"/>
        </w:rPr>
        <w:t>hả năng sinh lời của khối NHTM giảm</w:t>
      </w:r>
    </w:p>
    <w:tbl>
      <w:tblPr>
        <w:tblW w:w="8454" w:type="dxa"/>
        <w:jc w:val="center"/>
        <w:tblInd w:w="93" w:type="dxa"/>
        <w:tblLook w:val="04A0"/>
      </w:tblPr>
      <w:tblGrid>
        <w:gridCol w:w="2135"/>
        <w:gridCol w:w="1607"/>
        <w:gridCol w:w="1595"/>
        <w:gridCol w:w="3117"/>
      </w:tblGrid>
      <w:tr w:rsidR="008E7F5E" w:rsidRPr="00F262AE" w:rsidTr="004B4900">
        <w:trPr>
          <w:trHeight w:val="615"/>
          <w:jc w:val="center"/>
        </w:trPr>
        <w:tc>
          <w:tcPr>
            <w:tcW w:w="2135"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8E7F5E" w:rsidRPr="00F262AE" w:rsidRDefault="008E7F5E" w:rsidP="000407D7">
            <w:pPr>
              <w:spacing w:before="60" w:after="60"/>
              <w:ind w:firstLine="0"/>
              <w:jc w:val="center"/>
              <w:rPr>
                <w:b/>
                <w:bCs/>
                <w:color w:val="000000"/>
                <w:sz w:val="24"/>
                <w:szCs w:val="26"/>
              </w:rPr>
            </w:pPr>
            <w:r w:rsidRPr="00F262AE">
              <w:rPr>
                <w:b/>
                <w:bCs/>
                <w:color w:val="000000"/>
                <w:sz w:val="24"/>
                <w:szCs w:val="26"/>
              </w:rPr>
              <w:t>Khả năng sinh lời</w:t>
            </w:r>
          </w:p>
        </w:tc>
        <w:tc>
          <w:tcPr>
            <w:tcW w:w="1607" w:type="dxa"/>
            <w:tcBorders>
              <w:top w:val="single" w:sz="4" w:space="0" w:color="auto"/>
              <w:left w:val="nil"/>
              <w:bottom w:val="single" w:sz="4" w:space="0" w:color="auto"/>
              <w:right w:val="single" w:sz="4" w:space="0" w:color="auto"/>
            </w:tcBorders>
            <w:shd w:val="clear" w:color="000000" w:fill="FDE9D9"/>
            <w:vAlign w:val="center"/>
            <w:hideMark/>
          </w:tcPr>
          <w:p w:rsidR="008E7F5E" w:rsidRPr="00F262AE" w:rsidRDefault="008E7F5E" w:rsidP="000407D7">
            <w:pPr>
              <w:spacing w:before="60" w:after="60"/>
              <w:ind w:firstLine="0"/>
              <w:jc w:val="center"/>
              <w:rPr>
                <w:b/>
                <w:bCs/>
                <w:color w:val="000000"/>
                <w:sz w:val="24"/>
                <w:szCs w:val="26"/>
              </w:rPr>
            </w:pPr>
            <w:r w:rsidRPr="00F262AE">
              <w:rPr>
                <w:b/>
                <w:bCs/>
                <w:color w:val="000000"/>
                <w:sz w:val="24"/>
                <w:szCs w:val="26"/>
              </w:rPr>
              <w:t>2013</w:t>
            </w:r>
          </w:p>
        </w:tc>
        <w:tc>
          <w:tcPr>
            <w:tcW w:w="1595" w:type="dxa"/>
            <w:tcBorders>
              <w:top w:val="single" w:sz="4" w:space="0" w:color="auto"/>
              <w:left w:val="nil"/>
              <w:bottom w:val="single" w:sz="4" w:space="0" w:color="auto"/>
              <w:right w:val="single" w:sz="4" w:space="0" w:color="auto"/>
            </w:tcBorders>
            <w:shd w:val="clear" w:color="000000" w:fill="FDE9D9"/>
            <w:vAlign w:val="center"/>
            <w:hideMark/>
          </w:tcPr>
          <w:p w:rsidR="008E7F5E" w:rsidRPr="00F262AE" w:rsidRDefault="008E7F5E" w:rsidP="000407D7">
            <w:pPr>
              <w:spacing w:before="60" w:after="60"/>
              <w:ind w:firstLine="0"/>
              <w:jc w:val="center"/>
              <w:rPr>
                <w:b/>
                <w:bCs/>
                <w:color w:val="000000"/>
                <w:sz w:val="24"/>
                <w:szCs w:val="26"/>
              </w:rPr>
            </w:pPr>
            <w:r w:rsidRPr="00F262AE">
              <w:rPr>
                <w:b/>
                <w:bCs/>
                <w:color w:val="000000"/>
                <w:sz w:val="24"/>
                <w:szCs w:val="26"/>
              </w:rPr>
              <w:t>2014</w:t>
            </w:r>
          </w:p>
        </w:tc>
        <w:tc>
          <w:tcPr>
            <w:tcW w:w="3117" w:type="dxa"/>
            <w:tcBorders>
              <w:top w:val="single" w:sz="4" w:space="0" w:color="auto"/>
              <w:left w:val="nil"/>
              <w:bottom w:val="single" w:sz="4" w:space="0" w:color="auto"/>
              <w:right w:val="single" w:sz="4" w:space="0" w:color="000000"/>
            </w:tcBorders>
            <w:shd w:val="clear" w:color="000000" w:fill="FDE9D9"/>
            <w:vAlign w:val="center"/>
            <w:hideMark/>
          </w:tcPr>
          <w:p w:rsidR="008E7F5E" w:rsidRPr="00F262AE" w:rsidRDefault="008E7F5E" w:rsidP="000407D7">
            <w:pPr>
              <w:spacing w:before="60" w:after="60"/>
              <w:ind w:firstLine="0"/>
              <w:jc w:val="center"/>
              <w:rPr>
                <w:b/>
                <w:bCs/>
                <w:color w:val="000000"/>
                <w:sz w:val="24"/>
                <w:szCs w:val="26"/>
              </w:rPr>
            </w:pPr>
            <w:r w:rsidRPr="00F262AE">
              <w:rPr>
                <w:b/>
                <w:bCs/>
                <w:color w:val="000000"/>
                <w:sz w:val="24"/>
                <w:szCs w:val="26"/>
              </w:rPr>
              <w:t>Tháng 6 (trượt 12 tháng)</w:t>
            </w:r>
          </w:p>
        </w:tc>
      </w:tr>
      <w:tr w:rsidR="008E7F5E" w:rsidRPr="00F262AE" w:rsidTr="004B4900">
        <w:trPr>
          <w:trHeight w:val="315"/>
          <w:jc w:val="center"/>
        </w:trPr>
        <w:tc>
          <w:tcPr>
            <w:tcW w:w="2135" w:type="dxa"/>
            <w:tcBorders>
              <w:top w:val="nil"/>
              <w:left w:val="single" w:sz="4" w:space="0" w:color="auto"/>
              <w:bottom w:val="single" w:sz="4" w:space="0" w:color="auto"/>
              <w:right w:val="single" w:sz="4" w:space="0" w:color="auto"/>
            </w:tcBorders>
            <w:shd w:val="clear" w:color="000000" w:fill="FFFFFF"/>
            <w:vAlign w:val="bottom"/>
            <w:hideMark/>
          </w:tcPr>
          <w:p w:rsidR="008E7F5E" w:rsidRPr="00F262AE" w:rsidRDefault="008E7F5E" w:rsidP="000407D7">
            <w:pPr>
              <w:spacing w:before="60" w:after="60"/>
              <w:ind w:firstLine="0"/>
              <w:jc w:val="center"/>
              <w:rPr>
                <w:sz w:val="24"/>
                <w:szCs w:val="26"/>
              </w:rPr>
            </w:pPr>
            <w:r w:rsidRPr="00F262AE">
              <w:rPr>
                <w:sz w:val="24"/>
                <w:szCs w:val="26"/>
              </w:rPr>
              <w:t>NIM</w:t>
            </w:r>
          </w:p>
        </w:tc>
        <w:tc>
          <w:tcPr>
            <w:tcW w:w="1607" w:type="dxa"/>
            <w:tcBorders>
              <w:top w:val="nil"/>
              <w:left w:val="nil"/>
              <w:bottom w:val="single" w:sz="4" w:space="0" w:color="auto"/>
              <w:right w:val="single" w:sz="4" w:space="0" w:color="auto"/>
            </w:tcBorders>
            <w:shd w:val="clear" w:color="000000" w:fill="FFFFFF"/>
            <w:noWrap/>
            <w:vAlign w:val="center"/>
            <w:hideMark/>
          </w:tcPr>
          <w:p w:rsidR="008E7F5E" w:rsidRPr="00F262AE" w:rsidRDefault="008E7F5E" w:rsidP="000407D7">
            <w:pPr>
              <w:spacing w:before="60" w:after="60"/>
              <w:ind w:firstLine="0"/>
              <w:jc w:val="right"/>
              <w:rPr>
                <w:color w:val="000000"/>
                <w:sz w:val="24"/>
                <w:szCs w:val="26"/>
              </w:rPr>
            </w:pPr>
            <w:r w:rsidRPr="00F262AE">
              <w:rPr>
                <w:color w:val="000000"/>
                <w:sz w:val="24"/>
                <w:szCs w:val="26"/>
              </w:rPr>
              <w:t>2,80%</w:t>
            </w:r>
          </w:p>
        </w:tc>
        <w:tc>
          <w:tcPr>
            <w:tcW w:w="1595" w:type="dxa"/>
            <w:tcBorders>
              <w:top w:val="nil"/>
              <w:left w:val="nil"/>
              <w:bottom w:val="single" w:sz="4" w:space="0" w:color="auto"/>
              <w:right w:val="single" w:sz="4" w:space="0" w:color="auto"/>
            </w:tcBorders>
            <w:shd w:val="clear" w:color="000000" w:fill="FFFFFF"/>
            <w:noWrap/>
            <w:vAlign w:val="center"/>
            <w:hideMark/>
          </w:tcPr>
          <w:p w:rsidR="008E7F5E" w:rsidRPr="00F262AE" w:rsidRDefault="008E7F5E" w:rsidP="000407D7">
            <w:pPr>
              <w:spacing w:before="60" w:after="60"/>
              <w:ind w:firstLine="0"/>
              <w:jc w:val="right"/>
              <w:rPr>
                <w:color w:val="000000"/>
                <w:sz w:val="24"/>
                <w:szCs w:val="26"/>
              </w:rPr>
            </w:pPr>
            <w:r w:rsidRPr="00F262AE">
              <w:rPr>
                <w:color w:val="000000"/>
                <w:sz w:val="24"/>
                <w:szCs w:val="26"/>
              </w:rPr>
              <w:t>2,70%</w:t>
            </w:r>
          </w:p>
        </w:tc>
        <w:tc>
          <w:tcPr>
            <w:tcW w:w="3117" w:type="dxa"/>
            <w:tcBorders>
              <w:top w:val="nil"/>
              <w:left w:val="nil"/>
              <w:bottom w:val="single" w:sz="4" w:space="0" w:color="auto"/>
              <w:right w:val="single" w:sz="4" w:space="0" w:color="000000"/>
            </w:tcBorders>
            <w:shd w:val="clear" w:color="000000" w:fill="FFFFFF"/>
            <w:noWrap/>
            <w:vAlign w:val="center"/>
            <w:hideMark/>
          </w:tcPr>
          <w:p w:rsidR="008E7F5E" w:rsidRPr="00F262AE" w:rsidRDefault="008E7F5E" w:rsidP="000407D7">
            <w:pPr>
              <w:spacing w:before="60" w:after="60"/>
              <w:ind w:firstLine="0"/>
              <w:jc w:val="right"/>
              <w:rPr>
                <w:color w:val="000000"/>
                <w:sz w:val="24"/>
                <w:szCs w:val="26"/>
              </w:rPr>
            </w:pPr>
            <w:r w:rsidRPr="00F262AE">
              <w:rPr>
                <w:color w:val="000000"/>
                <w:sz w:val="24"/>
                <w:szCs w:val="26"/>
              </w:rPr>
              <w:t>2,74%</w:t>
            </w:r>
          </w:p>
        </w:tc>
      </w:tr>
      <w:tr w:rsidR="008E7F5E" w:rsidRPr="00F262AE" w:rsidTr="004B4900">
        <w:trPr>
          <w:trHeight w:val="315"/>
          <w:jc w:val="center"/>
        </w:trPr>
        <w:tc>
          <w:tcPr>
            <w:tcW w:w="2135" w:type="dxa"/>
            <w:tcBorders>
              <w:top w:val="nil"/>
              <w:left w:val="single" w:sz="4" w:space="0" w:color="auto"/>
              <w:bottom w:val="single" w:sz="4" w:space="0" w:color="auto"/>
              <w:right w:val="single" w:sz="4" w:space="0" w:color="auto"/>
            </w:tcBorders>
            <w:shd w:val="clear" w:color="000000" w:fill="FFFFFF"/>
            <w:vAlign w:val="bottom"/>
            <w:hideMark/>
          </w:tcPr>
          <w:p w:rsidR="008E7F5E" w:rsidRPr="00F262AE" w:rsidRDefault="008E7F5E" w:rsidP="000407D7">
            <w:pPr>
              <w:spacing w:before="60" w:after="60"/>
              <w:ind w:firstLine="0"/>
              <w:jc w:val="center"/>
              <w:rPr>
                <w:sz w:val="24"/>
                <w:szCs w:val="26"/>
              </w:rPr>
            </w:pPr>
            <w:r w:rsidRPr="00F262AE">
              <w:rPr>
                <w:sz w:val="24"/>
                <w:szCs w:val="26"/>
              </w:rPr>
              <w:t>ROE</w:t>
            </w:r>
          </w:p>
        </w:tc>
        <w:tc>
          <w:tcPr>
            <w:tcW w:w="1607" w:type="dxa"/>
            <w:tcBorders>
              <w:top w:val="nil"/>
              <w:left w:val="nil"/>
              <w:bottom w:val="single" w:sz="4" w:space="0" w:color="auto"/>
              <w:right w:val="single" w:sz="4" w:space="0" w:color="auto"/>
            </w:tcBorders>
            <w:shd w:val="clear" w:color="000000" w:fill="FFFFFF"/>
            <w:noWrap/>
            <w:vAlign w:val="center"/>
            <w:hideMark/>
          </w:tcPr>
          <w:p w:rsidR="008E7F5E" w:rsidRPr="00F262AE" w:rsidRDefault="008E7F5E" w:rsidP="000407D7">
            <w:pPr>
              <w:spacing w:before="60" w:after="60"/>
              <w:ind w:firstLine="0"/>
              <w:jc w:val="right"/>
              <w:rPr>
                <w:color w:val="000000"/>
                <w:sz w:val="24"/>
                <w:szCs w:val="26"/>
              </w:rPr>
            </w:pPr>
            <w:r w:rsidRPr="00F262AE">
              <w:rPr>
                <w:color w:val="000000"/>
                <w:sz w:val="24"/>
                <w:szCs w:val="26"/>
              </w:rPr>
              <w:t>6,44%</w:t>
            </w:r>
          </w:p>
        </w:tc>
        <w:tc>
          <w:tcPr>
            <w:tcW w:w="1595" w:type="dxa"/>
            <w:tcBorders>
              <w:top w:val="nil"/>
              <w:left w:val="nil"/>
              <w:bottom w:val="single" w:sz="4" w:space="0" w:color="auto"/>
              <w:right w:val="single" w:sz="4" w:space="0" w:color="auto"/>
            </w:tcBorders>
            <w:shd w:val="clear" w:color="000000" w:fill="FFFFFF"/>
            <w:noWrap/>
            <w:vAlign w:val="center"/>
            <w:hideMark/>
          </w:tcPr>
          <w:p w:rsidR="008E7F5E" w:rsidRPr="00F262AE" w:rsidRDefault="008E7F5E" w:rsidP="000407D7">
            <w:pPr>
              <w:spacing w:before="60" w:after="60"/>
              <w:ind w:firstLine="0"/>
              <w:jc w:val="right"/>
              <w:rPr>
                <w:color w:val="000000"/>
                <w:sz w:val="24"/>
                <w:szCs w:val="26"/>
              </w:rPr>
            </w:pPr>
            <w:r w:rsidRPr="00F262AE">
              <w:rPr>
                <w:color w:val="000000"/>
                <w:sz w:val="24"/>
                <w:szCs w:val="26"/>
              </w:rPr>
              <w:t>4,56%</w:t>
            </w:r>
          </w:p>
        </w:tc>
        <w:tc>
          <w:tcPr>
            <w:tcW w:w="3117" w:type="dxa"/>
            <w:tcBorders>
              <w:top w:val="single" w:sz="4" w:space="0" w:color="auto"/>
              <w:left w:val="nil"/>
              <w:bottom w:val="single" w:sz="4" w:space="0" w:color="auto"/>
              <w:right w:val="single" w:sz="4" w:space="0" w:color="000000"/>
            </w:tcBorders>
            <w:shd w:val="clear" w:color="000000" w:fill="FFFFFF"/>
            <w:noWrap/>
            <w:vAlign w:val="center"/>
            <w:hideMark/>
          </w:tcPr>
          <w:p w:rsidR="008E7F5E" w:rsidRPr="00F262AE" w:rsidRDefault="008E7F5E" w:rsidP="000407D7">
            <w:pPr>
              <w:spacing w:before="60" w:after="60"/>
              <w:ind w:firstLine="0"/>
              <w:jc w:val="right"/>
              <w:rPr>
                <w:color w:val="000000"/>
                <w:sz w:val="24"/>
                <w:szCs w:val="26"/>
              </w:rPr>
            </w:pPr>
            <w:r w:rsidRPr="00F262AE">
              <w:rPr>
                <w:color w:val="000000"/>
                <w:sz w:val="24"/>
                <w:szCs w:val="26"/>
              </w:rPr>
              <w:t>4,20%</w:t>
            </w:r>
          </w:p>
        </w:tc>
      </w:tr>
      <w:tr w:rsidR="008E7F5E" w:rsidRPr="00F262AE" w:rsidTr="004B4900">
        <w:trPr>
          <w:trHeight w:val="315"/>
          <w:jc w:val="center"/>
        </w:trPr>
        <w:tc>
          <w:tcPr>
            <w:tcW w:w="2135" w:type="dxa"/>
            <w:tcBorders>
              <w:top w:val="nil"/>
              <w:left w:val="single" w:sz="4" w:space="0" w:color="auto"/>
              <w:bottom w:val="single" w:sz="4" w:space="0" w:color="auto"/>
              <w:right w:val="single" w:sz="4" w:space="0" w:color="auto"/>
            </w:tcBorders>
            <w:shd w:val="clear" w:color="000000" w:fill="FFFFFF"/>
            <w:vAlign w:val="bottom"/>
            <w:hideMark/>
          </w:tcPr>
          <w:p w:rsidR="008E7F5E" w:rsidRPr="00F262AE" w:rsidRDefault="008E7F5E" w:rsidP="000407D7">
            <w:pPr>
              <w:spacing w:before="60" w:after="60"/>
              <w:ind w:firstLine="0"/>
              <w:jc w:val="center"/>
              <w:rPr>
                <w:sz w:val="24"/>
                <w:szCs w:val="26"/>
              </w:rPr>
            </w:pPr>
            <w:r w:rsidRPr="00F262AE">
              <w:rPr>
                <w:sz w:val="24"/>
                <w:szCs w:val="26"/>
              </w:rPr>
              <w:t>ROA</w:t>
            </w:r>
          </w:p>
        </w:tc>
        <w:tc>
          <w:tcPr>
            <w:tcW w:w="1607" w:type="dxa"/>
            <w:tcBorders>
              <w:top w:val="nil"/>
              <w:left w:val="nil"/>
              <w:bottom w:val="single" w:sz="4" w:space="0" w:color="auto"/>
              <w:right w:val="single" w:sz="4" w:space="0" w:color="auto"/>
            </w:tcBorders>
            <w:shd w:val="clear" w:color="000000" w:fill="FFFFFF"/>
            <w:noWrap/>
            <w:vAlign w:val="center"/>
            <w:hideMark/>
          </w:tcPr>
          <w:p w:rsidR="008E7F5E" w:rsidRPr="00F262AE" w:rsidRDefault="008E7F5E" w:rsidP="000407D7">
            <w:pPr>
              <w:spacing w:before="60" w:after="60"/>
              <w:ind w:firstLine="0"/>
              <w:jc w:val="right"/>
              <w:rPr>
                <w:color w:val="000000"/>
                <w:sz w:val="24"/>
                <w:szCs w:val="26"/>
              </w:rPr>
            </w:pPr>
            <w:r w:rsidRPr="00F262AE">
              <w:rPr>
                <w:color w:val="000000"/>
                <w:sz w:val="24"/>
                <w:szCs w:val="26"/>
              </w:rPr>
              <w:t>0,55%</w:t>
            </w:r>
          </w:p>
        </w:tc>
        <w:tc>
          <w:tcPr>
            <w:tcW w:w="1595" w:type="dxa"/>
            <w:tcBorders>
              <w:top w:val="nil"/>
              <w:left w:val="nil"/>
              <w:bottom w:val="single" w:sz="4" w:space="0" w:color="auto"/>
              <w:right w:val="single" w:sz="4" w:space="0" w:color="auto"/>
            </w:tcBorders>
            <w:shd w:val="clear" w:color="000000" w:fill="FFFFFF"/>
            <w:noWrap/>
            <w:vAlign w:val="center"/>
            <w:hideMark/>
          </w:tcPr>
          <w:p w:rsidR="008E7F5E" w:rsidRPr="00F262AE" w:rsidRDefault="008E7F5E" w:rsidP="000407D7">
            <w:pPr>
              <w:spacing w:before="60" w:after="60"/>
              <w:ind w:firstLine="0"/>
              <w:jc w:val="right"/>
              <w:rPr>
                <w:color w:val="000000"/>
                <w:sz w:val="24"/>
                <w:szCs w:val="26"/>
              </w:rPr>
            </w:pPr>
            <w:r w:rsidRPr="00F262AE">
              <w:rPr>
                <w:color w:val="000000"/>
                <w:sz w:val="24"/>
                <w:szCs w:val="26"/>
              </w:rPr>
              <w:t>0,36%</w:t>
            </w:r>
          </w:p>
        </w:tc>
        <w:tc>
          <w:tcPr>
            <w:tcW w:w="3117" w:type="dxa"/>
            <w:tcBorders>
              <w:top w:val="single" w:sz="4" w:space="0" w:color="auto"/>
              <w:left w:val="nil"/>
              <w:bottom w:val="single" w:sz="4" w:space="0" w:color="auto"/>
              <w:right w:val="single" w:sz="4" w:space="0" w:color="000000"/>
            </w:tcBorders>
            <w:shd w:val="clear" w:color="000000" w:fill="FFFFFF"/>
            <w:noWrap/>
            <w:vAlign w:val="center"/>
            <w:hideMark/>
          </w:tcPr>
          <w:p w:rsidR="008E7F5E" w:rsidRPr="00F262AE" w:rsidRDefault="008E7F5E" w:rsidP="000407D7">
            <w:pPr>
              <w:spacing w:before="60" w:after="60"/>
              <w:ind w:firstLine="0"/>
              <w:jc w:val="right"/>
              <w:rPr>
                <w:color w:val="000000"/>
                <w:sz w:val="24"/>
                <w:szCs w:val="26"/>
              </w:rPr>
            </w:pPr>
            <w:r w:rsidRPr="00F262AE">
              <w:rPr>
                <w:color w:val="000000"/>
                <w:sz w:val="24"/>
                <w:szCs w:val="26"/>
              </w:rPr>
              <w:t>0,33%</w:t>
            </w:r>
          </w:p>
        </w:tc>
      </w:tr>
    </w:tbl>
    <w:p w:rsidR="008E7F5E" w:rsidRPr="002E07C9" w:rsidRDefault="008E7F5E" w:rsidP="008E7F5E">
      <w:pPr>
        <w:spacing w:before="120"/>
        <w:jc w:val="right"/>
        <w:rPr>
          <w:i/>
          <w:sz w:val="26"/>
          <w:szCs w:val="28"/>
        </w:rPr>
      </w:pPr>
      <w:r w:rsidRPr="002E07C9">
        <w:rPr>
          <w:i/>
          <w:sz w:val="26"/>
          <w:szCs w:val="28"/>
        </w:rPr>
        <w:t>Nguồn: UBGSTCQG Tổng hợp</w:t>
      </w:r>
    </w:p>
    <w:p w:rsidR="00B079F1" w:rsidRDefault="001941BA" w:rsidP="00B77F5B">
      <w:pPr>
        <w:spacing w:before="120" w:line="288" w:lineRule="auto"/>
        <w:rPr>
          <w:rFonts w:eastAsiaTheme="minorEastAsia"/>
          <w:i/>
          <w:sz w:val="26"/>
          <w:szCs w:val="26"/>
          <w:lang w:val="pl-PL"/>
        </w:rPr>
      </w:pPr>
      <w:r w:rsidRPr="001941BA">
        <w:rPr>
          <w:rFonts w:eastAsiaTheme="minorEastAsia"/>
          <w:i/>
          <w:sz w:val="26"/>
          <w:szCs w:val="26"/>
          <w:lang w:val="pl-PL"/>
        </w:rPr>
        <w:t xml:space="preserve">- Thị trường chứng khoán suy giảm nhưng </w:t>
      </w:r>
      <w:r w:rsidR="00B079F1">
        <w:rPr>
          <w:rFonts w:eastAsiaTheme="minorEastAsia"/>
          <w:i/>
          <w:sz w:val="26"/>
          <w:szCs w:val="26"/>
          <w:lang w:val="pl-PL"/>
        </w:rPr>
        <w:t>có cơ sở để phục hồi</w:t>
      </w:r>
    </w:p>
    <w:p w:rsidR="00ED130E" w:rsidRPr="00E41DE0" w:rsidRDefault="00ED130E" w:rsidP="00ED130E">
      <w:pPr>
        <w:spacing w:line="288" w:lineRule="auto"/>
        <w:ind w:firstLine="709"/>
        <w:rPr>
          <w:sz w:val="26"/>
          <w:szCs w:val="26"/>
          <w:lang w:val="pl-PL"/>
        </w:rPr>
      </w:pPr>
      <w:r w:rsidRPr="00ED130E">
        <w:rPr>
          <w:sz w:val="26"/>
          <w:szCs w:val="26"/>
          <w:lang w:val="pl-PL"/>
        </w:rPr>
        <w:t xml:space="preserve">VN Index đóng cửa ngày 26/8/2015 tại 545,89 điểm giảm 12% so với cuối tháng 7, trong khi HNX Index giảm 10% trong cùng kỳ. </w:t>
      </w:r>
      <w:r w:rsidRPr="00E41DE0">
        <w:rPr>
          <w:sz w:val="26"/>
          <w:szCs w:val="26"/>
          <w:lang w:val="pl-PL"/>
        </w:rPr>
        <w:t xml:space="preserve">Khối ngoại bán ròng nhẹ khoảng 11,7 triệu USD kể từ đầu tháng 8 trên thị trường cổ phiếu niêm yết. </w:t>
      </w:r>
    </w:p>
    <w:p w:rsidR="00ED130E" w:rsidRPr="00E41DE0" w:rsidRDefault="00ED130E" w:rsidP="00ED130E">
      <w:pPr>
        <w:spacing w:before="120" w:line="288" w:lineRule="auto"/>
        <w:rPr>
          <w:sz w:val="26"/>
          <w:szCs w:val="26"/>
          <w:lang w:val="pl-PL"/>
        </w:rPr>
      </w:pPr>
      <w:r w:rsidRPr="00E41DE0">
        <w:rPr>
          <w:sz w:val="26"/>
          <w:szCs w:val="26"/>
          <w:lang w:val="pl-PL"/>
        </w:rPr>
        <w:t>Sự suy giảm của TTCK do cả yếu tố nội tại</w:t>
      </w:r>
      <w:r>
        <w:rPr>
          <w:rStyle w:val="FootnoteReference"/>
          <w:sz w:val="26"/>
          <w:szCs w:val="26"/>
        </w:rPr>
        <w:footnoteReference w:id="14"/>
      </w:r>
      <w:r w:rsidRPr="00E41DE0">
        <w:rPr>
          <w:sz w:val="26"/>
          <w:szCs w:val="26"/>
          <w:lang w:val="pl-PL"/>
        </w:rPr>
        <w:t xml:space="preserve"> và nguyên nhân đến từ bên ngoài nền kinh tế. (i) TTCK Mỹ điều chỉnh mạnh. Chỉ số Dow Jones và S&amp;P 500 đã điều chỉnh giảm hơn 10% từ mức cao nhất trong tháng 5 năm nay. (ii) Chỉ số MSCI các thị trường  chứng khoán mới nổi đã giảm 17% từ đầu năm 2015 và 27% so với cùng kỳ năm ngoái.  Giới đầu tư quốc tế đang lo ngại những biến động và rủi ro hệ thống có thể còn tiềm ẩn trong tương lai gần. (iii) Việc rút vốn tại các thị trường mới nổi có ảnh hưởng nhất định tới khả năng huy động vốn của các quỹ ETF đầu tư vào TTCK Việt Nam. Quỹ ETF Vietnam Market Vector bị rút vốn khoảng 18 triệu USD từ đầu tháng 8 nên thiếu nguồn vốn hỗ trợ thị trường.</w:t>
      </w:r>
    </w:p>
    <w:p w:rsidR="00ED130E" w:rsidRPr="00E41DE0" w:rsidRDefault="00ED130E" w:rsidP="00ED130E">
      <w:pPr>
        <w:spacing w:before="240" w:line="288" w:lineRule="auto"/>
        <w:ind w:firstLine="35"/>
        <w:jc w:val="center"/>
        <w:rPr>
          <w:b/>
          <w:sz w:val="24"/>
          <w:szCs w:val="26"/>
          <w:lang w:val="pl-PL"/>
        </w:rPr>
      </w:pPr>
      <w:r w:rsidRPr="00E41DE0">
        <w:rPr>
          <w:b/>
          <w:sz w:val="24"/>
          <w:szCs w:val="26"/>
          <w:lang w:val="pl-PL"/>
        </w:rPr>
        <w:lastRenderedPageBreak/>
        <w:t xml:space="preserve">Hình </w:t>
      </w:r>
      <w:r w:rsidR="00384661">
        <w:rPr>
          <w:b/>
          <w:sz w:val="24"/>
          <w:szCs w:val="26"/>
          <w:lang w:val="pl-PL"/>
        </w:rPr>
        <w:t>10</w:t>
      </w:r>
      <w:r w:rsidRPr="00E41DE0">
        <w:rPr>
          <w:b/>
          <w:sz w:val="24"/>
          <w:szCs w:val="26"/>
          <w:lang w:val="pl-PL"/>
        </w:rPr>
        <w:t>: Mua bán ròng của khối ngoại từ đầu năm 2015</w:t>
      </w:r>
    </w:p>
    <w:p w:rsidR="00ED130E" w:rsidRDefault="00ED130E" w:rsidP="00ED130E">
      <w:pPr>
        <w:spacing w:before="120" w:line="288" w:lineRule="auto"/>
        <w:ind w:firstLine="0"/>
        <w:jc w:val="center"/>
        <w:rPr>
          <w:i/>
          <w:sz w:val="24"/>
          <w:szCs w:val="26"/>
        </w:rPr>
      </w:pPr>
      <w:r w:rsidRPr="000C3CF8">
        <w:rPr>
          <w:noProof/>
          <w:sz w:val="24"/>
          <w:szCs w:val="26"/>
        </w:rPr>
        <w:drawing>
          <wp:inline distT="0" distB="0" distL="0" distR="0">
            <wp:extent cx="4850296" cy="2186608"/>
            <wp:effectExtent l="0" t="0" r="0"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D130E" w:rsidRDefault="00ED130E" w:rsidP="00ED130E">
      <w:pPr>
        <w:spacing w:before="120" w:line="288" w:lineRule="auto"/>
        <w:jc w:val="right"/>
        <w:rPr>
          <w:b/>
          <w:sz w:val="24"/>
        </w:rPr>
      </w:pPr>
      <w:r w:rsidRPr="000407D7">
        <w:rPr>
          <w:i/>
          <w:sz w:val="24"/>
          <w:szCs w:val="26"/>
        </w:rPr>
        <w:t>Nguồn:</w:t>
      </w:r>
      <w:r>
        <w:rPr>
          <w:i/>
          <w:sz w:val="24"/>
          <w:szCs w:val="26"/>
        </w:rPr>
        <w:t>UBGSTCQG tính toán</w:t>
      </w:r>
    </w:p>
    <w:p w:rsidR="00B079F1" w:rsidRPr="003915F0" w:rsidRDefault="00B079F1" w:rsidP="00B079F1">
      <w:pPr>
        <w:rPr>
          <w:sz w:val="26"/>
        </w:rPr>
      </w:pPr>
      <w:r w:rsidRPr="003915F0">
        <w:rPr>
          <w:sz w:val="26"/>
        </w:rPr>
        <w:t>Tuy nhiên, thị trường chứng khoán có cở sở để phục hồi trở lại do các yếu tố cơ bản của nền kinh tế và thị trường chứng khoán vẫn ở mức độ tích cực:</w:t>
      </w:r>
    </w:p>
    <w:p w:rsidR="00B079F1" w:rsidRPr="003915F0" w:rsidRDefault="00416A46" w:rsidP="00416A46">
      <w:pPr>
        <w:spacing w:after="200"/>
        <w:rPr>
          <w:sz w:val="26"/>
        </w:rPr>
      </w:pPr>
      <w:r w:rsidRPr="003915F0">
        <w:rPr>
          <w:sz w:val="26"/>
        </w:rPr>
        <w:t xml:space="preserve">(i) </w:t>
      </w:r>
      <w:r w:rsidR="00B079F1" w:rsidRPr="003915F0">
        <w:rPr>
          <w:sz w:val="26"/>
        </w:rPr>
        <w:t>Nền kinh tế Việt Nam vẫn giữ được những cân đối lớn vầ thương mại, đầu tư và ít chịu tác động tiêu cực như các quốc gia mới nổi khác.</w:t>
      </w:r>
    </w:p>
    <w:p w:rsidR="00B079F1" w:rsidRPr="003915F0" w:rsidRDefault="00416A46" w:rsidP="00416A46">
      <w:pPr>
        <w:spacing w:after="200"/>
        <w:rPr>
          <w:sz w:val="26"/>
        </w:rPr>
      </w:pPr>
      <w:r w:rsidRPr="003915F0">
        <w:rPr>
          <w:sz w:val="26"/>
        </w:rPr>
        <w:t xml:space="preserve">(ii) </w:t>
      </w:r>
      <w:r w:rsidR="00B079F1" w:rsidRPr="003915F0">
        <w:rPr>
          <w:sz w:val="26"/>
        </w:rPr>
        <w:t>Doanh thu lợi nhuận các doanh nghiệp niêm yết tiếp tục tăng trưởng trong 6 tháng đầu năm 2015. Mức giá trị nhiều cổ phiếu trở nên hấp dẫn với P/E bình quân thị trường về khoảng 10</w:t>
      </w:r>
      <w:r w:rsidR="00ED130E">
        <w:rPr>
          <w:sz w:val="26"/>
        </w:rPr>
        <w:t>,6</w:t>
      </w:r>
      <w:r w:rsidR="00B079F1" w:rsidRPr="003915F0">
        <w:rPr>
          <w:sz w:val="26"/>
        </w:rPr>
        <w:t xml:space="preserve"> lần. </w:t>
      </w:r>
    </w:p>
    <w:p w:rsidR="00B079F1" w:rsidRPr="003915F0" w:rsidRDefault="00416A46" w:rsidP="00416A46">
      <w:pPr>
        <w:spacing w:after="200"/>
        <w:rPr>
          <w:sz w:val="26"/>
        </w:rPr>
      </w:pPr>
      <w:r w:rsidRPr="003915F0">
        <w:rPr>
          <w:sz w:val="26"/>
        </w:rPr>
        <w:t xml:space="preserve">(iii) </w:t>
      </w:r>
      <w:r w:rsidR="00B079F1" w:rsidRPr="003915F0">
        <w:rPr>
          <w:sz w:val="26"/>
        </w:rPr>
        <w:t>Các chính sách phát triển thị trường chứng khoán (thông tư 123/2015/BTC) đang được triển khai đúng tiến độ.</w:t>
      </w:r>
    </w:p>
    <w:p w:rsidR="002B0E5E" w:rsidRPr="002B0E5E" w:rsidRDefault="002B0E5E" w:rsidP="002B0E5E">
      <w:pPr>
        <w:rPr>
          <w:i/>
          <w:sz w:val="26"/>
          <w:szCs w:val="26"/>
        </w:rPr>
      </w:pPr>
      <w:r w:rsidRPr="002B0E5E">
        <w:rPr>
          <w:i/>
          <w:sz w:val="26"/>
          <w:szCs w:val="26"/>
        </w:rPr>
        <w:t xml:space="preserve">- Phát hành TPCP trên thị trường sơ cấp vẫn gặp nhiều khó khăn  </w:t>
      </w:r>
    </w:p>
    <w:p w:rsidR="002B0E5E" w:rsidRDefault="002B0E5E" w:rsidP="002B0E5E">
      <w:pPr>
        <w:spacing w:line="288" w:lineRule="auto"/>
        <w:ind w:firstLine="686"/>
        <w:rPr>
          <w:sz w:val="26"/>
          <w:szCs w:val="26"/>
        </w:rPr>
      </w:pPr>
      <w:r w:rsidRPr="00B57EC8">
        <w:rPr>
          <w:sz w:val="26"/>
          <w:szCs w:val="26"/>
        </w:rPr>
        <w:t>Phát hành trái phiếu Kho bạc Nhà nước từ đầu năm đến nay chỉ đạt xấp xỉ 94.300 tỷ đồng, tương đương 37,7% kế hoạch cả năm. T</w:t>
      </w:r>
      <w:r>
        <w:rPr>
          <w:sz w:val="26"/>
          <w:szCs w:val="26"/>
        </w:rPr>
        <w:t>ừ đầu tháng đến ngày 26/</w:t>
      </w:r>
      <w:r w:rsidRPr="00B57EC8">
        <w:rPr>
          <w:sz w:val="26"/>
          <w:szCs w:val="26"/>
        </w:rPr>
        <w:t>8, KBNN vẫn chủ động duy trì lãi suất chào thầu ở mức cao, nhưng kết quả trúng thầu trái phiếu KBNN chỉ đạt giá trị 4.025 tỷ đồng tương đương tỷ lệ 38%.</w:t>
      </w:r>
      <w:r>
        <w:rPr>
          <w:sz w:val="26"/>
          <w:szCs w:val="26"/>
        </w:rPr>
        <w:t xml:space="preserve"> Sau khi NHNN điều chỉnh tỷ giá USD/VND, tỷ lệ trúng thầu TPCP đã giảm mạnh. Tỷ lệ trúng thấu TPCP kỳ hạn 5 năm giảm từ mức 50%-100% (23/6 đến 12/8) xuống mức dưới 32% (từ 13/8). </w:t>
      </w:r>
    </w:p>
    <w:p w:rsidR="002B0E5E" w:rsidRDefault="002B0E5E" w:rsidP="002B0E5E">
      <w:pPr>
        <w:spacing w:line="288" w:lineRule="auto"/>
        <w:ind w:firstLine="686"/>
        <w:rPr>
          <w:sz w:val="26"/>
          <w:szCs w:val="26"/>
        </w:rPr>
      </w:pPr>
      <w:r w:rsidRPr="00B57EC8">
        <w:rPr>
          <w:sz w:val="26"/>
          <w:szCs w:val="26"/>
        </w:rPr>
        <w:t xml:space="preserve">Với việc tỷ lệ trúng thầu xuống mức rất thấp trong các tuần gần đây, KBNN </w:t>
      </w:r>
      <w:r>
        <w:rPr>
          <w:sz w:val="26"/>
          <w:szCs w:val="26"/>
        </w:rPr>
        <w:t>cần có những điều chỉnh để đẩy mạnh phát hành TPCP trong 4 tháng còn lại của năm.</w:t>
      </w:r>
    </w:p>
    <w:p w:rsidR="00EC2A37" w:rsidRDefault="00EC2A37" w:rsidP="00EC2A37">
      <w:pPr>
        <w:spacing w:line="288" w:lineRule="auto"/>
        <w:ind w:firstLine="0"/>
        <w:rPr>
          <w:b/>
          <w:sz w:val="26"/>
          <w:szCs w:val="26"/>
        </w:rPr>
      </w:pPr>
      <w:r w:rsidRPr="00EC2A37">
        <w:rPr>
          <w:b/>
          <w:sz w:val="26"/>
          <w:szCs w:val="26"/>
        </w:rPr>
        <w:t>5. Một số dự báo cuối năm và khuyến nghị</w:t>
      </w:r>
    </w:p>
    <w:p w:rsidR="00EC2A37" w:rsidRPr="00EC2A37" w:rsidRDefault="00EC2A37" w:rsidP="00EC2A37">
      <w:pPr>
        <w:spacing w:before="120" w:line="288" w:lineRule="auto"/>
        <w:rPr>
          <w:rFonts w:eastAsia="Calibri"/>
          <w:sz w:val="26"/>
          <w:szCs w:val="22"/>
        </w:rPr>
      </w:pPr>
      <w:r w:rsidRPr="00EC2A37">
        <w:rPr>
          <w:rFonts w:eastAsia="Calibri"/>
          <w:sz w:val="26"/>
          <w:szCs w:val="22"/>
        </w:rPr>
        <w:t>- Với mức độ điều chỉnh tỷ giá NDT vừa qua và nếu từ nay tới cuối năm NDT không bị phá giá mạnh hơn nữa (dự báo NDT dao động trong khoảng 6,3</w:t>
      </w:r>
      <w:r>
        <w:rPr>
          <w:rFonts w:eastAsia="Calibri"/>
          <w:sz w:val="26"/>
          <w:szCs w:val="22"/>
        </w:rPr>
        <w:t>%</w:t>
      </w:r>
      <w:r w:rsidRPr="00EC2A37">
        <w:rPr>
          <w:rFonts w:eastAsia="Calibri"/>
          <w:sz w:val="26"/>
          <w:szCs w:val="22"/>
        </w:rPr>
        <w:t xml:space="preserve"> - 6,5%) thì không trực tiếp ảnh hưởng nhiều đến thị trường tiền tệ, kinh tế Việt Nam. Vấn đề là sức khỏe của nền kinh tế Trung Quốc ra sao, số liệu thống kê của Trung Quốc và cam kết của Chính phủ Trung Quốc có minh bạch, chính xác để củng cố lòng tin của thị trường. Do vậy, Việt Nam chưa nên có những điều chỉnh chính sách lớn và điều chỉnh kế hoạch kinh tế - xã hội. Cần tiếp tục theo dõi sát diễn biến sức khỏe của kinh tế Trung Quốc cũng như </w:t>
      </w:r>
      <w:r w:rsidRPr="00EC2A37">
        <w:rPr>
          <w:rFonts w:eastAsia="Calibri"/>
          <w:sz w:val="26"/>
          <w:szCs w:val="22"/>
        </w:rPr>
        <w:lastRenderedPageBreak/>
        <w:t xml:space="preserve">chính sách kinh tế, chính sách tiền tệ của Trung Quốc để có phản ứng chính sách thích hợp. UBGSTCQG dự báo tăng trưởng kinh tế Việt Nam 2015 vẫn đạt và vượt mục tiêu (6,2%) </w:t>
      </w:r>
      <w:r>
        <w:rPr>
          <w:rFonts w:eastAsia="Calibri"/>
          <w:sz w:val="26"/>
          <w:szCs w:val="22"/>
        </w:rPr>
        <w:t xml:space="preserve"> tiếp tục</w:t>
      </w:r>
      <w:r w:rsidRPr="00EC2A37">
        <w:rPr>
          <w:rFonts w:eastAsia="Calibri"/>
          <w:sz w:val="26"/>
          <w:szCs w:val="22"/>
        </w:rPr>
        <w:t xml:space="preserve"> duy trì ổn định vĩ mô.</w:t>
      </w:r>
    </w:p>
    <w:p w:rsidR="00EC2A37" w:rsidRDefault="00EC2A37" w:rsidP="00EC2A37">
      <w:pPr>
        <w:spacing w:before="120" w:line="288" w:lineRule="auto"/>
        <w:rPr>
          <w:rFonts w:eastAsia="Calibri"/>
          <w:sz w:val="26"/>
          <w:szCs w:val="22"/>
        </w:rPr>
      </w:pPr>
      <w:r w:rsidRPr="00EC2A37">
        <w:rPr>
          <w:rFonts w:eastAsia="Calibri"/>
          <w:sz w:val="26"/>
          <w:szCs w:val="22"/>
        </w:rPr>
        <w:t>- Trong bối cảnh toàn cầu hóa sâu, rộng và quy mô thị trường tài chính thế giới cao gấp 4-5 lần quy mô nền kinh tế thực, tâm lý thị trường đóng vai trò vô cùng quan trọng. Nếu phần lớn các nhà kinh doanh, đầu tư có cùng cảm nhận và phản ứng cùng chiều thì sẽ tạo thành một lực cung</w:t>
      </w:r>
      <w:r>
        <w:rPr>
          <w:rFonts w:eastAsia="Calibri"/>
          <w:sz w:val="26"/>
          <w:szCs w:val="22"/>
        </w:rPr>
        <w:t xml:space="preserve"> - </w:t>
      </w:r>
      <w:r w:rsidRPr="00EC2A37">
        <w:rPr>
          <w:rFonts w:eastAsia="Calibri"/>
          <w:sz w:val="26"/>
          <w:szCs w:val="22"/>
        </w:rPr>
        <w:t>cầu rất lớn, có thể vượt ra ngoài sự kiểm soát của các Chính phủ. UBGSTCQG khuyến nghị: cùng với việc theo dõi sức khỏe của kinh tế thế giới cần theo dõi hàng ngày diễn biến thị trường tài chín</w:t>
      </w:r>
      <w:r>
        <w:rPr>
          <w:rFonts w:eastAsia="Calibri"/>
          <w:sz w:val="26"/>
          <w:szCs w:val="22"/>
        </w:rPr>
        <w:t>h</w:t>
      </w:r>
      <w:r w:rsidRPr="00EC2A37">
        <w:rPr>
          <w:rFonts w:eastAsia="Calibri"/>
          <w:sz w:val="26"/>
          <w:szCs w:val="22"/>
        </w:rPr>
        <w:t>, tiền tệ, hàng hóa thế giới. Mặt khác, các cơ quan hoạch định chính sách cần xây dựng sẵn các kịch bản ứng phó để tránh thụ động.</w:t>
      </w:r>
    </w:p>
    <w:p w:rsidR="00147E23" w:rsidRPr="00EC2A37" w:rsidRDefault="00147E23" w:rsidP="00EC2A37">
      <w:pPr>
        <w:spacing w:before="120" w:line="288" w:lineRule="auto"/>
        <w:rPr>
          <w:rFonts w:eastAsia="Calibri"/>
          <w:sz w:val="26"/>
          <w:szCs w:val="22"/>
        </w:rPr>
      </w:pPr>
      <w:r>
        <w:rPr>
          <w:rFonts w:eastAsia="Calibri"/>
          <w:sz w:val="26"/>
          <w:szCs w:val="22"/>
        </w:rPr>
        <w:t xml:space="preserve">- Thị trường tài chính tiền tệ của Việt Nam </w:t>
      </w:r>
      <w:r w:rsidR="00FF3A2E">
        <w:rPr>
          <w:rFonts w:eastAsia="Calibri"/>
          <w:sz w:val="26"/>
          <w:szCs w:val="22"/>
        </w:rPr>
        <w:t xml:space="preserve">hiện đã có liên thông nhất định đến thị trường tài chính quốc tế và chịu ảnh hưởng tâm lý của các nhà đầu tư trên thị trường quốc tế.  Chính vì vậy, công tác truyền thông đóng vài trò hết sức quan trọng để duy trì lòng tin của thị trường. UBGSTCQG khuyến nghị các cơ quan hoạch định chính sách cần tăng cường công tác truyền thông để định hướng thị trường theo mục tiêu chính sách. Các thông điệp chính sách cần rõ ràng nhưng </w:t>
      </w:r>
      <w:r w:rsidR="00925048">
        <w:rPr>
          <w:rFonts w:eastAsia="Calibri"/>
          <w:sz w:val="26"/>
          <w:szCs w:val="22"/>
        </w:rPr>
        <w:t>cần</w:t>
      </w:r>
      <w:r w:rsidR="00FF3A2E">
        <w:rPr>
          <w:rFonts w:eastAsia="Calibri"/>
          <w:sz w:val="26"/>
          <w:szCs w:val="22"/>
        </w:rPr>
        <w:t xml:space="preserve"> linh hoạt để đảm bảo tính nhấ</w:t>
      </w:r>
      <w:r w:rsidR="00925048">
        <w:rPr>
          <w:rFonts w:eastAsia="Calibri"/>
          <w:sz w:val="26"/>
          <w:szCs w:val="22"/>
        </w:rPr>
        <w:t xml:space="preserve">t quán trong thông tin và </w:t>
      </w:r>
      <w:r w:rsidR="00FF3A2E">
        <w:rPr>
          <w:rFonts w:eastAsia="Calibri"/>
          <w:sz w:val="26"/>
          <w:szCs w:val="22"/>
        </w:rPr>
        <w:t>thống nhất, đồng bộ giữa thông điệp chính sách và hành động.</w:t>
      </w:r>
    </w:p>
    <w:p w:rsidR="00EC2A37" w:rsidRPr="00EC2A37" w:rsidRDefault="00EC2A37" w:rsidP="00EC2A37">
      <w:pPr>
        <w:spacing w:line="288" w:lineRule="auto"/>
        <w:ind w:firstLine="0"/>
        <w:rPr>
          <w:sz w:val="26"/>
          <w:szCs w:val="26"/>
        </w:rPr>
      </w:pPr>
    </w:p>
    <w:p w:rsidR="0074084A" w:rsidRPr="003C1625" w:rsidRDefault="00556FC1" w:rsidP="00910F80">
      <w:pPr>
        <w:spacing w:before="240" w:after="100" w:line="288" w:lineRule="auto"/>
        <w:ind w:left="3261" w:firstLine="0"/>
        <w:jc w:val="right"/>
        <w:rPr>
          <w:b/>
          <w:sz w:val="26"/>
          <w:szCs w:val="26"/>
          <w:lang w:val="nl-NL"/>
        </w:rPr>
      </w:pPr>
      <w:r w:rsidRPr="003C1625">
        <w:rPr>
          <w:b/>
          <w:sz w:val="26"/>
          <w:szCs w:val="26"/>
          <w:lang w:val="nl-NL"/>
        </w:rPr>
        <w:t>ỦY</w:t>
      </w:r>
      <w:r w:rsidR="00B50EE3" w:rsidRPr="003C1625">
        <w:rPr>
          <w:b/>
          <w:sz w:val="26"/>
          <w:szCs w:val="26"/>
          <w:lang w:val="nl-NL"/>
        </w:rPr>
        <w:t xml:space="preserve"> BAN GIÁM SÁT TÀI </w:t>
      </w:r>
      <w:r w:rsidR="00F727DF" w:rsidRPr="003C1625">
        <w:rPr>
          <w:b/>
          <w:sz w:val="26"/>
          <w:szCs w:val="26"/>
          <w:lang w:val="nl-NL"/>
        </w:rPr>
        <w:t>CHÍNH QUỐC GIA</w:t>
      </w:r>
    </w:p>
    <w:sectPr w:rsidR="0074084A" w:rsidRPr="003C1625" w:rsidSect="004B4900">
      <w:footerReference w:type="default" r:id="rId18"/>
      <w:pgSz w:w="11907" w:h="16839" w:code="9"/>
      <w:pgMar w:top="1134" w:right="1134" w:bottom="851" w:left="1418" w:header="720" w:footer="34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B34" w:rsidRDefault="005B7B34" w:rsidP="00D118DD">
      <w:pPr>
        <w:spacing w:after="0"/>
      </w:pPr>
      <w:r>
        <w:separator/>
      </w:r>
    </w:p>
  </w:endnote>
  <w:endnote w:type="continuationSeparator" w:id="0">
    <w:p w:rsidR="005B7B34" w:rsidRDefault="005B7B34" w:rsidP="00D118D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1864055"/>
      <w:docPartObj>
        <w:docPartGallery w:val="Page Numbers (Bottom of Page)"/>
        <w:docPartUnique/>
      </w:docPartObj>
    </w:sdtPr>
    <w:sdtEndPr>
      <w:rPr>
        <w:noProof/>
      </w:rPr>
    </w:sdtEndPr>
    <w:sdtContent>
      <w:p w:rsidR="00384661" w:rsidRDefault="00196149">
        <w:pPr>
          <w:pStyle w:val="Footer"/>
          <w:jc w:val="right"/>
        </w:pPr>
        <w:r>
          <w:fldChar w:fldCharType="begin"/>
        </w:r>
        <w:r w:rsidR="007344AB">
          <w:instrText xml:space="preserve"> PAGE   \* MERGEFORMAT </w:instrText>
        </w:r>
        <w:r>
          <w:fldChar w:fldCharType="separate"/>
        </w:r>
        <w:r w:rsidR="004708AB">
          <w:rPr>
            <w:noProof/>
          </w:rPr>
          <w:t>1</w:t>
        </w:r>
        <w:r>
          <w:rPr>
            <w:noProof/>
          </w:rPr>
          <w:fldChar w:fldCharType="end"/>
        </w:r>
      </w:p>
    </w:sdtContent>
  </w:sdt>
  <w:p w:rsidR="00384661" w:rsidRDefault="00384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B34" w:rsidRDefault="005B7B34" w:rsidP="00D118DD">
      <w:pPr>
        <w:spacing w:after="0"/>
      </w:pPr>
      <w:r>
        <w:separator/>
      </w:r>
    </w:p>
  </w:footnote>
  <w:footnote w:type="continuationSeparator" w:id="0">
    <w:p w:rsidR="005B7B34" w:rsidRDefault="005B7B34" w:rsidP="00D118DD">
      <w:pPr>
        <w:spacing w:after="0"/>
      </w:pPr>
      <w:r>
        <w:continuationSeparator/>
      </w:r>
    </w:p>
  </w:footnote>
  <w:footnote w:id="1">
    <w:p w:rsidR="00384661" w:rsidRDefault="00384661" w:rsidP="00633266">
      <w:pPr>
        <w:pStyle w:val="FootnoteText"/>
        <w:spacing w:after="0"/>
        <w:ind w:firstLine="0"/>
      </w:pPr>
      <w:r>
        <w:rPr>
          <w:rStyle w:val="FootnoteReference"/>
        </w:rPr>
        <w:footnoteRef/>
      </w:r>
      <w:r>
        <w:t xml:space="preserve"> Theo </w:t>
      </w:r>
      <w:r w:rsidRPr="00B67D2B">
        <w:rPr>
          <w:bCs/>
        </w:rPr>
        <w:t xml:space="preserve">cơ quan thống kê của Liên minh châu Âu </w:t>
      </w:r>
      <w:r>
        <w:rPr>
          <w:bCs/>
        </w:rPr>
        <w:t>công bố sơ bộ</w:t>
      </w:r>
      <w:r w:rsidRPr="00B67D2B">
        <w:rPr>
          <w:bCs/>
        </w:rPr>
        <w:t xml:space="preserve"> ngày 17/8</w:t>
      </w:r>
      <w:r>
        <w:rPr>
          <w:bCs/>
        </w:rPr>
        <w:t>.</w:t>
      </w:r>
    </w:p>
  </w:footnote>
  <w:footnote w:id="2">
    <w:p w:rsidR="00384661" w:rsidRDefault="00384661" w:rsidP="00633266">
      <w:pPr>
        <w:pStyle w:val="FootnoteText"/>
        <w:spacing w:after="0"/>
        <w:ind w:firstLine="0"/>
      </w:pPr>
      <w:r>
        <w:rPr>
          <w:rStyle w:val="FootnoteReference"/>
        </w:rPr>
        <w:footnoteRef/>
      </w:r>
      <w:r w:rsidRPr="008164DA">
        <w:rPr>
          <w:bCs/>
        </w:rPr>
        <w:t>Theo số liệu của Chính phủ Nhật Bản công bố ngày 17/8</w:t>
      </w:r>
      <w:r>
        <w:rPr>
          <w:bCs/>
        </w:rPr>
        <w:t>.</w:t>
      </w:r>
    </w:p>
  </w:footnote>
  <w:footnote w:id="3">
    <w:p w:rsidR="00384661" w:rsidRDefault="00384661" w:rsidP="00633266">
      <w:pPr>
        <w:pStyle w:val="FootnoteText"/>
        <w:spacing w:after="0"/>
        <w:ind w:firstLine="0"/>
      </w:pPr>
      <w:r>
        <w:rPr>
          <w:rStyle w:val="FootnoteReference"/>
        </w:rPr>
        <w:footnoteRef/>
      </w:r>
      <w:r>
        <w:t xml:space="preserve"> Theo dự báo của Ngân hàng Trung ương Nga.</w:t>
      </w:r>
    </w:p>
  </w:footnote>
  <w:footnote w:id="4">
    <w:p w:rsidR="00384661" w:rsidRDefault="00384661" w:rsidP="00633266">
      <w:pPr>
        <w:pStyle w:val="FootnoteText"/>
        <w:spacing w:after="0"/>
        <w:ind w:firstLine="0"/>
      </w:pPr>
      <w:r>
        <w:rPr>
          <w:rStyle w:val="FootnoteReference"/>
        </w:rPr>
        <w:footnoteRef/>
      </w:r>
      <w:r>
        <w:t xml:space="preserve"> Ngày 18/8 NHTW bơm 18 tỷ USD </w:t>
      </w:r>
      <w:r w:rsidRPr="00CA16FA">
        <w:t>vào thị trường tiền tệ thông qua các hoạt động thị trường mở</w:t>
      </w:r>
      <w:r>
        <w:t xml:space="preserve">; Ngày 19/8,  bơm </w:t>
      </w:r>
      <w:r w:rsidRPr="00CA16FA">
        <w:t>17 tỷ</w:t>
      </w:r>
      <w:r>
        <w:t xml:space="preserve"> USD </w:t>
      </w:r>
      <w:r w:rsidRPr="00CA16FA">
        <w:t>vào thị trường tiền tệ thông qua các khoản cho vay trung hạn (MLF)</w:t>
      </w:r>
      <w:r>
        <w:t>; tháng trước, bơm</w:t>
      </w:r>
      <w:r w:rsidRPr="00CA16FA">
        <w:t xml:space="preserve"> 48 tỷ USD vào Ngân hàng Phát triển Trung Quốc và 45 tỷ USD vào Ngân hàng Xuất-Nhập khẩu Trung Quốc, giúp nâng lượng ngân quỹ của hai tổ chức tài chính này</w:t>
      </w:r>
      <w:r>
        <w:t xml:space="preserve">; ngày 25/8 NHTW bơm thêm </w:t>
      </w:r>
      <w:r w:rsidRPr="0038507E">
        <w:t>23,4 tỷ USD) vào hệ thống tài chính, thông qua hợp đồng repo (mua lại đảo ngược)</w:t>
      </w:r>
      <w:r>
        <w:t>.</w:t>
      </w:r>
    </w:p>
  </w:footnote>
  <w:footnote w:id="5">
    <w:p w:rsidR="00384661" w:rsidRDefault="00384661" w:rsidP="00633266">
      <w:pPr>
        <w:pStyle w:val="FootnoteText"/>
        <w:spacing w:after="0"/>
        <w:ind w:firstLine="0"/>
      </w:pPr>
      <w:r>
        <w:rPr>
          <w:rStyle w:val="FootnoteReference"/>
        </w:rPr>
        <w:footnoteRef/>
      </w:r>
      <w:r>
        <w:t xml:space="preserve"> Ngày 25/8, NHTW Trung Quốc hạ lãi suất cho vay kỳ hạn một năm thêm 25 điểm cơ bản xuống 4,6%, lãi suất tiền gửi kỳ hạn một năm cũng giảm 25 điểm phần trăm xuống 1,75% (đây là lần hạ lãi suất thứ 5 liên tiếp kể từ tháng 11/2014). Cùng ngày, NHTW cũng hạ tỷ lệ dự trữ bắt buộc thêm 50 điểm phần trăm xuống 18% đối với các ngân hàng lớn điều này sẽ giúp bơm khoảng 105,7 tỷ USD vào hệ thống tài chính nước này.</w:t>
      </w:r>
    </w:p>
  </w:footnote>
  <w:footnote w:id="6">
    <w:p w:rsidR="00384661" w:rsidRDefault="00384661" w:rsidP="00633266">
      <w:pPr>
        <w:pStyle w:val="FootnoteText"/>
        <w:spacing w:after="0"/>
        <w:ind w:firstLine="0"/>
      </w:pPr>
      <w:r>
        <w:rPr>
          <w:rStyle w:val="FootnoteReference"/>
        </w:rPr>
        <w:footnoteRef/>
      </w:r>
      <w:r>
        <w:t xml:space="preserve"> Theo Báo cáo của Bộ Tài chính Trung Quốc.</w:t>
      </w:r>
    </w:p>
  </w:footnote>
  <w:footnote w:id="7">
    <w:p w:rsidR="00384661" w:rsidRDefault="00384661" w:rsidP="00633266">
      <w:pPr>
        <w:pStyle w:val="FootnoteText"/>
        <w:spacing w:after="0"/>
        <w:ind w:firstLine="0"/>
      </w:pPr>
      <w:r>
        <w:rPr>
          <w:rStyle w:val="FootnoteReference"/>
        </w:rPr>
        <w:footnoteRef/>
      </w:r>
      <w:r>
        <w:t xml:space="preserve"> Bloomberg với 28 chuyên gia kinh tế, quỹ dự trữ ngoại hối của Trung Quốc được dự báo sẽ vơi đi gần 40 tỷ USD mỗi tháng trong những tháng cuối năm 2015 để điều tiết thị trường.</w:t>
      </w:r>
    </w:p>
  </w:footnote>
  <w:footnote w:id="8">
    <w:p w:rsidR="00384661" w:rsidRDefault="00384661" w:rsidP="00806CE6">
      <w:pPr>
        <w:pStyle w:val="FootnoteText"/>
        <w:spacing w:after="0"/>
        <w:ind w:firstLine="0"/>
      </w:pPr>
      <w:r>
        <w:rPr>
          <w:rStyle w:val="FootnoteReference"/>
        </w:rPr>
        <w:footnoteRef/>
      </w:r>
      <w:r>
        <w:t xml:space="preserve"> Nguồn: Tradingeconomics</w:t>
      </w:r>
    </w:p>
  </w:footnote>
  <w:footnote w:id="9">
    <w:p w:rsidR="00384661" w:rsidRDefault="00384661" w:rsidP="00DC7D3D">
      <w:pPr>
        <w:pStyle w:val="FootnoteText"/>
        <w:ind w:firstLine="0"/>
      </w:pPr>
      <w:r>
        <w:rPr>
          <w:rStyle w:val="FootnoteReference"/>
        </w:rPr>
        <w:footnoteRef/>
      </w:r>
      <w:r>
        <w:t xml:space="preserve"> Theo giá chính thức, </w:t>
      </w:r>
      <w:r w:rsidRPr="00DC7D3D">
        <w:t>đồng NDT</w:t>
      </w:r>
      <w:r w:rsidR="00AF592A">
        <w:t xml:space="preserve"> mất giá</w:t>
      </w:r>
      <w:r w:rsidRPr="00DC7D3D">
        <w:t xml:space="preserve"> tới 4,84%</w:t>
      </w:r>
      <w:r>
        <w:t xml:space="preserve"> trong vòng 3 tuần qua: </w:t>
      </w:r>
      <w:r w:rsidRPr="00DC7D3D">
        <w:t xml:space="preserve">Ngày 11/8 phá giá 1,9%; ngày 12/8 phá giá 1,6%; ngày 13/8 phá giá 1,1%; ngày 14/8 tăng giá 0,05%.; ngày 25/8 </w:t>
      </w:r>
      <w:r w:rsidR="00AF592A">
        <w:t>phá</w:t>
      </w:r>
      <w:r w:rsidRPr="00DC7D3D">
        <w:t xml:space="preserve"> giá 0,2%; ngày 26/8 phá giá 0,09%.</w:t>
      </w:r>
    </w:p>
  </w:footnote>
  <w:footnote w:id="10">
    <w:p w:rsidR="00384661" w:rsidRDefault="00384661" w:rsidP="00633266">
      <w:pPr>
        <w:pStyle w:val="FootnoteText"/>
        <w:spacing w:after="0"/>
        <w:ind w:firstLine="0"/>
      </w:pPr>
      <w:r>
        <w:rPr>
          <w:rStyle w:val="FootnoteReference"/>
        </w:rPr>
        <w:footnoteRef/>
      </w:r>
      <w:r w:rsidRPr="00B21A5A">
        <w:t>Trung Quốc chiếm khoảng 16,5 tỷ USD - tương đương hơn một nửa số tiền vốn được rút ra khỏi các thị trường mới nổi trong năm nay.</w:t>
      </w:r>
    </w:p>
  </w:footnote>
  <w:footnote w:id="11">
    <w:p w:rsidR="00384661" w:rsidRPr="004B4900" w:rsidRDefault="00384661" w:rsidP="004B4900">
      <w:pPr>
        <w:pStyle w:val="FootnoteText"/>
        <w:ind w:firstLine="0"/>
        <w:rPr>
          <w:lang w:val="vi-VN"/>
        </w:rPr>
      </w:pPr>
      <w:r>
        <w:rPr>
          <w:rStyle w:val="FootnoteReference"/>
        </w:rPr>
        <w:footnoteRef/>
      </w:r>
      <w:r w:rsidRPr="004B4900">
        <w:rPr>
          <w:lang w:val="vi-VN"/>
        </w:rPr>
        <w:t xml:space="preserve"> Trong đó xuất khẩu tăng 9% và nhập khẩu tăng 16,4% so với cùng kỳ.</w:t>
      </w:r>
    </w:p>
  </w:footnote>
  <w:footnote w:id="12">
    <w:p w:rsidR="00384661" w:rsidRPr="00ED130E" w:rsidRDefault="00384661" w:rsidP="009A59EB">
      <w:pPr>
        <w:pStyle w:val="FootnoteText"/>
        <w:ind w:firstLine="0"/>
        <w:rPr>
          <w:lang w:val="vi-VN"/>
        </w:rPr>
      </w:pPr>
      <w:r>
        <w:rPr>
          <w:rStyle w:val="FootnoteReference"/>
        </w:rPr>
        <w:footnoteRef/>
      </w:r>
      <w:r w:rsidRPr="00ED130E">
        <w:rPr>
          <w:lang w:val="vi-VN"/>
        </w:rPr>
        <w:t>UBGSTCQG tính toán.</w:t>
      </w:r>
    </w:p>
  </w:footnote>
  <w:footnote w:id="13">
    <w:p w:rsidR="00384661" w:rsidRPr="00D62843" w:rsidRDefault="00384661" w:rsidP="00D62843">
      <w:pPr>
        <w:pStyle w:val="FootnoteText"/>
        <w:ind w:firstLine="0"/>
        <w:rPr>
          <w:lang w:val="vi-VN"/>
        </w:rPr>
      </w:pPr>
      <w:r>
        <w:rPr>
          <w:rStyle w:val="FootnoteReference"/>
        </w:rPr>
        <w:footnoteRef/>
      </w:r>
      <w:r w:rsidRPr="00D62843">
        <w:rPr>
          <w:lang w:val="pl-PL"/>
        </w:rPr>
        <w:t>Hàn Quốc, Đài Loan, Ấn Độ, Singapore, Phillipine, Malaysia, Thái Lan và Indonesia</w:t>
      </w:r>
      <w:r>
        <w:rPr>
          <w:lang w:val="pl-PL"/>
        </w:rPr>
        <w:t>.</w:t>
      </w:r>
    </w:p>
  </w:footnote>
  <w:footnote w:id="14">
    <w:p w:rsidR="00384661" w:rsidRPr="00ED130E" w:rsidRDefault="00384661" w:rsidP="00ED130E">
      <w:pPr>
        <w:spacing w:before="120"/>
        <w:ind w:firstLine="0"/>
        <w:rPr>
          <w:sz w:val="20"/>
          <w:szCs w:val="20"/>
          <w:lang w:val="vi-VN"/>
        </w:rPr>
      </w:pPr>
      <w:r w:rsidRPr="00416A46">
        <w:rPr>
          <w:rStyle w:val="FootnoteReference"/>
          <w:sz w:val="20"/>
          <w:szCs w:val="20"/>
        </w:rPr>
        <w:footnoteRef/>
      </w:r>
      <w:r w:rsidRPr="00416A46">
        <w:rPr>
          <w:i/>
          <w:sz w:val="20"/>
          <w:szCs w:val="20"/>
          <w:lang w:val="vi-VN"/>
        </w:rPr>
        <w:t xml:space="preserve">Yếu tố nội tại: </w:t>
      </w:r>
      <w:r w:rsidRPr="00416A46">
        <w:rPr>
          <w:sz w:val="20"/>
          <w:szCs w:val="20"/>
          <w:lang w:val="vi-VN"/>
        </w:rPr>
        <w:t xml:space="preserve">(i) Khối ngoại bán ròng cổ phiếu dầu khí khi giá dầu giảm trở lại. </w:t>
      </w:r>
      <w:r w:rsidRPr="000C3CF8">
        <w:rPr>
          <w:sz w:val="20"/>
          <w:szCs w:val="20"/>
          <w:lang w:val="vi-VN"/>
        </w:rPr>
        <w:t>Với một số dự báo bất lợi giá dầu khoảng 32- 35 USD/thùng, một số cổ phiếu dầu khí (PVD,GAS) bị bán tháo dù đã giảm dưới giá trị thực; (ii)</w:t>
      </w:r>
      <w:r w:rsidRPr="00ED130E">
        <w:rPr>
          <w:sz w:val="20"/>
          <w:szCs w:val="20"/>
          <w:lang w:val="vi-VN"/>
        </w:rPr>
        <w:t>Tỷ giá USD/VND điều chỉnh tăng gần 3% trong tháng 8</w:t>
      </w:r>
      <w:r w:rsidRPr="000C3CF8">
        <w:rPr>
          <w:sz w:val="20"/>
          <w:szCs w:val="20"/>
          <w:lang w:val="vi-VN"/>
        </w:rPr>
        <w:t xml:space="preserve">; (iii) Thị trường chứng khoán suy giảm nhanh đột ngột dẫn đến hiện tượng bán tháo, bán giải chấp (margin call) trên thị trường.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170"/>
    <w:multiLevelType w:val="hybridMultilevel"/>
    <w:tmpl w:val="4A14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DD3550"/>
    <w:multiLevelType w:val="hybridMultilevel"/>
    <w:tmpl w:val="0D142556"/>
    <w:lvl w:ilvl="0" w:tplc="EC6EEADE">
      <w:start w:val="3"/>
      <w:numFmt w:val="bullet"/>
      <w:lvlText w:val="-"/>
      <w:lvlJc w:val="left"/>
      <w:pPr>
        <w:ind w:left="2204" w:hanging="360"/>
      </w:pPr>
      <w:rPr>
        <w:rFonts w:ascii="Times New Roman" w:eastAsia="Times New Roman" w:hAnsi="Times New Roman" w:cs="Times New Roman"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2">
    <w:nsid w:val="07E51CC3"/>
    <w:multiLevelType w:val="hybridMultilevel"/>
    <w:tmpl w:val="596E53DA"/>
    <w:lvl w:ilvl="0" w:tplc="773833EC">
      <w:start w:val="10"/>
      <w:numFmt w:val="bullet"/>
      <w:lvlText w:val="-"/>
      <w:lvlJc w:val="left"/>
      <w:pPr>
        <w:ind w:left="1242" w:hanging="360"/>
      </w:pPr>
      <w:rPr>
        <w:rFonts w:ascii="Calibri" w:eastAsia="Calibri" w:hAnsi="Calibri" w:cs="Calibri" w:hint="default"/>
      </w:rPr>
    </w:lvl>
    <w:lvl w:ilvl="1" w:tplc="04090001">
      <w:start w:val="1"/>
      <w:numFmt w:val="bullet"/>
      <w:lvlText w:val=""/>
      <w:lvlJc w:val="left"/>
      <w:pPr>
        <w:ind w:left="1962" w:hanging="360"/>
      </w:pPr>
      <w:rPr>
        <w:rFonts w:ascii="Symbol" w:hAnsi="Symbol"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3">
    <w:nsid w:val="0B9D4565"/>
    <w:multiLevelType w:val="hybridMultilevel"/>
    <w:tmpl w:val="F0EE9F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8E5D69"/>
    <w:multiLevelType w:val="multilevel"/>
    <w:tmpl w:val="7560792E"/>
    <w:styleLink w:val="StyleBulletedSymbolsymbolLeft025Hanging0251"/>
    <w:lvl w:ilvl="0">
      <w:start w:val="1"/>
      <w:numFmt w:val="bullet"/>
      <w:lvlText w:val=""/>
      <w:lvlJc w:val="left"/>
      <w:pPr>
        <w:tabs>
          <w:tab w:val="num" w:pos="720"/>
        </w:tabs>
        <w:ind w:left="72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912DEF"/>
    <w:multiLevelType w:val="hybridMultilevel"/>
    <w:tmpl w:val="78AE2A36"/>
    <w:lvl w:ilvl="0" w:tplc="B906C7E8">
      <w:start w:val="1"/>
      <w:numFmt w:val="decimal"/>
      <w:pStyle w:val="Equation"/>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21F65"/>
    <w:multiLevelType w:val="hybridMultilevel"/>
    <w:tmpl w:val="16FAB97E"/>
    <w:lvl w:ilvl="0" w:tplc="6A42E8A8">
      <w:start w:val="1"/>
      <w:numFmt w:val="bullet"/>
      <w:lvlText w:val="-"/>
      <w:lvlJc w:val="left"/>
      <w:pPr>
        <w:ind w:left="1242" w:hanging="360"/>
      </w:pPr>
      <w:rPr>
        <w:rFonts w:ascii="Courier New" w:hAnsi="Courier New" w:hint="default"/>
      </w:rPr>
    </w:lvl>
    <w:lvl w:ilvl="1" w:tplc="04090003">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nsid w:val="33684BD3"/>
    <w:multiLevelType w:val="multilevel"/>
    <w:tmpl w:val="C5CA5E2E"/>
    <w:lvl w:ilvl="0">
      <w:start w:val="1"/>
      <w:numFmt w:val="decimal"/>
      <w:pStyle w:val="Heading1"/>
      <w:lvlText w:val="%1."/>
      <w:lvlJc w:val="left"/>
      <w:pPr>
        <w:tabs>
          <w:tab w:val="num" w:pos="720"/>
        </w:tabs>
        <w:ind w:left="0" w:firstLine="0"/>
      </w:pPr>
      <w:rPr>
        <w:rFonts w:hint="default"/>
        <w:b/>
        <w:i w:val="0"/>
      </w:rPr>
    </w:lvl>
    <w:lvl w:ilvl="1">
      <w:start w:val="1"/>
      <w:numFmt w:val="decimal"/>
      <w:pStyle w:val="Heading2"/>
      <w:lvlText w:val="%1.%2."/>
      <w:lvlJc w:val="left"/>
      <w:pPr>
        <w:tabs>
          <w:tab w:val="num" w:pos="720"/>
        </w:tabs>
        <w:ind w:left="720" w:hanging="720"/>
      </w:pPr>
      <w:rPr>
        <w:rFonts w:hint="default"/>
        <w:b/>
        <w:i/>
      </w:rPr>
    </w:lvl>
    <w:lvl w:ilvl="2">
      <w:start w:val="1"/>
      <w:numFmt w:val="decimal"/>
      <w:pStyle w:val="Heading3"/>
      <w:lvlText w:val="%1.%2.%3"/>
      <w:lvlJc w:val="left"/>
      <w:pPr>
        <w:ind w:left="720" w:hanging="720"/>
      </w:pPr>
      <w:rPr>
        <w:rFonts w:hint="default"/>
        <w:b w:val="0"/>
        <w:i/>
      </w:rPr>
    </w:lvl>
    <w:lvl w:ilvl="3">
      <w:start w:val="1"/>
      <w:numFmt w:val="decimal"/>
      <w:pStyle w:val="Heading4"/>
      <w:lvlText w:val="%2.%3.%4"/>
      <w:lvlJc w:val="left"/>
      <w:pPr>
        <w:tabs>
          <w:tab w:val="num" w:pos="1800"/>
        </w:tabs>
        <w:ind w:left="720" w:hanging="720"/>
      </w:pPr>
      <w:rPr>
        <w:rFonts w:hint="default"/>
        <w:b w:val="0"/>
        <w: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39094777"/>
    <w:multiLevelType w:val="hybridMultilevel"/>
    <w:tmpl w:val="B916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69334B"/>
    <w:multiLevelType w:val="multilevel"/>
    <w:tmpl w:val="61BE2572"/>
    <w:lvl w:ilvl="0">
      <w:start w:val="1"/>
      <w:numFmt w:val="bullet"/>
      <w:lvlText w:val="-"/>
      <w:lvlJc w:val="left"/>
      <w:pPr>
        <w:ind w:left="1080" w:hanging="360"/>
      </w:pPr>
      <w:rPr>
        <w:rFonts w:ascii="Times New Roman" w:hAnsi="Times New Roman" w:cs="Times New Roma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nsid w:val="41906189"/>
    <w:multiLevelType w:val="multilevel"/>
    <w:tmpl w:val="E64E01DC"/>
    <w:styleLink w:val="Style2"/>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63C1F8D"/>
    <w:multiLevelType w:val="multilevel"/>
    <w:tmpl w:val="425891DC"/>
    <w:styleLink w:val="StyleOutlinenumberedCourierNewLeft075Hanging025"/>
    <w:lvl w:ilvl="0">
      <w:start w:val="1"/>
      <w:numFmt w:val="bullet"/>
      <w:lvlText w:val="o"/>
      <w:lvlJc w:val="left"/>
      <w:pPr>
        <w:tabs>
          <w:tab w:val="num" w:pos="1080"/>
        </w:tabs>
        <w:ind w:left="1080" w:hanging="360"/>
      </w:pPr>
      <w:rPr>
        <w:rFonts w:ascii="Courier New" w:hAnsi="Courier New" w:hint="default"/>
        <w:sz w:val="28"/>
      </w:rPr>
    </w:lvl>
    <w:lvl w:ilvl="1">
      <w:start w:val="1"/>
      <w:numFmt w:val="bullet"/>
      <w:lvlText w:val=""/>
      <w:lvlJc w:val="left"/>
      <w:pPr>
        <w:tabs>
          <w:tab w:val="num" w:pos="1440"/>
        </w:tabs>
        <w:ind w:left="1440" w:hanging="360"/>
      </w:pPr>
      <w:rPr>
        <w:rFonts w:ascii="Wingdings" w:hAnsi="Wingdings" w:hint="default"/>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BA712E5"/>
    <w:multiLevelType w:val="hybridMultilevel"/>
    <w:tmpl w:val="1BDE8436"/>
    <w:lvl w:ilvl="0" w:tplc="773833EC">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076769"/>
    <w:multiLevelType w:val="hybridMultilevel"/>
    <w:tmpl w:val="ECD065C0"/>
    <w:lvl w:ilvl="0" w:tplc="F3F6A982">
      <w:start w:val="1"/>
      <w:numFmt w:val="decimal"/>
      <w:pStyle w:val="Figure"/>
      <w:lvlText w:val="Hình %1"/>
      <w:lvlJc w:val="left"/>
      <w:pPr>
        <w:tabs>
          <w:tab w:val="num" w:pos="1080"/>
        </w:tabs>
        <w:ind w:left="567" w:hanging="567"/>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8404DF"/>
    <w:multiLevelType w:val="hybridMultilevel"/>
    <w:tmpl w:val="AC90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175D77"/>
    <w:multiLevelType w:val="multilevel"/>
    <w:tmpl w:val="7DD4C43A"/>
    <w:styleLink w:val="StyleBulleted"/>
    <w:lvl w:ilvl="0">
      <w:start w:val="1"/>
      <w:numFmt w:val="bullet"/>
      <w:lvlText w:val=""/>
      <w:lvlJc w:val="left"/>
      <w:pPr>
        <w:tabs>
          <w:tab w:val="num" w:pos="36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6937348D"/>
    <w:multiLevelType w:val="hybridMultilevel"/>
    <w:tmpl w:val="1CDEE584"/>
    <w:lvl w:ilvl="0" w:tplc="D2326C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B13422"/>
    <w:multiLevelType w:val="hybridMultilevel"/>
    <w:tmpl w:val="825A2246"/>
    <w:lvl w:ilvl="0" w:tplc="A70AC8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D4B86"/>
    <w:multiLevelType w:val="multilevel"/>
    <w:tmpl w:val="E4EA943E"/>
    <w:styleLink w:val="StyleBulletedSymbolsymbolLeft05Hanging025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6DA360BB"/>
    <w:multiLevelType w:val="hybridMultilevel"/>
    <w:tmpl w:val="84BA3D82"/>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7F1D5C"/>
    <w:multiLevelType w:val="multilevel"/>
    <w:tmpl w:val="34702EA0"/>
    <w:styleLink w:val="StyleBulletedSymbolsymbolLeft025Hanging025"/>
    <w:lvl w:ilvl="0">
      <w:start w:val="1"/>
      <w:numFmt w:val="bullet"/>
      <w:lvlText w:val=""/>
      <w:lvlJc w:val="left"/>
      <w:pPr>
        <w:tabs>
          <w:tab w:val="num" w:pos="1080"/>
        </w:tabs>
        <w:ind w:left="108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08F7A12"/>
    <w:multiLevelType w:val="hybridMultilevel"/>
    <w:tmpl w:val="CF9885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F94074"/>
    <w:multiLevelType w:val="hybridMultilevel"/>
    <w:tmpl w:val="B726C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B02AB6"/>
    <w:multiLevelType w:val="hybridMultilevel"/>
    <w:tmpl w:val="90EC3436"/>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4">
    <w:nsid w:val="7B996477"/>
    <w:multiLevelType w:val="hybridMultilevel"/>
    <w:tmpl w:val="63201C80"/>
    <w:lvl w:ilvl="0" w:tplc="2F6ED51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CBE4C6F"/>
    <w:multiLevelType w:val="multilevel"/>
    <w:tmpl w:val="9F08A392"/>
    <w:lvl w:ilvl="0">
      <w:start w:val="1"/>
      <w:numFmt w:val="decimal"/>
      <w:lvlText w:val="CHƯƠNG %1"/>
      <w:lvlJc w:val="left"/>
      <w:pPr>
        <w:tabs>
          <w:tab w:val="num" w:pos="1092"/>
        </w:tabs>
        <w:ind w:left="1092" w:hanging="432"/>
      </w:pPr>
      <w:rPr>
        <w:rFonts w:hint="default"/>
      </w:rPr>
    </w:lvl>
    <w:lvl w:ilvl="1">
      <w:start w:val="1"/>
      <w:numFmt w:val="decimal"/>
      <w:lvlText w:val="%1.%2"/>
      <w:lvlJc w:val="left"/>
      <w:pPr>
        <w:tabs>
          <w:tab w:val="num" w:pos="1236"/>
        </w:tabs>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
      <w:lvlJc w:val="left"/>
      <w:pPr>
        <w:tabs>
          <w:tab w:val="num" w:pos="1440"/>
        </w:tabs>
        <w:ind w:left="720" w:hanging="720"/>
      </w:pPr>
      <w:rPr>
        <w:rFonts w:hint="default"/>
        <w:b/>
        <w:i/>
      </w:rPr>
    </w:lvl>
    <w:lvl w:ilvl="3">
      <w:start w:val="1"/>
      <w:numFmt w:val="decimal"/>
      <w:lvlText w:val="%1.%2.%3.%4. "/>
      <w:lvlJc w:val="left"/>
      <w:pPr>
        <w:tabs>
          <w:tab w:val="num" w:pos="1524"/>
        </w:tabs>
        <w:ind w:left="720" w:firstLine="0"/>
      </w:pPr>
      <w:rPr>
        <w:rFonts w:hint="default"/>
        <w:b w:val="0"/>
        <w:i/>
      </w:rPr>
    </w:lvl>
    <w:lvl w:ilvl="4">
      <w:start w:val="1"/>
      <w:numFmt w:val="lowerLetter"/>
      <w:pStyle w:val="Heading5"/>
      <w:lvlText w:val="%5)"/>
      <w:lvlJc w:val="left"/>
      <w:pPr>
        <w:tabs>
          <w:tab w:val="num" w:pos="720"/>
        </w:tabs>
        <w:ind w:left="720" w:firstLine="0"/>
      </w:pPr>
      <w:rPr>
        <w:rFonts w:ascii="Times New Roman" w:hAnsi="Times New Roman" w:hint="default"/>
        <w:b w:val="0"/>
        <w:i w:val="0"/>
      </w:rPr>
    </w:lvl>
    <w:lvl w:ilvl="5">
      <w:start w:val="1"/>
      <w:numFmt w:val="decimal"/>
      <w:pStyle w:val="Heading6"/>
      <w:lvlText w:val="%1.%2.%3.%4.%5.%6"/>
      <w:lvlJc w:val="left"/>
      <w:pPr>
        <w:tabs>
          <w:tab w:val="num" w:pos="1812"/>
        </w:tabs>
        <w:ind w:left="1812" w:hanging="1152"/>
      </w:pPr>
      <w:rPr>
        <w:rFonts w:hint="default"/>
      </w:rPr>
    </w:lvl>
    <w:lvl w:ilvl="6">
      <w:start w:val="1"/>
      <w:numFmt w:val="decimal"/>
      <w:pStyle w:val="Heading7"/>
      <w:lvlText w:val="%1.%2.%3.%4.%5.%6.%7"/>
      <w:lvlJc w:val="left"/>
      <w:pPr>
        <w:tabs>
          <w:tab w:val="num" w:pos="1956"/>
        </w:tabs>
        <w:ind w:left="1956" w:hanging="1296"/>
      </w:pPr>
      <w:rPr>
        <w:rFonts w:hint="default"/>
      </w:rPr>
    </w:lvl>
    <w:lvl w:ilvl="7">
      <w:start w:val="1"/>
      <w:numFmt w:val="decimal"/>
      <w:pStyle w:val="Heading8"/>
      <w:lvlText w:val="%1.%2.%3.%4.%5.%6.%7.%8"/>
      <w:lvlJc w:val="left"/>
      <w:pPr>
        <w:tabs>
          <w:tab w:val="num" w:pos="2100"/>
        </w:tabs>
        <w:ind w:left="2100" w:hanging="1440"/>
      </w:pPr>
      <w:rPr>
        <w:rFonts w:hint="default"/>
      </w:rPr>
    </w:lvl>
    <w:lvl w:ilvl="8">
      <w:start w:val="1"/>
      <w:numFmt w:val="decimal"/>
      <w:pStyle w:val="Heading9"/>
      <w:lvlText w:val="%1.%2.%3.%4.%5.%6.%7.%8.%9"/>
      <w:lvlJc w:val="left"/>
      <w:pPr>
        <w:tabs>
          <w:tab w:val="num" w:pos="2244"/>
        </w:tabs>
        <w:ind w:left="2244" w:hanging="1584"/>
      </w:pPr>
      <w:rPr>
        <w:rFonts w:hint="default"/>
      </w:rPr>
    </w:lvl>
  </w:abstractNum>
  <w:num w:numId="1">
    <w:abstractNumId w:val="13"/>
  </w:num>
  <w:num w:numId="2">
    <w:abstractNumId w:val="5"/>
  </w:num>
  <w:num w:numId="3">
    <w:abstractNumId w:val="15"/>
  </w:num>
  <w:num w:numId="4">
    <w:abstractNumId w:val="18"/>
  </w:num>
  <w:num w:numId="5">
    <w:abstractNumId w:val="20"/>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4"/>
  </w:num>
  <w:num w:numId="10">
    <w:abstractNumId w:val="10"/>
  </w:num>
  <w:num w:numId="11">
    <w:abstractNumId w:val="25"/>
  </w:num>
  <w:num w:numId="12">
    <w:abstractNumId w:val="16"/>
  </w:num>
  <w:num w:numId="13">
    <w:abstractNumId w:val="21"/>
  </w:num>
  <w:num w:numId="14">
    <w:abstractNumId w:val="19"/>
  </w:num>
  <w:num w:numId="15">
    <w:abstractNumId w:val="14"/>
  </w:num>
  <w:num w:numId="16">
    <w:abstractNumId w:val="9"/>
  </w:num>
  <w:num w:numId="17">
    <w:abstractNumId w:val="22"/>
  </w:num>
  <w:num w:numId="18">
    <w:abstractNumId w:val="0"/>
  </w:num>
  <w:num w:numId="19">
    <w:abstractNumId w:val="8"/>
  </w:num>
  <w:num w:numId="20">
    <w:abstractNumId w:val="7"/>
  </w:num>
  <w:num w:numId="21">
    <w:abstractNumId w:val="2"/>
  </w:num>
  <w:num w:numId="22">
    <w:abstractNumId w:val="17"/>
  </w:num>
  <w:num w:numId="23">
    <w:abstractNumId w:val="6"/>
  </w:num>
  <w:num w:numId="24">
    <w:abstractNumId w:val="23"/>
  </w:num>
  <w:num w:numId="25">
    <w:abstractNumId w:val="12"/>
  </w:num>
  <w:num w:numId="26">
    <w:abstractNumId w:val="1"/>
  </w:num>
  <w:num w:numId="27">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linkStyles/>
  <w:defaultTabStop w:val="720"/>
  <w:drawingGridHorizontalSpacing w:val="140"/>
  <w:displayHorizontalDrawingGridEvery w:val="2"/>
  <w:characterSpacingControl w:val="doNotCompress"/>
  <w:footnotePr>
    <w:footnote w:id="-1"/>
    <w:footnote w:id="0"/>
  </w:footnotePr>
  <w:endnotePr>
    <w:endnote w:id="-1"/>
    <w:endnote w:id="0"/>
  </w:endnotePr>
  <w:compat>
    <w:useFELayout/>
  </w:compat>
  <w:rsids>
    <w:rsidRoot w:val="003568A8"/>
    <w:rsid w:val="0000024B"/>
    <w:rsid w:val="0000033C"/>
    <w:rsid w:val="00001412"/>
    <w:rsid w:val="00002F77"/>
    <w:rsid w:val="00005E87"/>
    <w:rsid w:val="00007C23"/>
    <w:rsid w:val="000224EE"/>
    <w:rsid w:val="000249A6"/>
    <w:rsid w:val="0002600D"/>
    <w:rsid w:val="00032512"/>
    <w:rsid w:val="00033F45"/>
    <w:rsid w:val="00035687"/>
    <w:rsid w:val="00037E92"/>
    <w:rsid w:val="000407D7"/>
    <w:rsid w:val="00052186"/>
    <w:rsid w:val="000538CB"/>
    <w:rsid w:val="000548E2"/>
    <w:rsid w:val="0005492F"/>
    <w:rsid w:val="00055235"/>
    <w:rsid w:val="00056602"/>
    <w:rsid w:val="00062ABC"/>
    <w:rsid w:val="00063004"/>
    <w:rsid w:val="000637A6"/>
    <w:rsid w:val="00065C96"/>
    <w:rsid w:val="000736C6"/>
    <w:rsid w:val="00086600"/>
    <w:rsid w:val="000869A0"/>
    <w:rsid w:val="00090AB5"/>
    <w:rsid w:val="000925E8"/>
    <w:rsid w:val="00094B26"/>
    <w:rsid w:val="00094FF4"/>
    <w:rsid w:val="000A128B"/>
    <w:rsid w:val="000A14B5"/>
    <w:rsid w:val="000A1E64"/>
    <w:rsid w:val="000A28B1"/>
    <w:rsid w:val="000A3176"/>
    <w:rsid w:val="000A75FB"/>
    <w:rsid w:val="000B04BB"/>
    <w:rsid w:val="000B1CE1"/>
    <w:rsid w:val="000B2C62"/>
    <w:rsid w:val="000B4126"/>
    <w:rsid w:val="000B7767"/>
    <w:rsid w:val="000C1A39"/>
    <w:rsid w:val="000C3CF8"/>
    <w:rsid w:val="000C42F1"/>
    <w:rsid w:val="000C4973"/>
    <w:rsid w:val="000D25AC"/>
    <w:rsid w:val="000D30BA"/>
    <w:rsid w:val="000D7742"/>
    <w:rsid w:val="000E07D8"/>
    <w:rsid w:val="000E5231"/>
    <w:rsid w:val="000E5F9F"/>
    <w:rsid w:val="000F05F6"/>
    <w:rsid w:val="000F3EAE"/>
    <w:rsid w:val="000F410A"/>
    <w:rsid w:val="000F72F5"/>
    <w:rsid w:val="00101003"/>
    <w:rsid w:val="0010140C"/>
    <w:rsid w:val="00101CF5"/>
    <w:rsid w:val="001054A8"/>
    <w:rsid w:val="00106FC0"/>
    <w:rsid w:val="00110E5A"/>
    <w:rsid w:val="00111984"/>
    <w:rsid w:val="00111DDC"/>
    <w:rsid w:val="0011247E"/>
    <w:rsid w:val="001147E5"/>
    <w:rsid w:val="00115FBB"/>
    <w:rsid w:val="001252E6"/>
    <w:rsid w:val="001259AF"/>
    <w:rsid w:val="001276F4"/>
    <w:rsid w:val="0013143E"/>
    <w:rsid w:val="00134926"/>
    <w:rsid w:val="00135818"/>
    <w:rsid w:val="00141D44"/>
    <w:rsid w:val="0014213A"/>
    <w:rsid w:val="001462B2"/>
    <w:rsid w:val="00146641"/>
    <w:rsid w:val="0014761C"/>
    <w:rsid w:val="00147E23"/>
    <w:rsid w:val="001614CB"/>
    <w:rsid w:val="001649AF"/>
    <w:rsid w:val="00171CC5"/>
    <w:rsid w:val="00173BB2"/>
    <w:rsid w:val="00173D20"/>
    <w:rsid w:val="00175957"/>
    <w:rsid w:val="00176441"/>
    <w:rsid w:val="00177A78"/>
    <w:rsid w:val="00180502"/>
    <w:rsid w:val="001805BC"/>
    <w:rsid w:val="0018161F"/>
    <w:rsid w:val="001845CB"/>
    <w:rsid w:val="00190977"/>
    <w:rsid w:val="00192970"/>
    <w:rsid w:val="00193CBE"/>
    <w:rsid w:val="001941BA"/>
    <w:rsid w:val="00196149"/>
    <w:rsid w:val="001979A1"/>
    <w:rsid w:val="001A0C18"/>
    <w:rsid w:val="001A6068"/>
    <w:rsid w:val="001A76D3"/>
    <w:rsid w:val="001B0515"/>
    <w:rsid w:val="001B1A80"/>
    <w:rsid w:val="001B28A5"/>
    <w:rsid w:val="001B7938"/>
    <w:rsid w:val="001C6854"/>
    <w:rsid w:val="001C72BD"/>
    <w:rsid w:val="001D0788"/>
    <w:rsid w:val="001D18CD"/>
    <w:rsid w:val="001D2545"/>
    <w:rsid w:val="001E0EA6"/>
    <w:rsid w:val="001E16D6"/>
    <w:rsid w:val="001E2BF7"/>
    <w:rsid w:val="001E3DAE"/>
    <w:rsid w:val="001E71E4"/>
    <w:rsid w:val="001F0601"/>
    <w:rsid w:val="001F5975"/>
    <w:rsid w:val="001F5D90"/>
    <w:rsid w:val="001F61B2"/>
    <w:rsid w:val="00201875"/>
    <w:rsid w:val="00204B48"/>
    <w:rsid w:val="00204E3E"/>
    <w:rsid w:val="00213CFA"/>
    <w:rsid w:val="00214077"/>
    <w:rsid w:val="0021468C"/>
    <w:rsid w:val="002259C1"/>
    <w:rsid w:val="00225D35"/>
    <w:rsid w:val="00226419"/>
    <w:rsid w:val="00231056"/>
    <w:rsid w:val="00231175"/>
    <w:rsid w:val="002337D5"/>
    <w:rsid w:val="002341B2"/>
    <w:rsid w:val="002363AA"/>
    <w:rsid w:val="00236A55"/>
    <w:rsid w:val="00237E19"/>
    <w:rsid w:val="00241E0A"/>
    <w:rsid w:val="00242345"/>
    <w:rsid w:val="002428CA"/>
    <w:rsid w:val="002430E3"/>
    <w:rsid w:val="00244725"/>
    <w:rsid w:val="00247882"/>
    <w:rsid w:val="0025372E"/>
    <w:rsid w:val="002564C5"/>
    <w:rsid w:val="002613A6"/>
    <w:rsid w:val="00261D75"/>
    <w:rsid w:val="002733EC"/>
    <w:rsid w:val="002735A9"/>
    <w:rsid w:val="00276122"/>
    <w:rsid w:val="00282397"/>
    <w:rsid w:val="00285EE2"/>
    <w:rsid w:val="00286BD3"/>
    <w:rsid w:val="00287750"/>
    <w:rsid w:val="00290FEB"/>
    <w:rsid w:val="00291563"/>
    <w:rsid w:val="002955C3"/>
    <w:rsid w:val="002970CD"/>
    <w:rsid w:val="002A476C"/>
    <w:rsid w:val="002B08DB"/>
    <w:rsid w:val="002B0E5E"/>
    <w:rsid w:val="002C4D15"/>
    <w:rsid w:val="002C536B"/>
    <w:rsid w:val="002C63CA"/>
    <w:rsid w:val="002D08B7"/>
    <w:rsid w:val="002D367E"/>
    <w:rsid w:val="002D4218"/>
    <w:rsid w:val="002E0C42"/>
    <w:rsid w:val="002E1377"/>
    <w:rsid w:val="002E4615"/>
    <w:rsid w:val="002E73FE"/>
    <w:rsid w:val="002F35C7"/>
    <w:rsid w:val="002F60EC"/>
    <w:rsid w:val="0030243F"/>
    <w:rsid w:val="00305819"/>
    <w:rsid w:val="003059FB"/>
    <w:rsid w:val="00307583"/>
    <w:rsid w:val="00310281"/>
    <w:rsid w:val="00312C9C"/>
    <w:rsid w:val="00314962"/>
    <w:rsid w:val="00317B09"/>
    <w:rsid w:val="0032464F"/>
    <w:rsid w:val="00325466"/>
    <w:rsid w:val="003266B2"/>
    <w:rsid w:val="00326CE4"/>
    <w:rsid w:val="0033590E"/>
    <w:rsid w:val="00336F0A"/>
    <w:rsid w:val="003415F7"/>
    <w:rsid w:val="00342980"/>
    <w:rsid w:val="00343B4B"/>
    <w:rsid w:val="00346F4E"/>
    <w:rsid w:val="00350EEB"/>
    <w:rsid w:val="003568A8"/>
    <w:rsid w:val="00360B7B"/>
    <w:rsid w:val="00366846"/>
    <w:rsid w:val="00366AB3"/>
    <w:rsid w:val="0038143F"/>
    <w:rsid w:val="00381651"/>
    <w:rsid w:val="00384661"/>
    <w:rsid w:val="00386E01"/>
    <w:rsid w:val="00390388"/>
    <w:rsid w:val="00391162"/>
    <w:rsid w:val="003915F0"/>
    <w:rsid w:val="00391B29"/>
    <w:rsid w:val="003937B1"/>
    <w:rsid w:val="003A0BC1"/>
    <w:rsid w:val="003A215B"/>
    <w:rsid w:val="003A420F"/>
    <w:rsid w:val="003A4632"/>
    <w:rsid w:val="003B048A"/>
    <w:rsid w:val="003B0C2A"/>
    <w:rsid w:val="003B3BFE"/>
    <w:rsid w:val="003B3C43"/>
    <w:rsid w:val="003B3D88"/>
    <w:rsid w:val="003B6BA9"/>
    <w:rsid w:val="003B7C4C"/>
    <w:rsid w:val="003C12DF"/>
    <w:rsid w:val="003C1625"/>
    <w:rsid w:val="003C34D8"/>
    <w:rsid w:val="003C6A74"/>
    <w:rsid w:val="003D1B2E"/>
    <w:rsid w:val="003D5437"/>
    <w:rsid w:val="003D6CE7"/>
    <w:rsid w:val="003E3BFB"/>
    <w:rsid w:val="003E3D0D"/>
    <w:rsid w:val="003E49CF"/>
    <w:rsid w:val="003F21EA"/>
    <w:rsid w:val="003F71B7"/>
    <w:rsid w:val="003F7929"/>
    <w:rsid w:val="004016E4"/>
    <w:rsid w:val="00404E08"/>
    <w:rsid w:val="004141B8"/>
    <w:rsid w:val="00416374"/>
    <w:rsid w:val="00416A46"/>
    <w:rsid w:val="0042069B"/>
    <w:rsid w:val="00421929"/>
    <w:rsid w:val="00421A94"/>
    <w:rsid w:val="00426DD0"/>
    <w:rsid w:val="004319BD"/>
    <w:rsid w:val="00431E26"/>
    <w:rsid w:val="0043252D"/>
    <w:rsid w:val="004349B4"/>
    <w:rsid w:val="0043558E"/>
    <w:rsid w:val="004356F1"/>
    <w:rsid w:val="00436415"/>
    <w:rsid w:val="00447347"/>
    <w:rsid w:val="00450424"/>
    <w:rsid w:val="004519A0"/>
    <w:rsid w:val="00452C74"/>
    <w:rsid w:val="00454ADF"/>
    <w:rsid w:val="00455E76"/>
    <w:rsid w:val="00462DB6"/>
    <w:rsid w:val="00464F00"/>
    <w:rsid w:val="004657E1"/>
    <w:rsid w:val="00465DEA"/>
    <w:rsid w:val="0046639B"/>
    <w:rsid w:val="004708AB"/>
    <w:rsid w:val="00481069"/>
    <w:rsid w:val="00487FDD"/>
    <w:rsid w:val="00491047"/>
    <w:rsid w:val="00491FA3"/>
    <w:rsid w:val="004949A7"/>
    <w:rsid w:val="00495AC7"/>
    <w:rsid w:val="004978C4"/>
    <w:rsid w:val="004A100C"/>
    <w:rsid w:val="004A1EAF"/>
    <w:rsid w:val="004A3C3F"/>
    <w:rsid w:val="004A4006"/>
    <w:rsid w:val="004A7B00"/>
    <w:rsid w:val="004B163F"/>
    <w:rsid w:val="004B3623"/>
    <w:rsid w:val="004B4900"/>
    <w:rsid w:val="004B5889"/>
    <w:rsid w:val="004C5E33"/>
    <w:rsid w:val="004D40F8"/>
    <w:rsid w:val="004D73AA"/>
    <w:rsid w:val="004D7A81"/>
    <w:rsid w:val="004D7BFF"/>
    <w:rsid w:val="004E04B8"/>
    <w:rsid w:val="004E0DC9"/>
    <w:rsid w:val="004E3275"/>
    <w:rsid w:val="004E42C0"/>
    <w:rsid w:val="004E4EAD"/>
    <w:rsid w:val="004F56DE"/>
    <w:rsid w:val="004F6476"/>
    <w:rsid w:val="004F6D6C"/>
    <w:rsid w:val="00500AB3"/>
    <w:rsid w:val="005042F7"/>
    <w:rsid w:val="00505DE0"/>
    <w:rsid w:val="00507A44"/>
    <w:rsid w:val="0051012B"/>
    <w:rsid w:val="005113BB"/>
    <w:rsid w:val="00511547"/>
    <w:rsid w:val="00512F47"/>
    <w:rsid w:val="00524517"/>
    <w:rsid w:val="00530746"/>
    <w:rsid w:val="00532AF5"/>
    <w:rsid w:val="00532B73"/>
    <w:rsid w:val="00533D6C"/>
    <w:rsid w:val="00537637"/>
    <w:rsid w:val="00542C8A"/>
    <w:rsid w:val="00543B2C"/>
    <w:rsid w:val="00547EF8"/>
    <w:rsid w:val="00550560"/>
    <w:rsid w:val="00552931"/>
    <w:rsid w:val="0055433C"/>
    <w:rsid w:val="00554DF9"/>
    <w:rsid w:val="00556FC1"/>
    <w:rsid w:val="00560B0C"/>
    <w:rsid w:val="005620E8"/>
    <w:rsid w:val="00562652"/>
    <w:rsid w:val="00562EB4"/>
    <w:rsid w:val="005647F4"/>
    <w:rsid w:val="00572A98"/>
    <w:rsid w:val="00572B3A"/>
    <w:rsid w:val="0057396C"/>
    <w:rsid w:val="005753C5"/>
    <w:rsid w:val="00581714"/>
    <w:rsid w:val="005865D6"/>
    <w:rsid w:val="00590491"/>
    <w:rsid w:val="0059186F"/>
    <w:rsid w:val="005918CA"/>
    <w:rsid w:val="00591BE2"/>
    <w:rsid w:val="005926AC"/>
    <w:rsid w:val="00594113"/>
    <w:rsid w:val="00596219"/>
    <w:rsid w:val="005A60CE"/>
    <w:rsid w:val="005A7274"/>
    <w:rsid w:val="005B0169"/>
    <w:rsid w:val="005B0398"/>
    <w:rsid w:val="005B1C4C"/>
    <w:rsid w:val="005B21D6"/>
    <w:rsid w:val="005B242A"/>
    <w:rsid w:val="005B2719"/>
    <w:rsid w:val="005B7B34"/>
    <w:rsid w:val="005C1694"/>
    <w:rsid w:val="005C1C7F"/>
    <w:rsid w:val="005C4A93"/>
    <w:rsid w:val="005C50B2"/>
    <w:rsid w:val="005C530B"/>
    <w:rsid w:val="005C56CD"/>
    <w:rsid w:val="005C7947"/>
    <w:rsid w:val="005D10AD"/>
    <w:rsid w:val="005D123A"/>
    <w:rsid w:val="005D47FB"/>
    <w:rsid w:val="005D571F"/>
    <w:rsid w:val="005D5A84"/>
    <w:rsid w:val="005D67D9"/>
    <w:rsid w:val="005E4E00"/>
    <w:rsid w:val="005E65C3"/>
    <w:rsid w:val="00600980"/>
    <w:rsid w:val="00604F4F"/>
    <w:rsid w:val="00604F9C"/>
    <w:rsid w:val="006100DD"/>
    <w:rsid w:val="006108F7"/>
    <w:rsid w:val="006120CC"/>
    <w:rsid w:val="00612AF4"/>
    <w:rsid w:val="00613F60"/>
    <w:rsid w:val="00616A66"/>
    <w:rsid w:val="00617378"/>
    <w:rsid w:val="0062075C"/>
    <w:rsid w:val="00625148"/>
    <w:rsid w:val="00630C1B"/>
    <w:rsid w:val="00630C4B"/>
    <w:rsid w:val="00633266"/>
    <w:rsid w:val="00634C49"/>
    <w:rsid w:val="00637453"/>
    <w:rsid w:val="006411E8"/>
    <w:rsid w:val="0064120E"/>
    <w:rsid w:val="00641965"/>
    <w:rsid w:val="00642D78"/>
    <w:rsid w:val="006456EA"/>
    <w:rsid w:val="00645E58"/>
    <w:rsid w:val="00647263"/>
    <w:rsid w:val="006479BD"/>
    <w:rsid w:val="006539E4"/>
    <w:rsid w:val="00653A12"/>
    <w:rsid w:val="006565D2"/>
    <w:rsid w:val="00662787"/>
    <w:rsid w:val="00662F6A"/>
    <w:rsid w:val="0066567D"/>
    <w:rsid w:val="00670C85"/>
    <w:rsid w:val="0067429C"/>
    <w:rsid w:val="00676364"/>
    <w:rsid w:val="00682A9B"/>
    <w:rsid w:val="00684F8C"/>
    <w:rsid w:val="006878B0"/>
    <w:rsid w:val="006A191D"/>
    <w:rsid w:val="006A2CF1"/>
    <w:rsid w:val="006B2EA7"/>
    <w:rsid w:val="006B4D53"/>
    <w:rsid w:val="006B68F5"/>
    <w:rsid w:val="006B6AB1"/>
    <w:rsid w:val="006B7CA7"/>
    <w:rsid w:val="006C166B"/>
    <w:rsid w:val="006C2EA6"/>
    <w:rsid w:val="006C415E"/>
    <w:rsid w:val="006C47F8"/>
    <w:rsid w:val="006C4F50"/>
    <w:rsid w:val="006D35E9"/>
    <w:rsid w:val="006D4AF0"/>
    <w:rsid w:val="006E6B83"/>
    <w:rsid w:val="006E7B0E"/>
    <w:rsid w:val="006F30D6"/>
    <w:rsid w:val="006F35D0"/>
    <w:rsid w:val="006F35F8"/>
    <w:rsid w:val="006F3E40"/>
    <w:rsid w:val="006F56BA"/>
    <w:rsid w:val="006F6D85"/>
    <w:rsid w:val="00702735"/>
    <w:rsid w:val="00706DDE"/>
    <w:rsid w:val="00707816"/>
    <w:rsid w:val="00710010"/>
    <w:rsid w:val="00710E74"/>
    <w:rsid w:val="007131D0"/>
    <w:rsid w:val="00713B57"/>
    <w:rsid w:val="00716B58"/>
    <w:rsid w:val="0072035D"/>
    <w:rsid w:val="00720AD1"/>
    <w:rsid w:val="00720CCB"/>
    <w:rsid w:val="0072135E"/>
    <w:rsid w:val="00722665"/>
    <w:rsid w:val="00723C3D"/>
    <w:rsid w:val="007344AB"/>
    <w:rsid w:val="00736A90"/>
    <w:rsid w:val="00737E19"/>
    <w:rsid w:val="0074084A"/>
    <w:rsid w:val="00742B2D"/>
    <w:rsid w:val="00743371"/>
    <w:rsid w:val="00745B1B"/>
    <w:rsid w:val="00751D89"/>
    <w:rsid w:val="00752F21"/>
    <w:rsid w:val="007530BC"/>
    <w:rsid w:val="00754E36"/>
    <w:rsid w:val="00760482"/>
    <w:rsid w:val="007640B0"/>
    <w:rsid w:val="00774D4C"/>
    <w:rsid w:val="00775BA5"/>
    <w:rsid w:val="00783FCC"/>
    <w:rsid w:val="00786882"/>
    <w:rsid w:val="00792839"/>
    <w:rsid w:val="00792A3D"/>
    <w:rsid w:val="00793C8A"/>
    <w:rsid w:val="00796EE2"/>
    <w:rsid w:val="007A24F0"/>
    <w:rsid w:val="007A4BA0"/>
    <w:rsid w:val="007B121F"/>
    <w:rsid w:val="007B1E2C"/>
    <w:rsid w:val="007B2C63"/>
    <w:rsid w:val="007B2EA0"/>
    <w:rsid w:val="007B550E"/>
    <w:rsid w:val="007C2AED"/>
    <w:rsid w:val="007C52FC"/>
    <w:rsid w:val="007C755A"/>
    <w:rsid w:val="007C7CA8"/>
    <w:rsid w:val="007D3722"/>
    <w:rsid w:val="007D4069"/>
    <w:rsid w:val="007E047E"/>
    <w:rsid w:val="007E14EE"/>
    <w:rsid w:val="007E31A1"/>
    <w:rsid w:val="007E3795"/>
    <w:rsid w:val="007E3935"/>
    <w:rsid w:val="007E4093"/>
    <w:rsid w:val="007E7CCE"/>
    <w:rsid w:val="007F07D1"/>
    <w:rsid w:val="007F7D7A"/>
    <w:rsid w:val="0080027F"/>
    <w:rsid w:val="008017A9"/>
    <w:rsid w:val="00806CE6"/>
    <w:rsid w:val="00806F06"/>
    <w:rsid w:val="00811D4F"/>
    <w:rsid w:val="00811FAE"/>
    <w:rsid w:val="00813978"/>
    <w:rsid w:val="00814192"/>
    <w:rsid w:val="00816276"/>
    <w:rsid w:val="008172FB"/>
    <w:rsid w:val="008201DB"/>
    <w:rsid w:val="00820667"/>
    <w:rsid w:val="00820B53"/>
    <w:rsid w:val="00821384"/>
    <w:rsid w:val="00823999"/>
    <w:rsid w:val="008276A0"/>
    <w:rsid w:val="0082770E"/>
    <w:rsid w:val="008318ED"/>
    <w:rsid w:val="00833DEB"/>
    <w:rsid w:val="00836F43"/>
    <w:rsid w:val="00845DC8"/>
    <w:rsid w:val="00846819"/>
    <w:rsid w:val="00855D63"/>
    <w:rsid w:val="00861088"/>
    <w:rsid w:val="00862A96"/>
    <w:rsid w:val="00864FF6"/>
    <w:rsid w:val="00867A7C"/>
    <w:rsid w:val="00870B87"/>
    <w:rsid w:val="00876F2F"/>
    <w:rsid w:val="00877FB0"/>
    <w:rsid w:val="0088188B"/>
    <w:rsid w:val="00885F02"/>
    <w:rsid w:val="008862B9"/>
    <w:rsid w:val="00886CB2"/>
    <w:rsid w:val="00892F51"/>
    <w:rsid w:val="0089304A"/>
    <w:rsid w:val="00894153"/>
    <w:rsid w:val="00894FC4"/>
    <w:rsid w:val="008A1E4C"/>
    <w:rsid w:val="008A30C5"/>
    <w:rsid w:val="008A6C90"/>
    <w:rsid w:val="008A7D74"/>
    <w:rsid w:val="008B10C1"/>
    <w:rsid w:val="008B20A5"/>
    <w:rsid w:val="008B4C95"/>
    <w:rsid w:val="008B5F76"/>
    <w:rsid w:val="008B6956"/>
    <w:rsid w:val="008B6C10"/>
    <w:rsid w:val="008C4B1A"/>
    <w:rsid w:val="008C7433"/>
    <w:rsid w:val="008D086D"/>
    <w:rsid w:val="008D0F13"/>
    <w:rsid w:val="008D1489"/>
    <w:rsid w:val="008D1F77"/>
    <w:rsid w:val="008D2284"/>
    <w:rsid w:val="008D6984"/>
    <w:rsid w:val="008D6DCB"/>
    <w:rsid w:val="008E41CB"/>
    <w:rsid w:val="008E41EF"/>
    <w:rsid w:val="008E774C"/>
    <w:rsid w:val="008E7F5E"/>
    <w:rsid w:val="008F1E6A"/>
    <w:rsid w:val="008F337E"/>
    <w:rsid w:val="008F3E64"/>
    <w:rsid w:val="00900767"/>
    <w:rsid w:val="009029FC"/>
    <w:rsid w:val="0090443D"/>
    <w:rsid w:val="00904C44"/>
    <w:rsid w:val="00910F80"/>
    <w:rsid w:val="009127EF"/>
    <w:rsid w:val="00913131"/>
    <w:rsid w:val="00913690"/>
    <w:rsid w:val="0091407F"/>
    <w:rsid w:val="009170C0"/>
    <w:rsid w:val="00920135"/>
    <w:rsid w:val="00923576"/>
    <w:rsid w:val="00925048"/>
    <w:rsid w:val="00933260"/>
    <w:rsid w:val="00933EDB"/>
    <w:rsid w:val="009352D0"/>
    <w:rsid w:val="00936142"/>
    <w:rsid w:val="009402C3"/>
    <w:rsid w:val="009405A7"/>
    <w:rsid w:val="00945733"/>
    <w:rsid w:val="009461E3"/>
    <w:rsid w:val="00950FE5"/>
    <w:rsid w:val="00955EA2"/>
    <w:rsid w:val="0095610C"/>
    <w:rsid w:val="00960AC8"/>
    <w:rsid w:val="00960C6C"/>
    <w:rsid w:val="00962E9C"/>
    <w:rsid w:val="00964561"/>
    <w:rsid w:val="009704C1"/>
    <w:rsid w:val="009707FF"/>
    <w:rsid w:val="009727F9"/>
    <w:rsid w:val="009760AD"/>
    <w:rsid w:val="009848CF"/>
    <w:rsid w:val="00985217"/>
    <w:rsid w:val="00990A41"/>
    <w:rsid w:val="00991F7F"/>
    <w:rsid w:val="009923F0"/>
    <w:rsid w:val="00996B22"/>
    <w:rsid w:val="00997047"/>
    <w:rsid w:val="009975BF"/>
    <w:rsid w:val="009A0C76"/>
    <w:rsid w:val="009A12AC"/>
    <w:rsid w:val="009A2504"/>
    <w:rsid w:val="009A4793"/>
    <w:rsid w:val="009A59EB"/>
    <w:rsid w:val="009A6EAE"/>
    <w:rsid w:val="009A7565"/>
    <w:rsid w:val="009B0305"/>
    <w:rsid w:val="009B572C"/>
    <w:rsid w:val="009B644B"/>
    <w:rsid w:val="009C1F28"/>
    <w:rsid w:val="009C4274"/>
    <w:rsid w:val="009D4AB4"/>
    <w:rsid w:val="009D4B06"/>
    <w:rsid w:val="009D6692"/>
    <w:rsid w:val="009D6CD9"/>
    <w:rsid w:val="009D6E43"/>
    <w:rsid w:val="009E6777"/>
    <w:rsid w:val="009F56E0"/>
    <w:rsid w:val="009F59E0"/>
    <w:rsid w:val="009F6E6D"/>
    <w:rsid w:val="009F7122"/>
    <w:rsid w:val="00A00C49"/>
    <w:rsid w:val="00A013F0"/>
    <w:rsid w:val="00A02F3B"/>
    <w:rsid w:val="00A0381C"/>
    <w:rsid w:val="00A04333"/>
    <w:rsid w:val="00A04389"/>
    <w:rsid w:val="00A05E44"/>
    <w:rsid w:val="00A07BEC"/>
    <w:rsid w:val="00A1061A"/>
    <w:rsid w:val="00A12166"/>
    <w:rsid w:val="00A128BA"/>
    <w:rsid w:val="00A15929"/>
    <w:rsid w:val="00A1598F"/>
    <w:rsid w:val="00A16B42"/>
    <w:rsid w:val="00A2483A"/>
    <w:rsid w:val="00A25D18"/>
    <w:rsid w:val="00A25FDC"/>
    <w:rsid w:val="00A30D68"/>
    <w:rsid w:val="00A327B6"/>
    <w:rsid w:val="00A3540F"/>
    <w:rsid w:val="00A35F94"/>
    <w:rsid w:val="00A453F5"/>
    <w:rsid w:val="00A464C2"/>
    <w:rsid w:val="00A46CEF"/>
    <w:rsid w:val="00A51B7F"/>
    <w:rsid w:val="00A5351E"/>
    <w:rsid w:val="00A612D1"/>
    <w:rsid w:val="00A6138C"/>
    <w:rsid w:val="00A62B95"/>
    <w:rsid w:val="00A651F2"/>
    <w:rsid w:val="00A66309"/>
    <w:rsid w:val="00A671B0"/>
    <w:rsid w:val="00A6744B"/>
    <w:rsid w:val="00A714F4"/>
    <w:rsid w:val="00A71CBE"/>
    <w:rsid w:val="00A76E15"/>
    <w:rsid w:val="00A7751D"/>
    <w:rsid w:val="00A81D0E"/>
    <w:rsid w:val="00A82727"/>
    <w:rsid w:val="00A827C6"/>
    <w:rsid w:val="00A841F9"/>
    <w:rsid w:val="00A84262"/>
    <w:rsid w:val="00A9184D"/>
    <w:rsid w:val="00A939CA"/>
    <w:rsid w:val="00AA0318"/>
    <w:rsid w:val="00AA26F1"/>
    <w:rsid w:val="00AA412D"/>
    <w:rsid w:val="00AA596B"/>
    <w:rsid w:val="00AA6BC8"/>
    <w:rsid w:val="00AB07DE"/>
    <w:rsid w:val="00AB1B77"/>
    <w:rsid w:val="00AC0E9F"/>
    <w:rsid w:val="00AC6A63"/>
    <w:rsid w:val="00AC701B"/>
    <w:rsid w:val="00AC7D66"/>
    <w:rsid w:val="00AC7E24"/>
    <w:rsid w:val="00AD00E3"/>
    <w:rsid w:val="00AD5855"/>
    <w:rsid w:val="00AD79E4"/>
    <w:rsid w:val="00AE1534"/>
    <w:rsid w:val="00AE2E1C"/>
    <w:rsid w:val="00AE3677"/>
    <w:rsid w:val="00AE4F5D"/>
    <w:rsid w:val="00AE5886"/>
    <w:rsid w:val="00AE7BCD"/>
    <w:rsid w:val="00AF0BE5"/>
    <w:rsid w:val="00AF0F20"/>
    <w:rsid w:val="00AF592A"/>
    <w:rsid w:val="00AF6489"/>
    <w:rsid w:val="00AF7D32"/>
    <w:rsid w:val="00B005FB"/>
    <w:rsid w:val="00B022F1"/>
    <w:rsid w:val="00B0278F"/>
    <w:rsid w:val="00B05FD9"/>
    <w:rsid w:val="00B079F1"/>
    <w:rsid w:val="00B12873"/>
    <w:rsid w:val="00B1789B"/>
    <w:rsid w:val="00B215CA"/>
    <w:rsid w:val="00B21CCF"/>
    <w:rsid w:val="00B2659E"/>
    <w:rsid w:val="00B277BD"/>
    <w:rsid w:val="00B305C1"/>
    <w:rsid w:val="00B315D9"/>
    <w:rsid w:val="00B342F0"/>
    <w:rsid w:val="00B35FF2"/>
    <w:rsid w:val="00B36BA4"/>
    <w:rsid w:val="00B4520D"/>
    <w:rsid w:val="00B47E0A"/>
    <w:rsid w:val="00B50972"/>
    <w:rsid w:val="00B50EE3"/>
    <w:rsid w:val="00B5129D"/>
    <w:rsid w:val="00B5194A"/>
    <w:rsid w:val="00B53B62"/>
    <w:rsid w:val="00B53DD2"/>
    <w:rsid w:val="00B54C22"/>
    <w:rsid w:val="00B57A40"/>
    <w:rsid w:val="00B6242F"/>
    <w:rsid w:val="00B677D0"/>
    <w:rsid w:val="00B67CC4"/>
    <w:rsid w:val="00B70983"/>
    <w:rsid w:val="00B71E8D"/>
    <w:rsid w:val="00B7299C"/>
    <w:rsid w:val="00B72EBA"/>
    <w:rsid w:val="00B75CA7"/>
    <w:rsid w:val="00B77F5B"/>
    <w:rsid w:val="00B8515D"/>
    <w:rsid w:val="00B85897"/>
    <w:rsid w:val="00B86979"/>
    <w:rsid w:val="00B86C5E"/>
    <w:rsid w:val="00B914D7"/>
    <w:rsid w:val="00B954BA"/>
    <w:rsid w:val="00B956BE"/>
    <w:rsid w:val="00B964B8"/>
    <w:rsid w:val="00BA00BD"/>
    <w:rsid w:val="00BA08B0"/>
    <w:rsid w:val="00BA2285"/>
    <w:rsid w:val="00BA4C72"/>
    <w:rsid w:val="00BA7459"/>
    <w:rsid w:val="00BB5D32"/>
    <w:rsid w:val="00BC60F0"/>
    <w:rsid w:val="00BD16D3"/>
    <w:rsid w:val="00BD503E"/>
    <w:rsid w:val="00BE495E"/>
    <w:rsid w:val="00BE6922"/>
    <w:rsid w:val="00BE6B86"/>
    <w:rsid w:val="00BF0FC6"/>
    <w:rsid w:val="00BF2203"/>
    <w:rsid w:val="00BF230D"/>
    <w:rsid w:val="00BF2AA7"/>
    <w:rsid w:val="00BF41BA"/>
    <w:rsid w:val="00BF7E5A"/>
    <w:rsid w:val="00C07326"/>
    <w:rsid w:val="00C07E5F"/>
    <w:rsid w:val="00C15C6D"/>
    <w:rsid w:val="00C16501"/>
    <w:rsid w:val="00C16D71"/>
    <w:rsid w:val="00C17233"/>
    <w:rsid w:val="00C176B6"/>
    <w:rsid w:val="00C20886"/>
    <w:rsid w:val="00C241D0"/>
    <w:rsid w:val="00C309ED"/>
    <w:rsid w:val="00C31673"/>
    <w:rsid w:val="00C346CD"/>
    <w:rsid w:val="00C35DBA"/>
    <w:rsid w:val="00C36467"/>
    <w:rsid w:val="00C37A95"/>
    <w:rsid w:val="00C37EFE"/>
    <w:rsid w:val="00C4320F"/>
    <w:rsid w:val="00C45BF9"/>
    <w:rsid w:val="00C47CA9"/>
    <w:rsid w:val="00C50ABD"/>
    <w:rsid w:val="00C51781"/>
    <w:rsid w:val="00C5272A"/>
    <w:rsid w:val="00C53BEF"/>
    <w:rsid w:val="00C544CB"/>
    <w:rsid w:val="00C54C31"/>
    <w:rsid w:val="00C54DAC"/>
    <w:rsid w:val="00C559A6"/>
    <w:rsid w:val="00C5621D"/>
    <w:rsid w:val="00C578C7"/>
    <w:rsid w:val="00C603D6"/>
    <w:rsid w:val="00C61504"/>
    <w:rsid w:val="00C63B30"/>
    <w:rsid w:val="00C67BFF"/>
    <w:rsid w:val="00C7293A"/>
    <w:rsid w:val="00C73300"/>
    <w:rsid w:val="00C77E46"/>
    <w:rsid w:val="00C9154F"/>
    <w:rsid w:val="00C91E93"/>
    <w:rsid w:val="00C92D6B"/>
    <w:rsid w:val="00CA320C"/>
    <w:rsid w:val="00CA4F9E"/>
    <w:rsid w:val="00CA7DA3"/>
    <w:rsid w:val="00CC0254"/>
    <w:rsid w:val="00CC1FDE"/>
    <w:rsid w:val="00CC28DB"/>
    <w:rsid w:val="00CC2FE3"/>
    <w:rsid w:val="00CC33A3"/>
    <w:rsid w:val="00CC509C"/>
    <w:rsid w:val="00CC5C73"/>
    <w:rsid w:val="00CC6B1D"/>
    <w:rsid w:val="00CD661B"/>
    <w:rsid w:val="00CD77D6"/>
    <w:rsid w:val="00CE0ED1"/>
    <w:rsid w:val="00CE7D66"/>
    <w:rsid w:val="00CF071C"/>
    <w:rsid w:val="00CF452E"/>
    <w:rsid w:val="00CF4DFF"/>
    <w:rsid w:val="00CF71A5"/>
    <w:rsid w:val="00D004F2"/>
    <w:rsid w:val="00D00972"/>
    <w:rsid w:val="00D00C04"/>
    <w:rsid w:val="00D02579"/>
    <w:rsid w:val="00D03E26"/>
    <w:rsid w:val="00D04102"/>
    <w:rsid w:val="00D103C4"/>
    <w:rsid w:val="00D118DD"/>
    <w:rsid w:val="00D11DDD"/>
    <w:rsid w:val="00D127B0"/>
    <w:rsid w:val="00D13B1D"/>
    <w:rsid w:val="00D170BD"/>
    <w:rsid w:val="00D22C67"/>
    <w:rsid w:val="00D23826"/>
    <w:rsid w:val="00D24BF7"/>
    <w:rsid w:val="00D26DCB"/>
    <w:rsid w:val="00D30E1C"/>
    <w:rsid w:val="00D31582"/>
    <w:rsid w:val="00D31964"/>
    <w:rsid w:val="00D32171"/>
    <w:rsid w:val="00D352E3"/>
    <w:rsid w:val="00D45B51"/>
    <w:rsid w:val="00D45BB0"/>
    <w:rsid w:val="00D46146"/>
    <w:rsid w:val="00D51580"/>
    <w:rsid w:val="00D52E29"/>
    <w:rsid w:val="00D62399"/>
    <w:rsid w:val="00D62843"/>
    <w:rsid w:val="00D63CF0"/>
    <w:rsid w:val="00D64EA7"/>
    <w:rsid w:val="00D707C1"/>
    <w:rsid w:val="00D7348C"/>
    <w:rsid w:val="00D737B2"/>
    <w:rsid w:val="00D748AB"/>
    <w:rsid w:val="00D75F23"/>
    <w:rsid w:val="00D77705"/>
    <w:rsid w:val="00D80B7B"/>
    <w:rsid w:val="00D80C0C"/>
    <w:rsid w:val="00D825EC"/>
    <w:rsid w:val="00D83BE6"/>
    <w:rsid w:val="00D84198"/>
    <w:rsid w:val="00D85901"/>
    <w:rsid w:val="00D86D9A"/>
    <w:rsid w:val="00D90197"/>
    <w:rsid w:val="00D90757"/>
    <w:rsid w:val="00D90D46"/>
    <w:rsid w:val="00D91915"/>
    <w:rsid w:val="00D94965"/>
    <w:rsid w:val="00DA161F"/>
    <w:rsid w:val="00DA3D5B"/>
    <w:rsid w:val="00DA521D"/>
    <w:rsid w:val="00DA5858"/>
    <w:rsid w:val="00DB2147"/>
    <w:rsid w:val="00DB6A67"/>
    <w:rsid w:val="00DC1743"/>
    <w:rsid w:val="00DC27AB"/>
    <w:rsid w:val="00DC3C64"/>
    <w:rsid w:val="00DC4EB5"/>
    <w:rsid w:val="00DC7107"/>
    <w:rsid w:val="00DC7D3D"/>
    <w:rsid w:val="00DD06E2"/>
    <w:rsid w:val="00DD34D4"/>
    <w:rsid w:val="00DD395E"/>
    <w:rsid w:val="00DD3A74"/>
    <w:rsid w:val="00DD3AFA"/>
    <w:rsid w:val="00DE03FA"/>
    <w:rsid w:val="00DE131E"/>
    <w:rsid w:val="00DE44CC"/>
    <w:rsid w:val="00DF459D"/>
    <w:rsid w:val="00DF48DC"/>
    <w:rsid w:val="00DF4B9A"/>
    <w:rsid w:val="00DF5D94"/>
    <w:rsid w:val="00E008FA"/>
    <w:rsid w:val="00E01B91"/>
    <w:rsid w:val="00E02214"/>
    <w:rsid w:val="00E02357"/>
    <w:rsid w:val="00E04DB2"/>
    <w:rsid w:val="00E063E0"/>
    <w:rsid w:val="00E06B0A"/>
    <w:rsid w:val="00E07C6F"/>
    <w:rsid w:val="00E10E5E"/>
    <w:rsid w:val="00E168F1"/>
    <w:rsid w:val="00E24323"/>
    <w:rsid w:val="00E260B4"/>
    <w:rsid w:val="00E27360"/>
    <w:rsid w:val="00E30319"/>
    <w:rsid w:val="00E31B42"/>
    <w:rsid w:val="00E32ED8"/>
    <w:rsid w:val="00E33EC3"/>
    <w:rsid w:val="00E3406E"/>
    <w:rsid w:val="00E355F4"/>
    <w:rsid w:val="00E35CF2"/>
    <w:rsid w:val="00E35CF4"/>
    <w:rsid w:val="00E4060A"/>
    <w:rsid w:val="00E41DE0"/>
    <w:rsid w:val="00E43798"/>
    <w:rsid w:val="00E45EBB"/>
    <w:rsid w:val="00E467E0"/>
    <w:rsid w:val="00E4735C"/>
    <w:rsid w:val="00E55298"/>
    <w:rsid w:val="00E61453"/>
    <w:rsid w:val="00E628C1"/>
    <w:rsid w:val="00E63DC1"/>
    <w:rsid w:val="00E668B3"/>
    <w:rsid w:val="00E715E8"/>
    <w:rsid w:val="00E7593D"/>
    <w:rsid w:val="00E76063"/>
    <w:rsid w:val="00E819CB"/>
    <w:rsid w:val="00E81F76"/>
    <w:rsid w:val="00E821AD"/>
    <w:rsid w:val="00E829A7"/>
    <w:rsid w:val="00E84EE8"/>
    <w:rsid w:val="00E852A9"/>
    <w:rsid w:val="00E859CB"/>
    <w:rsid w:val="00E92A70"/>
    <w:rsid w:val="00E93F4C"/>
    <w:rsid w:val="00E942F0"/>
    <w:rsid w:val="00E94722"/>
    <w:rsid w:val="00E94C85"/>
    <w:rsid w:val="00E95AB5"/>
    <w:rsid w:val="00E96A52"/>
    <w:rsid w:val="00EA0F64"/>
    <w:rsid w:val="00EA1AA6"/>
    <w:rsid w:val="00EA1CB9"/>
    <w:rsid w:val="00EA3F33"/>
    <w:rsid w:val="00EA48CE"/>
    <w:rsid w:val="00EB191D"/>
    <w:rsid w:val="00EB3480"/>
    <w:rsid w:val="00EB44E6"/>
    <w:rsid w:val="00EB5A4E"/>
    <w:rsid w:val="00EC1D11"/>
    <w:rsid w:val="00EC216C"/>
    <w:rsid w:val="00EC22DE"/>
    <w:rsid w:val="00EC276D"/>
    <w:rsid w:val="00EC2A37"/>
    <w:rsid w:val="00EC44B2"/>
    <w:rsid w:val="00EC55C2"/>
    <w:rsid w:val="00EC736A"/>
    <w:rsid w:val="00ED130E"/>
    <w:rsid w:val="00ED3586"/>
    <w:rsid w:val="00EE245F"/>
    <w:rsid w:val="00EE33FC"/>
    <w:rsid w:val="00EE7E27"/>
    <w:rsid w:val="00EF12F5"/>
    <w:rsid w:val="00EF2C32"/>
    <w:rsid w:val="00EF2E1C"/>
    <w:rsid w:val="00F019D2"/>
    <w:rsid w:val="00F05EAF"/>
    <w:rsid w:val="00F06A89"/>
    <w:rsid w:val="00F10941"/>
    <w:rsid w:val="00F123F2"/>
    <w:rsid w:val="00F13B8D"/>
    <w:rsid w:val="00F15207"/>
    <w:rsid w:val="00F15E8C"/>
    <w:rsid w:val="00F17A73"/>
    <w:rsid w:val="00F20EED"/>
    <w:rsid w:val="00F21768"/>
    <w:rsid w:val="00F21F26"/>
    <w:rsid w:val="00F22114"/>
    <w:rsid w:val="00F3525F"/>
    <w:rsid w:val="00F352EE"/>
    <w:rsid w:val="00F361F8"/>
    <w:rsid w:val="00F36E38"/>
    <w:rsid w:val="00F37D6C"/>
    <w:rsid w:val="00F42363"/>
    <w:rsid w:val="00F44F97"/>
    <w:rsid w:val="00F45568"/>
    <w:rsid w:val="00F45C7B"/>
    <w:rsid w:val="00F47588"/>
    <w:rsid w:val="00F50F98"/>
    <w:rsid w:val="00F611E7"/>
    <w:rsid w:val="00F63499"/>
    <w:rsid w:val="00F7112F"/>
    <w:rsid w:val="00F727DF"/>
    <w:rsid w:val="00F74063"/>
    <w:rsid w:val="00F91A5B"/>
    <w:rsid w:val="00F95347"/>
    <w:rsid w:val="00F95C6C"/>
    <w:rsid w:val="00FA1BB2"/>
    <w:rsid w:val="00FB1DDE"/>
    <w:rsid w:val="00FB2017"/>
    <w:rsid w:val="00FB3075"/>
    <w:rsid w:val="00FB78C8"/>
    <w:rsid w:val="00FC0B5B"/>
    <w:rsid w:val="00FC3836"/>
    <w:rsid w:val="00FC3D0A"/>
    <w:rsid w:val="00FC4501"/>
    <w:rsid w:val="00FC4730"/>
    <w:rsid w:val="00FC5D0E"/>
    <w:rsid w:val="00FC791F"/>
    <w:rsid w:val="00FD074B"/>
    <w:rsid w:val="00FD1E3F"/>
    <w:rsid w:val="00FD1F3F"/>
    <w:rsid w:val="00FD214D"/>
    <w:rsid w:val="00FD23BD"/>
    <w:rsid w:val="00FD748A"/>
    <w:rsid w:val="00FE17C1"/>
    <w:rsid w:val="00FE1838"/>
    <w:rsid w:val="00FE7D7E"/>
    <w:rsid w:val="00FF157E"/>
    <w:rsid w:val="00FF27B1"/>
    <w:rsid w:val="00FF3792"/>
    <w:rsid w:val="00FF3A2E"/>
    <w:rsid w:val="00FF73F3"/>
    <w:rsid w:val="00FF74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rsid w:val="00EC55C2"/>
    <w:pPr>
      <w:spacing w:after="120" w:line="360" w:lineRule="auto"/>
      <w:ind w:firstLine="720"/>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Simple 1" w:uiPriority="0"/>
    <w:lsdException w:name="Tabl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9AF"/>
    <w:pPr>
      <w:spacing w:after="120" w:line="240"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EC55C2"/>
    <w:pPr>
      <w:keepNext/>
      <w:numPr>
        <w:numId w:val="7"/>
      </w:numPr>
      <w:spacing w:before="360" w:after="240"/>
      <w:jc w:val="left"/>
      <w:outlineLvl w:val="0"/>
    </w:pPr>
    <w:rPr>
      <w:rFonts w:cs="Arial"/>
      <w:b/>
      <w:bCs/>
      <w:kern w:val="32"/>
      <w:szCs w:val="32"/>
    </w:rPr>
  </w:style>
  <w:style w:type="paragraph" w:styleId="Heading2">
    <w:name w:val="heading 2"/>
    <w:basedOn w:val="Normal"/>
    <w:next w:val="Normal"/>
    <w:link w:val="Heading2Char"/>
    <w:qFormat/>
    <w:rsid w:val="00EC55C2"/>
    <w:pPr>
      <w:keepNext/>
      <w:numPr>
        <w:ilvl w:val="1"/>
        <w:numId w:val="7"/>
      </w:numPr>
      <w:spacing w:before="240" w:after="60"/>
      <w:outlineLvl w:val="1"/>
    </w:pPr>
    <w:rPr>
      <w:rFonts w:cs="Arial"/>
      <w:b/>
      <w:bCs/>
      <w:i/>
      <w:iCs/>
      <w:szCs w:val="28"/>
    </w:rPr>
  </w:style>
  <w:style w:type="paragraph" w:styleId="Heading3">
    <w:name w:val="heading 3"/>
    <w:basedOn w:val="Normal"/>
    <w:next w:val="Normal"/>
    <w:link w:val="Heading3Char"/>
    <w:qFormat/>
    <w:rsid w:val="00EC55C2"/>
    <w:pPr>
      <w:keepNext/>
      <w:numPr>
        <w:ilvl w:val="2"/>
        <w:numId w:val="7"/>
      </w:numPr>
      <w:tabs>
        <w:tab w:val="left" w:pos="360"/>
      </w:tabs>
      <w:spacing w:before="240" w:after="60"/>
      <w:outlineLvl w:val="2"/>
    </w:pPr>
    <w:rPr>
      <w:rFonts w:cs="Arial"/>
      <w:bCs/>
      <w:i/>
      <w:szCs w:val="26"/>
    </w:rPr>
  </w:style>
  <w:style w:type="paragraph" w:styleId="Heading4">
    <w:name w:val="heading 4"/>
    <w:basedOn w:val="Normal"/>
    <w:next w:val="Normal"/>
    <w:link w:val="Heading4Char"/>
    <w:rsid w:val="00EC55C2"/>
    <w:pPr>
      <w:keepNext/>
      <w:numPr>
        <w:ilvl w:val="3"/>
        <w:numId w:val="7"/>
      </w:numPr>
      <w:spacing w:before="240"/>
      <w:outlineLvl w:val="3"/>
    </w:pPr>
    <w:rPr>
      <w:bCs/>
      <w:i/>
      <w:szCs w:val="28"/>
    </w:rPr>
  </w:style>
  <w:style w:type="paragraph" w:styleId="Heading5">
    <w:name w:val="heading 5"/>
    <w:basedOn w:val="Normal"/>
    <w:next w:val="Normal"/>
    <w:link w:val="Heading5Char"/>
    <w:rsid w:val="00B71E8D"/>
    <w:pPr>
      <w:keepNext/>
      <w:numPr>
        <w:ilvl w:val="4"/>
        <w:numId w:val="11"/>
      </w:numPr>
      <w:tabs>
        <w:tab w:val="left" w:pos="360"/>
      </w:tabs>
      <w:spacing w:before="60" w:after="60"/>
      <w:jc w:val="left"/>
      <w:outlineLvl w:val="4"/>
    </w:pPr>
    <w:rPr>
      <w:rFonts w:eastAsia="Batang"/>
      <w:b/>
      <w:i/>
      <w:szCs w:val="20"/>
    </w:rPr>
  </w:style>
  <w:style w:type="paragraph" w:styleId="Heading6">
    <w:name w:val="heading 6"/>
    <w:basedOn w:val="Normal"/>
    <w:next w:val="Normal"/>
    <w:link w:val="Heading6Char"/>
    <w:rsid w:val="00B71E8D"/>
    <w:pPr>
      <w:keepNext/>
      <w:widowControl w:val="0"/>
      <w:numPr>
        <w:ilvl w:val="5"/>
        <w:numId w:val="11"/>
      </w:numPr>
      <w:spacing w:after="0"/>
      <w:jc w:val="center"/>
      <w:outlineLvl w:val="5"/>
    </w:pPr>
    <w:rPr>
      <w:rFonts w:eastAsia="Batang"/>
      <w:b/>
    </w:rPr>
  </w:style>
  <w:style w:type="paragraph" w:styleId="Heading7">
    <w:name w:val="heading 7"/>
    <w:basedOn w:val="Normal"/>
    <w:next w:val="Normal"/>
    <w:link w:val="Heading7Char"/>
    <w:rsid w:val="00B71E8D"/>
    <w:pPr>
      <w:keepNext/>
      <w:numPr>
        <w:ilvl w:val="6"/>
        <w:numId w:val="11"/>
      </w:numPr>
      <w:spacing w:after="0"/>
      <w:jc w:val="center"/>
      <w:outlineLvl w:val="6"/>
    </w:pPr>
    <w:rPr>
      <w:rFonts w:ascii=".VnTime" w:eastAsia="Batang" w:hAnsi=".VnTime"/>
      <w:b/>
      <w:sz w:val="20"/>
      <w:szCs w:val="20"/>
    </w:rPr>
  </w:style>
  <w:style w:type="paragraph" w:styleId="Heading8">
    <w:name w:val="heading 8"/>
    <w:basedOn w:val="Normal"/>
    <w:next w:val="Normal"/>
    <w:link w:val="Heading8Char"/>
    <w:rsid w:val="00B71E8D"/>
    <w:pPr>
      <w:keepNext/>
      <w:numPr>
        <w:ilvl w:val="7"/>
        <w:numId w:val="11"/>
      </w:numPr>
      <w:spacing w:after="0"/>
      <w:outlineLvl w:val="7"/>
    </w:pPr>
    <w:rPr>
      <w:rFonts w:ascii=".VnTime" w:hAnsi=".VnTime"/>
      <w:b/>
      <w:i/>
      <w:szCs w:val="20"/>
    </w:rPr>
  </w:style>
  <w:style w:type="paragraph" w:styleId="Heading9">
    <w:name w:val="heading 9"/>
    <w:basedOn w:val="Normal"/>
    <w:next w:val="Normal"/>
    <w:link w:val="Heading9Char"/>
    <w:rsid w:val="00B71E8D"/>
    <w:pPr>
      <w:numPr>
        <w:ilvl w:val="8"/>
        <w:numId w:val="11"/>
      </w:numPr>
      <w:spacing w:before="240" w:after="60"/>
      <w:jc w:val="left"/>
      <w:outlineLvl w:val="8"/>
    </w:pPr>
    <w:rPr>
      <w:rFonts w:ascii="Arial" w:eastAsia="Batang"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rsid w:val="00EC55C2"/>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rsid w:val="00EC55C2"/>
    <w:rPr>
      <w:rFonts w:ascii="Times New Roman" w:eastAsia="Times New Roman" w:hAnsi="Times New Roman" w:cs="Times New Roman"/>
      <w:sz w:val="20"/>
      <w:szCs w:val="20"/>
    </w:rPr>
  </w:style>
  <w:style w:type="character" w:styleId="FootnoteReference">
    <w:name w:val="footnote reference"/>
    <w:aliases w:val="Footnote,Footnote text,SUPERS,Footnote dich,ftref,(NECG) Footnote Reference,16 Point,Superscript 6 Point,Footnote + Arial,10 pt,Black,fr, BVI fnr,footnote ref,BVI fnr"/>
    <w:basedOn w:val="DefaultParagraphFont"/>
    <w:uiPriority w:val="99"/>
    <w:rsid w:val="00EC55C2"/>
    <w:rPr>
      <w:vertAlign w:val="superscript"/>
    </w:rPr>
  </w:style>
  <w:style w:type="paragraph" w:styleId="BalloonText">
    <w:name w:val="Balloon Text"/>
    <w:basedOn w:val="Normal"/>
    <w:link w:val="BalloonTextChar"/>
    <w:semiHidden/>
    <w:rsid w:val="00EC55C2"/>
    <w:rPr>
      <w:rFonts w:ascii="Tahoma" w:hAnsi="Tahoma" w:cs="Tahoma"/>
      <w:sz w:val="16"/>
      <w:szCs w:val="16"/>
    </w:rPr>
  </w:style>
  <w:style w:type="character" w:customStyle="1" w:styleId="BalloonTextChar">
    <w:name w:val="Balloon Text Char"/>
    <w:basedOn w:val="DefaultParagraphFont"/>
    <w:link w:val="BalloonText"/>
    <w:semiHidden/>
    <w:rsid w:val="00EC55C2"/>
    <w:rPr>
      <w:rFonts w:ascii="Tahoma" w:eastAsia="Times New Roman" w:hAnsi="Tahoma" w:cs="Tahoma"/>
      <w:sz w:val="16"/>
      <w:szCs w:val="16"/>
    </w:rPr>
  </w:style>
  <w:style w:type="paragraph" w:styleId="ListParagraph">
    <w:name w:val="List Paragraph"/>
    <w:basedOn w:val="Normal"/>
    <w:uiPriority w:val="34"/>
    <w:qFormat/>
    <w:rsid w:val="00EC55C2"/>
    <w:pPr>
      <w:ind w:left="720"/>
      <w:contextualSpacing/>
    </w:pPr>
  </w:style>
  <w:style w:type="paragraph" w:styleId="NormalWeb">
    <w:name w:val="Normal (Web)"/>
    <w:basedOn w:val="Normal"/>
    <w:link w:val="NormalWebChar"/>
    <w:uiPriority w:val="99"/>
    <w:unhideWhenUsed/>
    <w:rsid w:val="00B71E8D"/>
    <w:pPr>
      <w:spacing w:before="100" w:beforeAutospacing="1" w:after="100" w:afterAutospacing="1"/>
      <w:ind w:firstLine="0"/>
      <w:jc w:val="left"/>
    </w:pPr>
  </w:style>
  <w:style w:type="character" w:styleId="Strong">
    <w:name w:val="Strong"/>
    <w:basedOn w:val="DefaultParagraphFont"/>
    <w:uiPriority w:val="22"/>
    <w:qFormat/>
    <w:rsid w:val="00B71E8D"/>
    <w:rPr>
      <w:b/>
      <w:bCs/>
    </w:rPr>
  </w:style>
  <w:style w:type="character" w:customStyle="1" w:styleId="apple-converted-space">
    <w:name w:val="apple-converted-space"/>
    <w:basedOn w:val="DefaultParagraphFont"/>
    <w:rsid w:val="00B71E8D"/>
  </w:style>
  <w:style w:type="character" w:styleId="Hyperlink">
    <w:name w:val="Hyperlink"/>
    <w:basedOn w:val="DefaultParagraphFont"/>
    <w:rsid w:val="00EC55C2"/>
    <w:rPr>
      <w:color w:val="0000FF"/>
      <w:u w:val="single"/>
    </w:rPr>
  </w:style>
  <w:style w:type="table" w:styleId="TableGrid">
    <w:name w:val="Table Grid"/>
    <w:basedOn w:val="TableNormal"/>
    <w:rsid w:val="00EC55C2"/>
    <w:pPr>
      <w:spacing w:after="120" w:line="360" w:lineRule="auto"/>
      <w:ind w:firstLine="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71E8D"/>
    <w:rPr>
      <w:i/>
      <w:iCs/>
    </w:rPr>
  </w:style>
  <w:style w:type="paragraph" w:styleId="Header">
    <w:name w:val="header"/>
    <w:basedOn w:val="Normal"/>
    <w:link w:val="HeaderChar"/>
    <w:rsid w:val="00EC55C2"/>
    <w:pPr>
      <w:tabs>
        <w:tab w:val="center" w:pos="4320"/>
        <w:tab w:val="right" w:pos="8640"/>
      </w:tabs>
    </w:pPr>
  </w:style>
  <w:style w:type="character" w:customStyle="1" w:styleId="HeaderChar">
    <w:name w:val="Header Char"/>
    <w:basedOn w:val="DefaultParagraphFont"/>
    <w:link w:val="Header"/>
    <w:rsid w:val="00EC55C2"/>
    <w:rPr>
      <w:rFonts w:ascii="Times New Roman" w:eastAsia="Times New Roman" w:hAnsi="Times New Roman" w:cs="Times New Roman"/>
      <w:sz w:val="28"/>
      <w:szCs w:val="24"/>
    </w:rPr>
  </w:style>
  <w:style w:type="paragraph" w:styleId="Footer">
    <w:name w:val="footer"/>
    <w:basedOn w:val="Normal"/>
    <w:link w:val="FooterChar"/>
    <w:rsid w:val="00EC55C2"/>
    <w:pPr>
      <w:tabs>
        <w:tab w:val="center" w:pos="4320"/>
        <w:tab w:val="right" w:pos="8640"/>
      </w:tabs>
    </w:pPr>
  </w:style>
  <w:style w:type="character" w:customStyle="1" w:styleId="FooterChar">
    <w:name w:val="Footer Char"/>
    <w:basedOn w:val="DefaultParagraphFont"/>
    <w:link w:val="Footer"/>
    <w:rsid w:val="00EC55C2"/>
    <w:rPr>
      <w:rFonts w:ascii="Times New Roman" w:eastAsia="Times New Roman" w:hAnsi="Times New Roman" w:cs="Times New Roman"/>
      <w:sz w:val="28"/>
      <w:szCs w:val="24"/>
    </w:rPr>
  </w:style>
  <w:style w:type="character" w:customStyle="1" w:styleId="Heading1Char">
    <w:name w:val="Heading 1 Char"/>
    <w:basedOn w:val="DefaultParagraphFont"/>
    <w:link w:val="Heading1"/>
    <w:rsid w:val="00EC55C2"/>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rsid w:val="00EC55C2"/>
    <w:rPr>
      <w:rFonts w:ascii="Times New Roman" w:eastAsia="Times New Roman" w:hAnsi="Times New Roman" w:cs="Arial"/>
      <w:b/>
      <w:bCs/>
      <w:i/>
      <w:iCs/>
      <w:sz w:val="28"/>
      <w:szCs w:val="28"/>
    </w:rPr>
  </w:style>
  <w:style w:type="character" w:customStyle="1" w:styleId="Heading3Char">
    <w:name w:val="Heading 3 Char"/>
    <w:basedOn w:val="DefaultParagraphFont"/>
    <w:link w:val="Heading3"/>
    <w:rsid w:val="00EC55C2"/>
    <w:rPr>
      <w:rFonts w:ascii="Times New Roman" w:eastAsia="Times New Roman" w:hAnsi="Times New Roman" w:cs="Arial"/>
      <w:bCs/>
      <w:i/>
      <w:sz w:val="28"/>
      <w:szCs w:val="26"/>
    </w:rPr>
  </w:style>
  <w:style w:type="character" w:customStyle="1" w:styleId="Heading4Char">
    <w:name w:val="Heading 4 Char"/>
    <w:basedOn w:val="DefaultParagraphFont"/>
    <w:link w:val="Heading4"/>
    <w:rsid w:val="00EC55C2"/>
    <w:rPr>
      <w:rFonts w:ascii="Times New Roman" w:eastAsia="Times New Roman" w:hAnsi="Times New Roman" w:cs="Times New Roman"/>
      <w:bCs/>
      <w:i/>
      <w:sz w:val="28"/>
      <w:szCs w:val="28"/>
    </w:rPr>
  </w:style>
  <w:style w:type="paragraph" w:styleId="Title">
    <w:name w:val="Title"/>
    <w:basedOn w:val="Normal"/>
    <w:next w:val="Footer"/>
    <w:link w:val="TitleChar"/>
    <w:qFormat/>
    <w:rsid w:val="00EC55C2"/>
    <w:pPr>
      <w:pageBreakBefore/>
      <w:tabs>
        <w:tab w:val="left" w:pos="2160"/>
      </w:tabs>
      <w:spacing w:after="960"/>
      <w:ind w:firstLine="0"/>
      <w:jc w:val="center"/>
      <w:outlineLvl w:val="0"/>
    </w:pPr>
    <w:rPr>
      <w:rFonts w:cs="Arial"/>
      <w:b/>
      <w:bCs/>
      <w:kern w:val="28"/>
      <w:sz w:val="32"/>
      <w:szCs w:val="32"/>
    </w:rPr>
  </w:style>
  <w:style w:type="character" w:customStyle="1" w:styleId="TitleChar">
    <w:name w:val="Title Char"/>
    <w:basedOn w:val="DefaultParagraphFont"/>
    <w:link w:val="Title"/>
    <w:rsid w:val="00EC55C2"/>
    <w:rPr>
      <w:rFonts w:ascii="Times New Roman" w:eastAsia="Times New Roman" w:hAnsi="Times New Roman" w:cs="Arial"/>
      <w:b/>
      <w:bCs/>
      <w:kern w:val="28"/>
      <w:sz w:val="32"/>
      <w:szCs w:val="32"/>
    </w:rPr>
  </w:style>
  <w:style w:type="paragraph" w:styleId="BodyText">
    <w:name w:val="Body Text"/>
    <w:basedOn w:val="Normal"/>
    <w:link w:val="BodyTextChar"/>
    <w:rsid w:val="00EC55C2"/>
    <w:pPr>
      <w:spacing w:line="480" w:lineRule="auto"/>
      <w:ind w:firstLine="567"/>
    </w:pPr>
  </w:style>
  <w:style w:type="character" w:customStyle="1" w:styleId="BodyTextChar">
    <w:name w:val="Body Text Char"/>
    <w:basedOn w:val="DefaultParagraphFont"/>
    <w:link w:val="BodyText"/>
    <w:rsid w:val="00EC55C2"/>
    <w:rPr>
      <w:rFonts w:ascii="Times New Roman" w:eastAsia="Times New Roman" w:hAnsi="Times New Roman" w:cs="Times New Roman"/>
      <w:sz w:val="28"/>
      <w:szCs w:val="24"/>
    </w:rPr>
  </w:style>
  <w:style w:type="table" w:styleId="TableSimple1">
    <w:name w:val="Table Simple 1"/>
    <w:basedOn w:val="TableNormal"/>
    <w:rsid w:val="00EC55C2"/>
    <w:pPr>
      <w:spacing w:after="0" w:line="48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Figure">
    <w:name w:val="Figure"/>
    <w:basedOn w:val="Normal"/>
    <w:rsid w:val="00EC55C2"/>
    <w:pPr>
      <w:numPr>
        <w:numId w:val="1"/>
      </w:numPr>
      <w:spacing w:before="360" w:after="240"/>
      <w:jc w:val="center"/>
    </w:pPr>
  </w:style>
  <w:style w:type="paragraph" w:styleId="Caption">
    <w:name w:val="caption"/>
    <w:basedOn w:val="Normal"/>
    <w:next w:val="Normal"/>
    <w:link w:val="CaptionChar"/>
    <w:qFormat/>
    <w:rsid w:val="00EC55C2"/>
    <w:pPr>
      <w:spacing w:before="240"/>
      <w:ind w:firstLine="0"/>
      <w:jc w:val="center"/>
    </w:pPr>
    <w:rPr>
      <w:b/>
      <w:bCs/>
      <w:sz w:val="24"/>
      <w:szCs w:val="20"/>
    </w:rPr>
  </w:style>
  <w:style w:type="paragraph" w:customStyle="1" w:styleId="Equation">
    <w:name w:val="Equation"/>
    <w:basedOn w:val="Normal"/>
    <w:rsid w:val="00EC55C2"/>
    <w:pPr>
      <w:numPr>
        <w:numId w:val="2"/>
      </w:numPr>
      <w:spacing w:before="240" w:after="240" w:line="480" w:lineRule="auto"/>
    </w:pPr>
  </w:style>
  <w:style w:type="numbering" w:customStyle="1" w:styleId="StyleBulleted">
    <w:name w:val="Style Bulleted"/>
    <w:basedOn w:val="NoList"/>
    <w:rsid w:val="00EC55C2"/>
    <w:pPr>
      <w:numPr>
        <w:numId w:val="3"/>
      </w:numPr>
    </w:pPr>
  </w:style>
  <w:style w:type="character" w:customStyle="1" w:styleId="apple-style-span">
    <w:name w:val="apple-style-span"/>
    <w:basedOn w:val="DefaultParagraphFont"/>
    <w:rsid w:val="00EC55C2"/>
  </w:style>
  <w:style w:type="paragraph" w:customStyle="1" w:styleId="CharCharCharChar">
    <w:name w:val="Char Char Char Char"/>
    <w:basedOn w:val="Normal"/>
    <w:rsid w:val="00EC55C2"/>
    <w:pPr>
      <w:spacing w:after="160" w:line="240" w:lineRule="exact"/>
      <w:ind w:firstLine="0"/>
      <w:jc w:val="left"/>
    </w:pPr>
    <w:rPr>
      <w:rFonts w:ascii="Verdana" w:hAnsi="Verdana"/>
      <w:sz w:val="20"/>
      <w:szCs w:val="20"/>
    </w:rPr>
  </w:style>
  <w:style w:type="numbering" w:customStyle="1" w:styleId="StyleBulletedSymbolsymbolLeft05Hanging0251">
    <w:name w:val="Style Bulleted Symbol (symbol) Left:  0.5&quot; Hanging:  0.25&quot;1"/>
    <w:basedOn w:val="NoList"/>
    <w:rsid w:val="00EC55C2"/>
    <w:pPr>
      <w:numPr>
        <w:numId w:val="4"/>
      </w:numPr>
    </w:pPr>
  </w:style>
  <w:style w:type="paragraph" w:styleId="DocumentMap">
    <w:name w:val="Document Map"/>
    <w:basedOn w:val="Normal"/>
    <w:link w:val="DocumentMapChar"/>
    <w:semiHidden/>
    <w:rsid w:val="00EC55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C55C2"/>
    <w:rPr>
      <w:rFonts w:ascii="Tahoma" w:eastAsia="Times New Roman" w:hAnsi="Tahoma" w:cs="Tahoma"/>
      <w:sz w:val="20"/>
      <w:szCs w:val="20"/>
      <w:shd w:val="clear" w:color="auto" w:fill="000080"/>
    </w:rPr>
  </w:style>
  <w:style w:type="paragraph" w:customStyle="1" w:styleId="StyleHeading3TimesNewRoman14ptAfter12pt">
    <w:name w:val="Style Heading 3 + Times New Roman 14 pt After:  12 pt"/>
    <w:basedOn w:val="Heading3"/>
    <w:rsid w:val="00EC55C2"/>
    <w:pPr>
      <w:numPr>
        <w:ilvl w:val="0"/>
        <w:numId w:val="0"/>
      </w:numPr>
      <w:tabs>
        <w:tab w:val="num" w:pos="1080"/>
      </w:tabs>
      <w:spacing w:after="240"/>
      <w:ind w:left="1080" w:hanging="360"/>
    </w:pPr>
    <w:rPr>
      <w:rFonts w:cs="Times New Roman"/>
      <w:szCs w:val="20"/>
    </w:rPr>
  </w:style>
  <w:style w:type="table" w:styleId="TableList3">
    <w:name w:val="Table List 3"/>
    <w:basedOn w:val="TableNormal"/>
    <w:rsid w:val="00EC55C2"/>
    <w:pPr>
      <w:spacing w:after="0" w:line="240" w:lineRule="auto"/>
      <w:jc w:val="both"/>
    </w:pPr>
    <w:rPr>
      <w:rFonts w:ascii="Times New Roman" w:eastAsia="Times New Roman" w:hAnsi="Times New Roman" w:cs="Times New Roman"/>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PageNumber">
    <w:name w:val="page number"/>
    <w:basedOn w:val="DefaultParagraphFont"/>
    <w:rsid w:val="00EC55C2"/>
  </w:style>
  <w:style w:type="paragraph" w:customStyle="1" w:styleId="Char">
    <w:name w:val="Char"/>
    <w:basedOn w:val="Normal"/>
    <w:rsid w:val="00EC55C2"/>
    <w:pPr>
      <w:pageBreakBefore/>
      <w:spacing w:before="100" w:beforeAutospacing="1" w:after="100" w:afterAutospacing="1"/>
      <w:ind w:firstLine="0"/>
      <w:jc w:val="left"/>
    </w:pPr>
    <w:rPr>
      <w:rFonts w:ascii="Tahoma" w:hAnsi="Tahoma" w:cs="Tahoma"/>
      <w:sz w:val="20"/>
      <w:szCs w:val="20"/>
    </w:rPr>
  </w:style>
  <w:style w:type="paragraph" w:styleId="EndnoteText">
    <w:name w:val="endnote text"/>
    <w:basedOn w:val="Normal"/>
    <w:link w:val="EndnoteTextChar"/>
    <w:semiHidden/>
    <w:rsid w:val="00EC55C2"/>
    <w:rPr>
      <w:sz w:val="20"/>
      <w:szCs w:val="20"/>
    </w:rPr>
  </w:style>
  <w:style w:type="character" w:customStyle="1" w:styleId="EndnoteTextChar">
    <w:name w:val="Endnote Text Char"/>
    <w:basedOn w:val="DefaultParagraphFont"/>
    <w:link w:val="EndnoteText"/>
    <w:semiHidden/>
    <w:rsid w:val="00EC55C2"/>
    <w:rPr>
      <w:rFonts w:ascii="Times New Roman" w:eastAsia="Times New Roman" w:hAnsi="Times New Roman" w:cs="Times New Roman"/>
      <w:sz w:val="20"/>
      <w:szCs w:val="20"/>
    </w:rPr>
  </w:style>
  <w:style w:type="character" w:styleId="EndnoteReference">
    <w:name w:val="endnote reference"/>
    <w:basedOn w:val="DefaultParagraphFont"/>
    <w:semiHidden/>
    <w:rsid w:val="00EC55C2"/>
    <w:rPr>
      <w:vertAlign w:val="superscript"/>
    </w:rPr>
  </w:style>
  <w:style w:type="numbering" w:customStyle="1" w:styleId="StyleBulletedSymbolsymbolLeft025Hanging025">
    <w:name w:val="Style Bulleted Symbol (symbol) Left:  0.25&quot; Hanging:  0.25&quot;"/>
    <w:basedOn w:val="NoList"/>
    <w:rsid w:val="00EC55C2"/>
    <w:pPr>
      <w:numPr>
        <w:numId w:val="5"/>
      </w:numPr>
    </w:pPr>
  </w:style>
  <w:style w:type="character" w:customStyle="1" w:styleId="CaptionChar">
    <w:name w:val="Caption Char"/>
    <w:basedOn w:val="DefaultParagraphFont"/>
    <w:link w:val="Caption"/>
    <w:rsid w:val="00EC55C2"/>
    <w:rPr>
      <w:rFonts w:ascii="Times New Roman" w:eastAsia="Times New Roman" w:hAnsi="Times New Roman" w:cs="Times New Roman"/>
      <w:b/>
      <w:bCs/>
      <w:sz w:val="24"/>
      <w:szCs w:val="20"/>
    </w:rPr>
  </w:style>
  <w:style w:type="paragraph" w:styleId="TOC1">
    <w:name w:val="toc 1"/>
    <w:basedOn w:val="Normal"/>
    <w:next w:val="Normal"/>
    <w:rsid w:val="00EC55C2"/>
    <w:pPr>
      <w:spacing w:after="0"/>
      <w:ind w:firstLine="0"/>
      <w:jc w:val="left"/>
    </w:pPr>
    <w:rPr>
      <w:bCs/>
      <w:caps/>
      <w:sz w:val="20"/>
      <w:szCs w:val="20"/>
    </w:rPr>
  </w:style>
  <w:style w:type="paragraph" w:styleId="TOC2">
    <w:name w:val="toc 2"/>
    <w:basedOn w:val="Normal"/>
    <w:next w:val="Normal"/>
    <w:autoRedefine/>
    <w:rsid w:val="00EC55C2"/>
    <w:pPr>
      <w:spacing w:after="0"/>
      <w:ind w:left="280"/>
      <w:jc w:val="left"/>
    </w:pPr>
    <w:rPr>
      <w:smallCaps/>
      <w:sz w:val="20"/>
      <w:szCs w:val="20"/>
    </w:rPr>
  </w:style>
  <w:style w:type="paragraph" w:styleId="TOC3">
    <w:name w:val="toc 3"/>
    <w:basedOn w:val="Normal"/>
    <w:next w:val="Normal"/>
    <w:autoRedefine/>
    <w:rsid w:val="00EC55C2"/>
    <w:pPr>
      <w:spacing w:after="0"/>
      <w:ind w:left="560"/>
      <w:jc w:val="left"/>
    </w:pPr>
    <w:rPr>
      <w:i/>
      <w:iCs/>
      <w:sz w:val="20"/>
      <w:szCs w:val="20"/>
    </w:rPr>
  </w:style>
  <w:style w:type="paragraph" w:styleId="TOC4">
    <w:name w:val="toc 4"/>
    <w:basedOn w:val="Normal"/>
    <w:next w:val="Normal"/>
    <w:autoRedefine/>
    <w:semiHidden/>
    <w:rsid w:val="00EC55C2"/>
    <w:pPr>
      <w:spacing w:after="0"/>
      <w:ind w:left="840"/>
      <w:jc w:val="left"/>
    </w:pPr>
    <w:rPr>
      <w:sz w:val="18"/>
      <w:szCs w:val="18"/>
    </w:rPr>
  </w:style>
  <w:style w:type="paragraph" w:styleId="TOC5">
    <w:name w:val="toc 5"/>
    <w:basedOn w:val="Normal"/>
    <w:next w:val="Normal"/>
    <w:autoRedefine/>
    <w:semiHidden/>
    <w:rsid w:val="00EC55C2"/>
    <w:pPr>
      <w:spacing w:after="0"/>
      <w:ind w:left="1120"/>
      <w:jc w:val="left"/>
    </w:pPr>
    <w:rPr>
      <w:sz w:val="18"/>
      <w:szCs w:val="18"/>
    </w:rPr>
  </w:style>
  <w:style w:type="paragraph" w:styleId="TOC6">
    <w:name w:val="toc 6"/>
    <w:basedOn w:val="Normal"/>
    <w:next w:val="Normal"/>
    <w:autoRedefine/>
    <w:semiHidden/>
    <w:rsid w:val="00EC55C2"/>
    <w:pPr>
      <w:spacing w:after="0"/>
      <w:ind w:left="1400"/>
      <w:jc w:val="left"/>
    </w:pPr>
    <w:rPr>
      <w:sz w:val="18"/>
      <w:szCs w:val="18"/>
    </w:rPr>
  </w:style>
  <w:style w:type="paragraph" w:styleId="TOC7">
    <w:name w:val="toc 7"/>
    <w:basedOn w:val="Normal"/>
    <w:next w:val="Normal"/>
    <w:autoRedefine/>
    <w:semiHidden/>
    <w:rsid w:val="00EC55C2"/>
    <w:pPr>
      <w:spacing w:after="0"/>
      <w:ind w:left="1680"/>
      <w:jc w:val="left"/>
    </w:pPr>
    <w:rPr>
      <w:sz w:val="18"/>
      <w:szCs w:val="18"/>
    </w:rPr>
  </w:style>
  <w:style w:type="paragraph" w:styleId="TOC8">
    <w:name w:val="toc 8"/>
    <w:basedOn w:val="Normal"/>
    <w:next w:val="Normal"/>
    <w:autoRedefine/>
    <w:semiHidden/>
    <w:rsid w:val="00EC55C2"/>
    <w:pPr>
      <w:spacing w:after="0"/>
      <w:ind w:left="1960"/>
      <w:jc w:val="left"/>
    </w:pPr>
    <w:rPr>
      <w:sz w:val="18"/>
      <w:szCs w:val="18"/>
    </w:rPr>
  </w:style>
  <w:style w:type="paragraph" w:styleId="TOC9">
    <w:name w:val="toc 9"/>
    <w:basedOn w:val="Normal"/>
    <w:next w:val="Normal"/>
    <w:autoRedefine/>
    <w:semiHidden/>
    <w:rsid w:val="00EC55C2"/>
    <w:pPr>
      <w:spacing w:after="0"/>
      <w:ind w:left="2240"/>
      <w:jc w:val="left"/>
    </w:pPr>
    <w:rPr>
      <w:sz w:val="18"/>
      <w:szCs w:val="18"/>
    </w:rPr>
  </w:style>
  <w:style w:type="numbering" w:customStyle="1" w:styleId="StyleOutlinenumberedCourierNewLeft075Hanging025">
    <w:name w:val="Style Outline numbered Courier New Left:  0.75&quot; Hanging:  0.25&quot;"/>
    <w:basedOn w:val="NoList"/>
    <w:rsid w:val="00EC55C2"/>
    <w:pPr>
      <w:numPr>
        <w:numId w:val="6"/>
      </w:numPr>
    </w:pPr>
  </w:style>
  <w:style w:type="character" w:customStyle="1" w:styleId="Heading5Char">
    <w:name w:val="Heading 5 Char"/>
    <w:basedOn w:val="DefaultParagraphFont"/>
    <w:link w:val="Heading5"/>
    <w:rsid w:val="00B71E8D"/>
    <w:rPr>
      <w:rFonts w:ascii="Times New Roman" w:eastAsia="Batang" w:hAnsi="Times New Roman" w:cs="Times New Roman"/>
      <w:b/>
      <w:i/>
      <w:sz w:val="28"/>
      <w:szCs w:val="20"/>
    </w:rPr>
  </w:style>
  <w:style w:type="character" w:customStyle="1" w:styleId="Heading6Char">
    <w:name w:val="Heading 6 Char"/>
    <w:basedOn w:val="DefaultParagraphFont"/>
    <w:link w:val="Heading6"/>
    <w:rsid w:val="00B71E8D"/>
    <w:rPr>
      <w:rFonts w:ascii="Times New Roman" w:eastAsia="Batang" w:hAnsi="Times New Roman" w:cs="Times New Roman"/>
      <w:b/>
      <w:sz w:val="28"/>
      <w:szCs w:val="24"/>
    </w:rPr>
  </w:style>
  <w:style w:type="character" w:customStyle="1" w:styleId="Heading7Char">
    <w:name w:val="Heading 7 Char"/>
    <w:basedOn w:val="DefaultParagraphFont"/>
    <w:link w:val="Heading7"/>
    <w:rsid w:val="00B71E8D"/>
    <w:rPr>
      <w:rFonts w:ascii=".VnTime" w:eastAsia="Batang" w:hAnsi=".VnTime" w:cs="Times New Roman"/>
      <w:b/>
      <w:sz w:val="20"/>
      <w:szCs w:val="20"/>
    </w:rPr>
  </w:style>
  <w:style w:type="character" w:customStyle="1" w:styleId="Heading8Char">
    <w:name w:val="Heading 8 Char"/>
    <w:basedOn w:val="DefaultParagraphFont"/>
    <w:link w:val="Heading8"/>
    <w:rsid w:val="00B71E8D"/>
    <w:rPr>
      <w:rFonts w:ascii=".VnTime" w:eastAsia="Times New Roman" w:hAnsi=".VnTime" w:cs="Times New Roman"/>
      <w:b/>
      <w:i/>
      <w:sz w:val="28"/>
      <w:szCs w:val="20"/>
    </w:rPr>
  </w:style>
  <w:style w:type="character" w:customStyle="1" w:styleId="Heading9Char">
    <w:name w:val="Heading 9 Char"/>
    <w:basedOn w:val="DefaultParagraphFont"/>
    <w:link w:val="Heading9"/>
    <w:rsid w:val="00B71E8D"/>
    <w:rPr>
      <w:rFonts w:ascii="Arial" w:eastAsia="Batang" w:hAnsi="Arial" w:cs="Arial"/>
    </w:rPr>
  </w:style>
  <w:style w:type="paragraph" w:customStyle="1" w:styleId="Style12ptBoldBlackAfter0pt">
    <w:name w:val="Style 12 pt Bold Black After:  0 pt"/>
    <w:basedOn w:val="Normal"/>
    <w:uiPriority w:val="99"/>
    <w:rsid w:val="00B71E8D"/>
    <w:pPr>
      <w:spacing w:after="0"/>
      <w:ind w:firstLine="0"/>
    </w:pPr>
    <w:rPr>
      <w:b/>
      <w:bCs/>
      <w:color w:val="000000"/>
    </w:rPr>
  </w:style>
  <w:style w:type="character" w:styleId="CommentReference">
    <w:name w:val="annotation reference"/>
    <w:basedOn w:val="DefaultParagraphFont"/>
    <w:semiHidden/>
    <w:rsid w:val="00B71E8D"/>
    <w:rPr>
      <w:sz w:val="16"/>
      <w:szCs w:val="16"/>
    </w:rPr>
  </w:style>
  <w:style w:type="paragraph" w:styleId="CommentText">
    <w:name w:val="annotation text"/>
    <w:basedOn w:val="Normal"/>
    <w:link w:val="CommentTextChar"/>
    <w:semiHidden/>
    <w:rsid w:val="00B71E8D"/>
    <w:pPr>
      <w:ind w:firstLine="360"/>
    </w:pPr>
    <w:rPr>
      <w:sz w:val="20"/>
      <w:szCs w:val="20"/>
    </w:rPr>
  </w:style>
  <w:style w:type="character" w:customStyle="1" w:styleId="CommentTextChar">
    <w:name w:val="Comment Text Char"/>
    <w:basedOn w:val="DefaultParagraphFont"/>
    <w:link w:val="CommentText"/>
    <w:semiHidden/>
    <w:rsid w:val="00B71E8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71E8D"/>
    <w:rPr>
      <w:b/>
      <w:bCs/>
    </w:rPr>
  </w:style>
  <w:style w:type="character" w:customStyle="1" w:styleId="CommentSubjectChar">
    <w:name w:val="Comment Subject Char"/>
    <w:basedOn w:val="CommentTextChar"/>
    <w:link w:val="CommentSubject"/>
    <w:uiPriority w:val="99"/>
    <w:semiHidden/>
    <w:rsid w:val="00B71E8D"/>
    <w:rPr>
      <w:rFonts w:ascii="Times New Roman" w:eastAsia="Times New Roman" w:hAnsi="Times New Roman" w:cs="Times New Roman"/>
      <w:b/>
      <w:bCs/>
      <w:sz w:val="20"/>
      <w:szCs w:val="20"/>
    </w:rPr>
  </w:style>
  <w:style w:type="paragraph" w:styleId="Revision">
    <w:name w:val="Revision"/>
    <w:hidden/>
    <w:uiPriority w:val="99"/>
    <w:semiHidden/>
    <w:rsid w:val="00B71E8D"/>
    <w:pPr>
      <w:spacing w:after="0" w:line="240" w:lineRule="auto"/>
    </w:pPr>
    <w:rPr>
      <w:rFonts w:ascii="Times New Roman" w:eastAsia="Times New Roman" w:hAnsi="Times New Roman" w:cs="Times New Roman"/>
      <w:sz w:val="28"/>
      <w:szCs w:val="28"/>
    </w:rPr>
  </w:style>
  <w:style w:type="paragraph" w:customStyle="1" w:styleId="CharCharCharChar8">
    <w:name w:val="Char Char Char Char8"/>
    <w:basedOn w:val="Normal"/>
    <w:uiPriority w:val="99"/>
    <w:rsid w:val="00B71E8D"/>
    <w:pPr>
      <w:spacing w:after="160" w:line="240" w:lineRule="exact"/>
      <w:ind w:firstLine="0"/>
      <w:jc w:val="left"/>
    </w:pPr>
    <w:rPr>
      <w:rFonts w:ascii="Verdana" w:hAnsi="Verdana" w:cs="Verdana"/>
      <w:sz w:val="20"/>
      <w:szCs w:val="20"/>
    </w:rPr>
  </w:style>
  <w:style w:type="paragraph" w:customStyle="1" w:styleId="Char8">
    <w:name w:val="Char8"/>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7">
    <w:name w:val="Char Char Char Char7"/>
    <w:basedOn w:val="Normal"/>
    <w:uiPriority w:val="99"/>
    <w:rsid w:val="00B71E8D"/>
    <w:pPr>
      <w:spacing w:after="160" w:line="240" w:lineRule="exact"/>
      <w:ind w:firstLine="0"/>
      <w:jc w:val="left"/>
    </w:pPr>
    <w:rPr>
      <w:rFonts w:ascii="Verdana" w:hAnsi="Verdana" w:cs="Verdana"/>
      <w:sz w:val="20"/>
      <w:szCs w:val="20"/>
    </w:rPr>
  </w:style>
  <w:style w:type="paragraph" w:customStyle="1" w:styleId="Char7">
    <w:name w:val="Char7"/>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6">
    <w:name w:val="Char Char Char Char6"/>
    <w:basedOn w:val="Normal"/>
    <w:uiPriority w:val="99"/>
    <w:rsid w:val="00B71E8D"/>
    <w:pPr>
      <w:spacing w:after="160" w:line="240" w:lineRule="exact"/>
      <w:ind w:firstLine="0"/>
      <w:jc w:val="left"/>
    </w:pPr>
    <w:rPr>
      <w:rFonts w:ascii="Verdana" w:hAnsi="Verdana" w:cs="Verdana"/>
      <w:sz w:val="20"/>
      <w:szCs w:val="20"/>
    </w:rPr>
  </w:style>
  <w:style w:type="paragraph" w:customStyle="1" w:styleId="Char6">
    <w:name w:val="Char6"/>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5">
    <w:name w:val="Char Char Char Char5"/>
    <w:basedOn w:val="Normal"/>
    <w:uiPriority w:val="99"/>
    <w:rsid w:val="00B71E8D"/>
    <w:pPr>
      <w:spacing w:after="160" w:line="240" w:lineRule="exact"/>
      <w:ind w:firstLine="0"/>
      <w:jc w:val="left"/>
    </w:pPr>
    <w:rPr>
      <w:rFonts w:ascii="Verdana" w:hAnsi="Verdana" w:cs="Verdana"/>
      <w:sz w:val="20"/>
      <w:szCs w:val="20"/>
    </w:rPr>
  </w:style>
  <w:style w:type="paragraph" w:customStyle="1" w:styleId="Char5">
    <w:name w:val="Char5"/>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4">
    <w:name w:val="Char Char Char Char4"/>
    <w:basedOn w:val="Normal"/>
    <w:uiPriority w:val="99"/>
    <w:rsid w:val="00B71E8D"/>
    <w:pPr>
      <w:spacing w:after="160" w:line="240" w:lineRule="exact"/>
      <w:ind w:firstLine="0"/>
      <w:jc w:val="left"/>
    </w:pPr>
    <w:rPr>
      <w:rFonts w:ascii="Verdana" w:hAnsi="Verdana" w:cs="Verdana"/>
      <w:sz w:val="20"/>
      <w:szCs w:val="20"/>
    </w:rPr>
  </w:style>
  <w:style w:type="paragraph" w:customStyle="1" w:styleId="Char4">
    <w:name w:val="Char4"/>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3">
    <w:name w:val="Char Char Char Char3"/>
    <w:basedOn w:val="Normal"/>
    <w:uiPriority w:val="99"/>
    <w:rsid w:val="00B71E8D"/>
    <w:pPr>
      <w:spacing w:after="160" w:line="240" w:lineRule="exact"/>
      <w:ind w:firstLine="0"/>
      <w:jc w:val="left"/>
    </w:pPr>
    <w:rPr>
      <w:rFonts w:ascii="Verdana" w:hAnsi="Verdana" w:cs="Verdana"/>
      <w:sz w:val="20"/>
      <w:szCs w:val="20"/>
    </w:rPr>
  </w:style>
  <w:style w:type="paragraph" w:customStyle="1" w:styleId="Char3">
    <w:name w:val="Char3"/>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2">
    <w:name w:val="Char Char Char Char2"/>
    <w:basedOn w:val="Normal"/>
    <w:uiPriority w:val="99"/>
    <w:rsid w:val="00B71E8D"/>
    <w:pPr>
      <w:spacing w:after="160" w:line="240" w:lineRule="exact"/>
      <w:ind w:firstLine="0"/>
      <w:jc w:val="left"/>
    </w:pPr>
    <w:rPr>
      <w:rFonts w:ascii="Verdana" w:hAnsi="Verdana" w:cs="Verdana"/>
      <w:sz w:val="20"/>
      <w:szCs w:val="20"/>
    </w:rPr>
  </w:style>
  <w:style w:type="paragraph" w:customStyle="1" w:styleId="Char2">
    <w:name w:val="Char2"/>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1">
    <w:name w:val="Char Char Char Char1"/>
    <w:basedOn w:val="Normal"/>
    <w:uiPriority w:val="99"/>
    <w:rsid w:val="00B71E8D"/>
    <w:pPr>
      <w:spacing w:after="160" w:line="240" w:lineRule="exact"/>
      <w:ind w:firstLine="0"/>
      <w:jc w:val="left"/>
    </w:pPr>
    <w:rPr>
      <w:rFonts w:ascii="Verdana" w:hAnsi="Verdana" w:cs="Verdana"/>
      <w:sz w:val="20"/>
      <w:szCs w:val="20"/>
    </w:rPr>
  </w:style>
  <w:style w:type="paragraph" w:customStyle="1" w:styleId="Char1">
    <w:name w:val="Char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9">
    <w:name w:val="Char9"/>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character" w:customStyle="1" w:styleId="NormalWebChar">
    <w:name w:val="Normal (Web) Char"/>
    <w:basedOn w:val="DefaultParagraphFont"/>
    <w:link w:val="NormalWeb"/>
    <w:uiPriority w:val="99"/>
    <w:locked/>
    <w:rsid w:val="00B71E8D"/>
    <w:rPr>
      <w:rFonts w:ascii="Times New Roman" w:eastAsia="Times New Roman" w:hAnsi="Times New Roman" w:cs="Times New Roman"/>
      <w:sz w:val="24"/>
      <w:szCs w:val="24"/>
    </w:rPr>
  </w:style>
  <w:style w:type="character" w:customStyle="1" w:styleId="normalchar">
    <w:name w:val="normal__char"/>
    <w:basedOn w:val="DefaultParagraphFont"/>
    <w:uiPriority w:val="99"/>
    <w:rsid w:val="00B71E8D"/>
    <w:rPr>
      <w:rFonts w:cs="Times New Roman"/>
    </w:rPr>
  </w:style>
  <w:style w:type="character" w:customStyle="1" w:styleId="agri-box-news3-main-desc1">
    <w:name w:val="agri-box-news3-main-desc1"/>
    <w:basedOn w:val="DefaultParagraphFont"/>
    <w:uiPriority w:val="99"/>
    <w:rsid w:val="00B71E8D"/>
    <w:rPr>
      <w:rFonts w:ascii="Times New Roman" w:hAnsi="Times New Roman" w:cs="Times New Roman"/>
      <w:b/>
      <w:bCs/>
      <w:color w:val="5E5D5D"/>
      <w:sz w:val="21"/>
      <w:szCs w:val="21"/>
    </w:rPr>
  </w:style>
  <w:style w:type="paragraph" w:customStyle="1" w:styleId="titlenewdetail">
    <w:name w:val="titlenewdetail"/>
    <w:basedOn w:val="Normal"/>
    <w:uiPriority w:val="99"/>
    <w:rsid w:val="00B71E8D"/>
    <w:pPr>
      <w:spacing w:after="0" w:line="268" w:lineRule="atLeast"/>
      <w:ind w:firstLine="0"/>
      <w:jc w:val="left"/>
    </w:pPr>
    <w:rPr>
      <w:b/>
      <w:bCs/>
      <w:sz w:val="27"/>
      <w:szCs w:val="27"/>
    </w:rPr>
  </w:style>
  <w:style w:type="paragraph" w:customStyle="1" w:styleId="CharCharCharChar9">
    <w:name w:val="Char Char Char Char9"/>
    <w:basedOn w:val="Normal"/>
    <w:uiPriority w:val="99"/>
    <w:rsid w:val="00B71E8D"/>
    <w:pPr>
      <w:spacing w:after="160" w:line="240" w:lineRule="exact"/>
      <w:ind w:firstLine="0"/>
      <w:jc w:val="left"/>
    </w:pPr>
    <w:rPr>
      <w:rFonts w:ascii="Verdana" w:hAnsi="Verdana"/>
      <w:sz w:val="20"/>
      <w:szCs w:val="20"/>
    </w:rPr>
  </w:style>
  <w:style w:type="paragraph" w:customStyle="1" w:styleId="Char10">
    <w:name w:val="Char10"/>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11">
    <w:name w:val="Char11"/>
    <w:basedOn w:val="Normal"/>
    <w:uiPriority w:val="99"/>
    <w:rsid w:val="00B71E8D"/>
    <w:pPr>
      <w:pageBreakBefore/>
      <w:spacing w:before="100" w:beforeAutospacing="1" w:after="100" w:afterAutospacing="1"/>
      <w:ind w:firstLine="0"/>
      <w:jc w:val="lef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B71E8D"/>
    <w:pPr>
      <w:pageBreakBefore/>
      <w:spacing w:before="100" w:beforeAutospacing="1" w:after="100" w:afterAutospacing="1"/>
      <w:ind w:firstLine="0"/>
      <w:jc w:val="left"/>
    </w:pPr>
    <w:rPr>
      <w:rFonts w:ascii="Tahoma" w:hAnsi="Tahoma"/>
      <w:sz w:val="20"/>
      <w:szCs w:val="20"/>
    </w:rPr>
  </w:style>
  <w:style w:type="paragraph" w:styleId="BodyTextIndent">
    <w:name w:val="Body Text Indent"/>
    <w:basedOn w:val="Normal"/>
    <w:link w:val="BodyTextIndentChar"/>
    <w:uiPriority w:val="99"/>
    <w:semiHidden/>
    <w:rsid w:val="00B71E8D"/>
    <w:pPr>
      <w:ind w:left="360"/>
    </w:pPr>
  </w:style>
  <w:style w:type="character" w:customStyle="1" w:styleId="BodyTextIndentChar">
    <w:name w:val="Body Text Indent Char"/>
    <w:basedOn w:val="DefaultParagraphFont"/>
    <w:link w:val="BodyTextIndent"/>
    <w:uiPriority w:val="99"/>
    <w:semiHidden/>
    <w:rsid w:val="00B71E8D"/>
    <w:rPr>
      <w:rFonts w:ascii="Times New Roman" w:eastAsia="Times New Roman" w:hAnsi="Times New Roman" w:cs="Times New Roman"/>
      <w:sz w:val="24"/>
      <w:szCs w:val="24"/>
    </w:rPr>
  </w:style>
  <w:style w:type="paragraph" w:styleId="ListBullet">
    <w:name w:val="List Bullet"/>
    <w:basedOn w:val="Normal"/>
    <w:rsid w:val="00B71E8D"/>
    <w:pPr>
      <w:numPr>
        <w:numId w:val="8"/>
      </w:numPr>
    </w:pPr>
  </w:style>
  <w:style w:type="paragraph" w:styleId="Index1">
    <w:name w:val="index 1"/>
    <w:basedOn w:val="Normal"/>
    <w:next w:val="Normal"/>
    <w:autoRedefine/>
    <w:semiHidden/>
    <w:rsid w:val="00B71E8D"/>
    <w:pPr>
      <w:spacing w:after="0"/>
      <w:ind w:left="280" w:hanging="280"/>
      <w:jc w:val="left"/>
    </w:pPr>
    <w:rPr>
      <w:sz w:val="18"/>
      <w:szCs w:val="18"/>
    </w:rPr>
  </w:style>
  <w:style w:type="paragraph" w:styleId="Index2">
    <w:name w:val="index 2"/>
    <w:basedOn w:val="Normal"/>
    <w:next w:val="Normal"/>
    <w:autoRedefine/>
    <w:semiHidden/>
    <w:rsid w:val="00B71E8D"/>
    <w:pPr>
      <w:spacing w:after="0"/>
      <w:ind w:left="560" w:hanging="280"/>
      <w:jc w:val="left"/>
    </w:pPr>
    <w:rPr>
      <w:sz w:val="18"/>
      <w:szCs w:val="18"/>
    </w:rPr>
  </w:style>
  <w:style w:type="paragraph" w:styleId="Index3">
    <w:name w:val="index 3"/>
    <w:basedOn w:val="Normal"/>
    <w:next w:val="Normal"/>
    <w:autoRedefine/>
    <w:semiHidden/>
    <w:rsid w:val="00B71E8D"/>
    <w:pPr>
      <w:spacing w:after="0"/>
      <w:ind w:left="840" w:hanging="280"/>
      <w:jc w:val="left"/>
    </w:pPr>
    <w:rPr>
      <w:sz w:val="18"/>
      <w:szCs w:val="18"/>
    </w:rPr>
  </w:style>
  <w:style w:type="paragraph" w:styleId="Index4">
    <w:name w:val="index 4"/>
    <w:basedOn w:val="Normal"/>
    <w:next w:val="Normal"/>
    <w:autoRedefine/>
    <w:semiHidden/>
    <w:rsid w:val="00B71E8D"/>
    <w:pPr>
      <w:spacing w:after="0"/>
      <w:ind w:left="1120" w:hanging="280"/>
      <w:jc w:val="left"/>
    </w:pPr>
    <w:rPr>
      <w:sz w:val="18"/>
      <w:szCs w:val="18"/>
    </w:rPr>
  </w:style>
  <w:style w:type="paragraph" w:styleId="Index5">
    <w:name w:val="index 5"/>
    <w:basedOn w:val="Normal"/>
    <w:next w:val="Normal"/>
    <w:autoRedefine/>
    <w:semiHidden/>
    <w:rsid w:val="00B71E8D"/>
    <w:pPr>
      <w:spacing w:after="0"/>
      <w:ind w:left="1400" w:hanging="280"/>
      <w:jc w:val="left"/>
    </w:pPr>
    <w:rPr>
      <w:sz w:val="18"/>
      <w:szCs w:val="18"/>
    </w:rPr>
  </w:style>
  <w:style w:type="paragraph" w:styleId="Index6">
    <w:name w:val="index 6"/>
    <w:basedOn w:val="Normal"/>
    <w:next w:val="Normal"/>
    <w:autoRedefine/>
    <w:semiHidden/>
    <w:rsid w:val="00B71E8D"/>
    <w:pPr>
      <w:spacing w:after="0"/>
      <w:ind w:left="1680" w:hanging="280"/>
      <w:jc w:val="left"/>
    </w:pPr>
    <w:rPr>
      <w:sz w:val="18"/>
      <w:szCs w:val="18"/>
    </w:rPr>
  </w:style>
  <w:style w:type="paragraph" w:styleId="Index7">
    <w:name w:val="index 7"/>
    <w:basedOn w:val="Normal"/>
    <w:next w:val="Normal"/>
    <w:autoRedefine/>
    <w:semiHidden/>
    <w:rsid w:val="00B71E8D"/>
    <w:pPr>
      <w:spacing w:after="0"/>
      <w:ind w:left="1960" w:hanging="280"/>
      <w:jc w:val="left"/>
    </w:pPr>
    <w:rPr>
      <w:sz w:val="18"/>
      <w:szCs w:val="18"/>
    </w:rPr>
  </w:style>
  <w:style w:type="paragraph" w:styleId="Index8">
    <w:name w:val="index 8"/>
    <w:basedOn w:val="Normal"/>
    <w:next w:val="Normal"/>
    <w:autoRedefine/>
    <w:semiHidden/>
    <w:rsid w:val="00B71E8D"/>
    <w:pPr>
      <w:spacing w:after="0"/>
      <w:ind w:left="2240" w:hanging="280"/>
      <w:jc w:val="left"/>
    </w:pPr>
    <w:rPr>
      <w:sz w:val="18"/>
      <w:szCs w:val="18"/>
    </w:rPr>
  </w:style>
  <w:style w:type="paragraph" w:styleId="Index9">
    <w:name w:val="index 9"/>
    <w:basedOn w:val="Normal"/>
    <w:next w:val="Normal"/>
    <w:autoRedefine/>
    <w:semiHidden/>
    <w:rsid w:val="00B71E8D"/>
    <w:pPr>
      <w:spacing w:after="0"/>
      <w:ind w:left="2520" w:hanging="280"/>
      <w:jc w:val="left"/>
    </w:pPr>
    <w:rPr>
      <w:sz w:val="18"/>
      <w:szCs w:val="18"/>
    </w:rPr>
  </w:style>
  <w:style w:type="paragraph" w:styleId="IndexHeading">
    <w:name w:val="index heading"/>
    <w:basedOn w:val="Normal"/>
    <w:next w:val="Index1"/>
    <w:semiHidden/>
    <w:rsid w:val="00B71E8D"/>
    <w:pPr>
      <w:spacing w:before="240"/>
      <w:jc w:val="center"/>
    </w:pPr>
    <w:rPr>
      <w:b/>
      <w:bCs/>
      <w:sz w:val="26"/>
      <w:szCs w:val="26"/>
    </w:rPr>
  </w:style>
  <w:style w:type="numbering" w:customStyle="1" w:styleId="StyleBulletedSymbolsymbolLeft025Hanging0251">
    <w:name w:val="Style Bulleted Symbol (symbol) Left:  0.25&quot; Hanging:  0.25&quot;1"/>
    <w:basedOn w:val="NoList"/>
    <w:rsid w:val="00B71E8D"/>
    <w:pPr>
      <w:numPr>
        <w:numId w:val="9"/>
      </w:numPr>
    </w:pPr>
  </w:style>
  <w:style w:type="paragraph" w:customStyle="1" w:styleId="Style1">
    <w:name w:val="Style1"/>
    <w:basedOn w:val="Figure"/>
    <w:rsid w:val="00B71E8D"/>
    <w:pPr>
      <w:numPr>
        <w:numId w:val="0"/>
      </w:numPr>
      <w:tabs>
        <w:tab w:val="num" w:pos="1080"/>
      </w:tabs>
      <w:ind w:left="1080" w:hanging="360"/>
    </w:pPr>
  </w:style>
  <w:style w:type="paragraph" w:styleId="TOCHeading">
    <w:name w:val="TOC Heading"/>
    <w:basedOn w:val="Heading1"/>
    <w:next w:val="Normal"/>
    <w:uiPriority w:val="39"/>
    <w:unhideWhenUsed/>
    <w:qFormat/>
    <w:rsid w:val="00B71E8D"/>
    <w:pPr>
      <w:keepLines/>
      <w:numPr>
        <w:numId w:val="0"/>
      </w:numPr>
      <w:spacing w:before="480" w:after="0" w:line="276" w:lineRule="auto"/>
      <w:outlineLvl w:val="9"/>
    </w:pPr>
    <w:rPr>
      <w:rFonts w:ascii="Cambria" w:hAnsi="Cambria" w:cs="Times New Roman"/>
      <w:color w:val="365F91"/>
      <w:kern w:val="0"/>
      <w:szCs w:val="28"/>
    </w:rPr>
  </w:style>
  <w:style w:type="paragraph" w:styleId="NoSpacing">
    <w:name w:val="No Spacing"/>
    <w:link w:val="NoSpacingChar"/>
    <w:uiPriority w:val="1"/>
    <w:qFormat/>
    <w:rsid w:val="00B71E8D"/>
    <w:pPr>
      <w:spacing w:after="0" w:line="240" w:lineRule="auto"/>
    </w:pPr>
  </w:style>
  <w:style w:type="character" w:customStyle="1" w:styleId="NoSpacingChar">
    <w:name w:val="No Spacing Char"/>
    <w:basedOn w:val="DefaultParagraphFont"/>
    <w:link w:val="NoSpacing"/>
    <w:uiPriority w:val="1"/>
    <w:rsid w:val="00B71E8D"/>
  </w:style>
  <w:style w:type="character" w:styleId="PlaceholderText">
    <w:name w:val="Placeholder Text"/>
    <w:basedOn w:val="DefaultParagraphFont"/>
    <w:uiPriority w:val="99"/>
    <w:semiHidden/>
    <w:rsid w:val="00B71E8D"/>
    <w:rPr>
      <w:color w:val="808080"/>
    </w:rPr>
  </w:style>
  <w:style w:type="numbering" w:customStyle="1" w:styleId="Style2">
    <w:name w:val="Style2"/>
    <w:uiPriority w:val="99"/>
    <w:rsid w:val="00B71E8D"/>
    <w:pPr>
      <w:numPr>
        <w:numId w:val="10"/>
      </w:numPr>
    </w:pPr>
  </w:style>
  <w:style w:type="paragraph" w:customStyle="1" w:styleId="MTDisplayEquation">
    <w:name w:val="MTDisplayEquation"/>
    <w:basedOn w:val="Normal"/>
    <w:next w:val="Normal"/>
    <w:link w:val="MTDisplayEquationChar"/>
    <w:rsid w:val="00B71E8D"/>
    <w:pPr>
      <w:tabs>
        <w:tab w:val="center" w:pos="4520"/>
        <w:tab w:val="right" w:pos="9020"/>
      </w:tabs>
      <w:spacing w:after="0" w:line="336" w:lineRule="auto"/>
      <w:ind w:firstLine="0"/>
    </w:pPr>
  </w:style>
  <w:style w:type="character" w:customStyle="1" w:styleId="MTDisplayEquationChar">
    <w:name w:val="MTDisplayEquation Char"/>
    <w:basedOn w:val="DefaultParagraphFont"/>
    <w:link w:val="MTDisplayEquation"/>
    <w:rsid w:val="00B71E8D"/>
    <w:rPr>
      <w:rFonts w:ascii="Times New Roman" w:eastAsia="Times New Roman" w:hAnsi="Times New Roman" w:cs="Times New Roman"/>
      <w:sz w:val="24"/>
      <w:szCs w:val="24"/>
    </w:rPr>
  </w:style>
  <w:style w:type="paragraph" w:customStyle="1" w:styleId="sgtosupertitle">
    <w:name w:val="sgtosupertitle"/>
    <w:basedOn w:val="Normal"/>
    <w:rsid w:val="00B71E8D"/>
    <w:pPr>
      <w:spacing w:before="100" w:beforeAutospacing="1" w:after="100" w:afterAutospacing="1"/>
      <w:ind w:firstLine="0"/>
      <w:jc w:val="left"/>
    </w:pPr>
  </w:style>
  <w:style w:type="paragraph" w:customStyle="1" w:styleId="tim">
    <w:name w:val="tim"/>
    <w:basedOn w:val="NormalWeb"/>
    <w:rsid w:val="00386E01"/>
    <w:rPr>
      <w:sz w:val="24"/>
    </w:rPr>
  </w:style>
  <w:style w:type="table" w:styleId="LightGrid-Accent5">
    <w:name w:val="Light Grid Accent 5"/>
    <w:basedOn w:val="TableNormal"/>
    <w:uiPriority w:val="62"/>
    <w:rsid w:val="005926AC"/>
    <w:pPr>
      <w:spacing w:after="0" w:line="240" w:lineRule="auto"/>
    </w:pPr>
    <w:rPr>
      <w:rFonts w:ascii="Times New Roman" w:eastAsiaTheme="minorHAnsi" w:hAnsi="Times New Roman"/>
      <w:sz w:val="26"/>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Default">
    <w:name w:val="Default"/>
    <w:rsid w:val="00EA3F33"/>
    <w:pPr>
      <w:autoSpaceDE w:val="0"/>
      <w:autoSpaceDN w:val="0"/>
      <w:adjustRightInd w:val="0"/>
      <w:spacing w:after="0" w:line="240" w:lineRule="auto"/>
    </w:pPr>
    <w:rPr>
      <w:rFonts w:ascii="Times New Roman" w:eastAsiaTheme="minorHAnsi" w:hAnsi="Times New Roman" w:cs="Times New Roman"/>
      <w:color w:val="000000"/>
      <w:sz w:val="24"/>
      <w:szCs w:val="24"/>
    </w:rPr>
  </w:style>
  <w:style w:type="table" w:customStyle="1" w:styleId="TableGrid1">
    <w:name w:val="Table Grid1"/>
    <w:basedOn w:val="TableNormal"/>
    <w:next w:val="TableGrid"/>
    <w:uiPriority w:val="59"/>
    <w:rsid w:val="00FF27B1"/>
    <w:pPr>
      <w:spacing w:after="0" w:line="240" w:lineRule="auto"/>
    </w:pPr>
    <w:rPr>
      <w:rFonts w:ascii="Times New Roman" w:eastAsiaTheme="minorHAns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36063857">
      <w:bodyDiv w:val="1"/>
      <w:marLeft w:val="0"/>
      <w:marRight w:val="0"/>
      <w:marTop w:val="0"/>
      <w:marBottom w:val="0"/>
      <w:divBdr>
        <w:top w:val="none" w:sz="0" w:space="0" w:color="auto"/>
        <w:left w:val="none" w:sz="0" w:space="0" w:color="auto"/>
        <w:bottom w:val="none" w:sz="0" w:space="0" w:color="auto"/>
        <w:right w:val="none" w:sz="0" w:space="0" w:color="auto"/>
      </w:divBdr>
    </w:div>
    <w:div w:id="1017655744">
      <w:bodyDiv w:val="1"/>
      <w:marLeft w:val="0"/>
      <w:marRight w:val="0"/>
      <w:marTop w:val="0"/>
      <w:marBottom w:val="0"/>
      <w:divBdr>
        <w:top w:val="none" w:sz="0" w:space="0" w:color="auto"/>
        <w:left w:val="none" w:sz="0" w:space="0" w:color="auto"/>
        <w:bottom w:val="none" w:sz="0" w:space="0" w:color="auto"/>
        <w:right w:val="none" w:sz="0" w:space="0" w:color="auto"/>
      </w:divBdr>
    </w:div>
    <w:div w:id="19902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My%20Templates\Paper_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IIP%20c&#244;ng%20nghi&#7879;p%20ch&#7871;%20bi&#7871;n%20ch&#7871;%20t&#7841;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01\Downloads\Mua%20ban%20rong%20N&#272;TN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so%20lieu%20vi%20mo%20theo%20tha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01\Downloads\&#273;&#7891;%20th&#7883;%20XNK%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FSC\Data%20t&#7893;ng%20h&#7907;p\T&#236;nh%20h&#236;nh%20ho&#7841;t%20&#273;&#7897;ng%20DN.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so%20lieu%20vi%20mo%20theo%20thang.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t\Desktop\Consumer%20confidence%20index\VN%20Consumer%20confidence%20index.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So%20lieu\S&#7889;%20li&#7879;u%20ph&#7909;c%20v&#7909;%20vi&#7871;t%20b&#225;o%20c&#225;o%20th&#432;&#7901;ng%20xuy&#234;n\Nh&#243;m%20ch&#7881;%20ti&#234;u%20CPI%20update%2008.14\T&#237;nh%20to&#225;n%20l&#7841;m%20ph&#225;t%20c&#417;%20b&#7843;n.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SOLIEU15.0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ownloads\&#272;&#7891;%20th&#7883;%20t&#7927;%20gi&#22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2874456818655198E-2"/>
          <c:y val="5.8434955452932313E-2"/>
          <c:w val="0.87027368927998061"/>
          <c:h val="0.55854998489280028"/>
        </c:manualLayout>
      </c:layout>
      <c:lineChart>
        <c:grouping val="standard"/>
        <c:ser>
          <c:idx val="0"/>
          <c:order val="0"/>
          <c:tx>
            <c:strRef>
              <c:f>Sheet3!$B$2</c:f>
              <c:strCache>
                <c:ptCount val="1"/>
                <c:pt idx="0">
                  <c:v>Toàn ngành</c:v>
                </c:pt>
              </c:strCache>
            </c:strRef>
          </c:tx>
          <c:spPr>
            <a:ln w="25400"/>
          </c:spPr>
          <c:marker>
            <c:symbol val="diamond"/>
            <c:size val="5"/>
          </c:marker>
          <c:cat>
            <c:strRef>
              <c:f>Sheet3!$A$22:$A$34</c:f>
              <c:strCache>
                <c:ptCount val="13"/>
                <c:pt idx="0">
                  <c:v>T8/14</c:v>
                </c:pt>
                <c:pt idx="1">
                  <c:v>T9/14</c:v>
                </c:pt>
                <c:pt idx="2">
                  <c:v>T10/14</c:v>
                </c:pt>
                <c:pt idx="3">
                  <c:v>T11/14</c:v>
                </c:pt>
                <c:pt idx="4">
                  <c:v>T12/14</c:v>
                </c:pt>
                <c:pt idx="5">
                  <c:v>T1/15</c:v>
                </c:pt>
                <c:pt idx="6">
                  <c:v>T2/15</c:v>
                </c:pt>
                <c:pt idx="7">
                  <c:v>T3/15</c:v>
                </c:pt>
                <c:pt idx="8">
                  <c:v>T4/15</c:v>
                </c:pt>
                <c:pt idx="9">
                  <c:v>T5/15</c:v>
                </c:pt>
                <c:pt idx="10">
                  <c:v>T6/15</c:v>
                </c:pt>
                <c:pt idx="11">
                  <c:v>T7/15</c:v>
                </c:pt>
                <c:pt idx="12">
                  <c:v>T8/15</c:v>
                </c:pt>
              </c:strCache>
            </c:strRef>
          </c:cat>
          <c:val>
            <c:numRef>
              <c:f>Sheet3!$B$22:$B$34</c:f>
              <c:numCache>
                <c:formatCode>General</c:formatCode>
                <c:ptCount val="13"/>
                <c:pt idx="0">
                  <c:v>6.3</c:v>
                </c:pt>
                <c:pt idx="1">
                  <c:v>6.4</c:v>
                </c:pt>
                <c:pt idx="2">
                  <c:v>6.9</c:v>
                </c:pt>
                <c:pt idx="3">
                  <c:v>7.5</c:v>
                </c:pt>
                <c:pt idx="4">
                  <c:v>7.6</c:v>
                </c:pt>
                <c:pt idx="5">
                  <c:v>17.5</c:v>
                </c:pt>
                <c:pt idx="6">
                  <c:v>12</c:v>
                </c:pt>
                <c:pt idx="7">
                  <c:v>9.1</c:v>
                </c:pt>
                <c:pt idx="8">
                  <c:v>9.4</c:v>
                </c:pt>
                <c:pt idx="9">
                  <c:v>9.2000000000000011</c:v>
                </c:pt>
                <c:pt idx="10">
                  <c:v>9.6</c:v>
                </c:pt>
                <c:pt idx="11">
                  <c:v>9.9</c:v>
                </c:pt>
                <c:pt idx="12">
                  <c:v>9.9</c:v>
                </c:pt>
              </c:numCache>
            </c:numRef>
          </c:val>
        </c:ser>
        <c:ser>
          <c:idx val="1"/>
          <c:order val="1"/>
          <c:tx>
            <c:strRef>
              <c:f>Sheet3!$C$2</c:f>
              <c:strCache>
                <c:ptCount val="1"/>
                <c:pt idx="0">
                  <c:v>CN Chế biến chế tạo</c:v>
                </c:pt>
              </c:strCache>
            </c:strRef>
          </c:tx>
          <c:spPr>
            <a:ln w="25400">
              <a:prstDash val="sysDot"/>
            </a:ln>
          </c:spPr>
          <c:marker>
            <c:symbol val="circle"/>
            <c:size val="5"/>
          </c:marker>
          <c:cat>
            <c:strRef>
              <c:f>Sheet3!$A$22:$A$34</c:f>
              <c:strCache>
                <c:ptCount val="13"/>
                <c:pt idx="0">
                  <c:v>T8/14</c:v>
                </c:pt>
                <c:pt idx="1">
                  <c:v>T9/14</c:v>
                </c:pt>
                <c:pt idx="2">
                  <c:v>T10/14</c:v>
                </c:pt>
                <c:pt idx="3">
                  <c:v>T11/14</c:v>
                </c:pt>
                <c:pt idx="4">
                  <c:v>T12/14</c:v>
                </c:pt>
                <c:pt idx="5">
                  <c:v>T1/15</c:v>
                </c:pt>
                <c:pt idx="6">
                  <c:v>T2/15</c:v>
                </c:pt>
                <c:pt idx="7">
                  <c:v>T3/15</c:v>
                </c:pt>
                <c:pt idx="8">
                  <c:v>T4/15</c:v>
                </c:pt>
                <c:pt idx="9">
                  <c:v>T5/15</c:v>
                </c:pt>
                <c:pt idx="10">
                  <c:v>T6/15</c:v>
                </c:pt>
                <c:pt idx="11">
                  <c:v>T7/15</c:v>
                </c:pt>
                <c:pt idx="12">
                  <c:v>T8/15</c:v>
                </c:pt>
              </c:strCache>
            </c:strRef>
          </c:cat>
          <c:val>
            <c:numRef>
              <c:f>Sheet3!$C$22:$C$34</c:f>
              <c:numCache>
                <c:formatCode>General</c:formatCode>
                <c:ptCount val="13"/>
                <c:pt idx="0">
                  <c:v>8.1</c:v>
                </c:pt>
                <c:pt idx="1">
                  <c:v>8.2000000000000011</c:v>
                </c:pt>
                <c:pt idx="2">
                  <c:v>8.4</c:v>
                </c:pt>
                <c:pt idx="3">
                  <c:v>8.6</c:v>
                </c:pt>
                <c:pt idx="4">
                  <c:v>8.7000000000000011</c:v>
                </c:pt>
                <c:pt idx="5">
                  <c:v>19.399999999999999</c:v>
                </c:pt>
                <c:pt idx="6">
                  <c:v>12.9</c:v>
                </c:pt>
                <c:pt idx="7">
                  <c:v>9.6</c:v>
                </c:pt>
                <c:pt idx="8">
                  <c:v>10.1</c:v>
                </c:pt>
                <c:pt idx="9">
                  <c:v>9.9</c:v>
                </c:pt>
                <c:pt idx="10">
                  <c:v>10</c:v>
                </c:pt>
                <c:pt idx="11">
                  <c:v>10.1</c:v>
                </c:pt>
                <c:pt idx="12">
                  <c:v>10.4</c:v>
                </c:pt>
              </c:numCache>
            </c:numRef>
          </c:val>
        </c:ser>
        <c:marker val="1"/>
        <c:axId val="87043456"/>
        <c:axId val="59289984"/>
      </c:lineChart>
      <c:catAx>
        <c:axId val="87043456"/>
        <c:scaling>
          <c:orientation val="minMax"/>
        </c:scaling>
        <c:axPos val="b"/>
        <c:tickLblPos val="nextTo"/>
        <c:crossAx val="59289984"/>
        <c:crosses val="autoZero"/>
        <c:auto val="1"/>
        <c:lblAlgn val="ctr"/>
        <c:lblOffset val="100"/>
      </c:catAx>
      <c:valAx>
        <c:axId val="59289984"/>
        <c:scaling>
          <c:orientation val="minMax"/>
          <c:max val="20"/>
        </c:scaling>
        <c:axPos val="l"/>
        <c:majorGridlines>
          <c:spPr>
            <a:ln>
              <a:prstDash val="sysDot"/>
            </a:ln>
          </c:spPr>
        </c:majorGridlines>
        <c:numFmt formatCode="General" sourceLinked="1"/>
        <c:tickLblPos val="nextTo"/>
        <c:spPr>
          <a:ln>
            <a:noFill/>
          </a:ln>
        </c:spPr>
        <c:crossAx val="87043456"/>
        <c:crosses val="autoZero"/>
        <c:crossBetween val="between"/>
        <c:majorUnit val="5"/>
      </c:valAx>
    </c:plotArea>
    <c:legend>
      <c:legendPos val="b"/>
      <c:layout>
        <c:manualLayout>
          <c:xMode val="edge"/>
          <c:yMode val="edge"/>
          <c:x val="0.10505144816498023"/>
          <c:y val="0.85705368193899767"/>
          <c:w val="0.78989676829527999"/>
          <c:h val="0.13320715881884704"/>
        </c:manualLayout>
      </c:layout>
    </c:legend>
    <c:plotVisOnly val="1"/>
    <c:dispBlanksAs val="gap"/>
  </c:chart>
  <c:spPr>
    <a:ln>
      <a:noFill/>
    </a:ln>
  </c:spPr>
  <c:txPr>
    <a:bodyPr/>
    <a:lstStyle/>
    <a:p>
      <a:pPr>
        <a:defRPr sz="700">
          <a:latin typeface="Times New Roman" pitchFamily="18" charset="0"/>
          <a:cs typeface="Times New Roman" pitchFamily="18" charset="0"/>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8.048105836972369E-2"/>
          <c:y val="5.1400554097404488E-2"/>
          <c:w val="0.84768275071475419"/>
          <c:h val="0.6244109927435546"/>
        </c:manualLayout>
      </c:layout>
      <c:barChart>
        <c:barDir val="col"/>
        <c:grouping val="clustered"/>
        <c:ser>
          <c:idx val="0"/>
          <c:order val="0"/>
          <c:tx>
            <c:strRef>
              <c:f>'C:\Users\USER01\Downloads\[GTGD cua NDTNN 8.8.2015.xls]daily'!$G$132</c:f>
              <c:strCache>
                <c:ptCount val="1"/>
                <c:pt idx="0">
                  <c:v>Mua bán ròng (tỉ VND)</c:v>
                </c:pt>
              </c:strCache>
            </c:strRef>
          </c:tx>
          <c:dLbls>
            <c:dLbl>
              <c:idx val="5"/>
              <c:layout>
                <c:manualLayout>
                  <c:x val="2.4999999999999949E-2"/>
                  <c:y val="1.8518518518518583E-2"/>
                </c:manualLayout>
              </c:layout>
              <c:dLblPos val="outEnd"/>
              <c:showVal val="1"/>
            </c:dLbl>
            <c:showVal val="1"/>
          </c:dLbls>
          <c:cat>
            <c:strRef>
              <c:f>'C:\Users\USER01\Downloads\[GTGD cua NDTNN 8.8.2015.xls]daily'!$H$131:$AL$131</c:f>
              <c:strCache>
                <c:ptCount val="31"/>
                <c:pt idx="0">
                  <c:v>Tuần 5/1</c:v>
                </c:pt>
                <c:pt idx="1">
                  <c:v>Tuần 12/1</c:v>
                </c:pt>
                <c:pt idx="2">
                  <c:v>Tuần 19/1</c:v>
                </c:pt>
                <c:pt idx="3">
                  <c:v>Tuần 26/1</c:v>
                </c:pt>
                <c:pt idx="4">
                  <c:v>Tuần 2/2</c:v>
                </c:pt>
                <c:pt idx="5">
                  <c:v>Tuần 9/2</c:v>
                </c:pt>
                <c:pt idx="6">
                  <c:v>Tuần 24/2</c:v>
                </c:pt>
                <c:pt idx="7">
                  <c:v>Tuần 2/3</c:v>
                </c:pt>
                <c:pt idx="8">
                  <c:v>Tuần 9/3</c:v>
                </c:pt>
                <c:pt idx="9">
                  <c:v>Tuần 16/3</c:v>
                </c:pt>
                <c:pt idx="10">
                  <c:v>Tuần 23/3</c:v>
                </c:pt>
                <c:pt idx="11">
                  <c:v>Tuần 30/3</c:v>
                </c:pt>
                <c:pt idx="12">
                  <c:v>Tuần 6/4</c:v>
                </c:pt>
                <c:pt idx="13">
                  <c:v>Tuần 13/4</c:v>
                </c:pt>
                <c:pt idx="14">
                  <c:v>Tuần 20/4</c:v>
                </c:pt>
                <c:pt idx="15">
                  <c:v>Tuần 4/5</c:v>
                </c:pt>
                <c:pt idx="16">
                  <c:v>Tuần 11/5</c:v>
                </c:pt>
                <c:pt idx="17">
                  <c:v>Tuần 18/5</c:v>
                </c:pt>
                <c:pt idx="18">
                  <c:v>Tuần 25/5</c:v>
                </c:pt>
                <c:pt idx="19">
                  <c:v>Tuần 1/6</c:v>
                </c:pt>
                <c:pt idx="20">
                  <c:v>Tuần 8/6</c:v>
                </c:pt>
                <c:pt idx="21">
                  <c:v>Tuần 15/6</c:v>
                </c:pt>
                <c:pt idx="22">
                  <c:v>Tuần 22/6</c:v>
                </c:pt>
                <c:pt idx="23">
                  <c:v>Tuần 29/6</c:v>
                </c:pt>
                <c:pt idx="24">
                  <c:v>Tuần 6/7</c:v>
                </c:pt>
                <c:pt idx="25">
                  <c:v>Tuần 13/7</c:v>
                </c:pt>
                <c:pt idx="26">
                  <c:v>Tuần 20/7</c:v>
                </c:pt>
                <c:pt idx="27">
                  <c:v>Tuần 27/7</c:v>
                </c:pt>
                <c:pt idx="28">
                  <c:v>Tuần 3/8</c:v>
                </c:pt>
                <c:pt idx="29">
                  <c:v>Tuần 10/8</c:v>
                </c:pt>
                <c:pt idx="30">
                  <c:v>Tuần 17/8</c:v>
                </c:pt>
              </c:strCache>
            </c:strRef>
          </c:cat>
          <c:val>
            <c:numRef>
              <c:f>'C:\Users\USER01\Downloads\[GTGD cua NDTNN 8.8.2015.xls]daily'!$H$132:$AL$132</c:f>
              <c:numCache>
                <c:formatCode>General</c:formatCode>
                <c:ptCount val="31"/>
                <c:pt idx="0">
                  <c:v>-27</c:v>
                </c:pt>
                <c:pt idx="1">
                  <c:v>-104</c:v>
                </c:pt>
                <c:pt idx="2">
                  <c:v>-139</c:v>
                </c:pt>
                <c:pt idx="3">
                  <c:v>90</c:v>
                </c:pt>
                <c:pt idx="4">
                  <c:v>-92</c:v>
                </c:pt>
                <c:pt idx="5">
                  <c:v>758</c:v>
                </c:pt>
                <c:pt idx="6">
                  <c:v>498</c:v>
                </c:pt>
                <c:pt idx="7">
                  <c:v>235</c:v>
                </c:pt>
                <c:pt idx="8">
                  <c:v>-293</c:v>
                </c:pt>
                <c:pt idx="9">
                  <c:v>-19</c:v>
                </c:pt>
                <c:pt idx="10">
                  <c:v>-711</c:v>
                </c:pt>
                <c:pt idx="11">
                  <c:v>49</c:v>
                </c:pt>
                <c:pt idx="12">
                  <c:v>140</c:v>
                </c:pt>
                <c:pt idx="13">
                  <c:v>1008</c:v>
                </c:pt>
                <c:pt idx="14">
                  <c:v>669</c:v>
                </c:pt>
                <c:pt idx="15">
                  <c:v>576</c:v>
                </c:pt>
                <c:pt idx="16">
                  <c:v>-57</c:v>
                </c:pt>
                <c:pt idx="17">
                  <c:v>515</c:v>
                </c:pt>
                <c:pt idx="18">
                  <c:v>391</c:v>
                </c:pt>
                <c:pt idx="19">
                  <c:v>131</c:v>
                </c:pt>
                <c:pt idx="20">
                  <c:v>47</c:v>
                </c:pt>
                <c:pt idx="21">
                  <c:v>464</c:v>
                </c:pt>
                <c:pt idx="22">
                  <c:v>87</c:v>
                </c:pt>
                <c:pt idx="23">
                  <c:v>1104</c:v>
                </c:pt>
                <c:pt idx="24">
                  <c:v>218</c:v>
                </c:pt>
                <c:pt idx="25">
                  <c:v>68</c:v>
                </c:pt>
                <c:pt idx="26">
                  <c:v>213</c:v>
                </c:pt>
                <c:pt idx="27">
                  <c:v>-48</c:v>
                </c:pt>
                <c:pt idx="28">
                  <c:v>266</c:v>
                </c:pt>
                <c:pt idx="29">
                  <c:v>241</c:v>
                </c:pt>
                <c:pt idx="30">
                  <c:v>-672</c:v>
                </c:pt>
              </c:numCache>
            </c:numRef>
          </c:val>
        </c:ser>
        <c:axId val="87559168"/>
        <c:axId val="87569152"/>
      </c:barChart>
      <c:lineChart>
        <c:grouping val="standard"/>
        <c:ser>
          <c:idx val="1"/>
          <c:order val="1"/>
          <c:tx>
            <c:strRef>
              <c:f>'C:\Users\USER01\Downloads\[GTGD cua NDTNN 8.8.2015.xls]daily'!$G$133</c:f>
              <c:strCache>
                <c:ptCount val="1"/>
                <c:pt idx="0">
                  <c:v>VNIndex</c:v>
                </c:pt>
              </c:strCache>
            </c:strRef>
          </c:tx>
          <c:spPr>
            <a:ln w="22225">
              <a:solidFill>
                <a:srgbClr val="FF0000"/>
              </a:solidFill>
            </a:ln>
          </c:spPr>
          <c:marker>
            <c:symbol val="diamond"/>
            <c:size val="4"/>
          </c:marker>
          <c:cat>
            <c:strRef>
              <c:f>'C:\Users\USER01\Downloads\[GTGD cua NDTNN 8.8.2015.xls]daily'!$H$131:$AL$131</c:f>
              <c:strCache>
                <c:ptCount val="31"/>
                <c:pt idx="0">
                  <c:v>Tuần 5/1</c:v>
                </c:pt>
                <c:pt idx="1">
                  <c:v>Tuần 12/1</c:v>
                </c:pt>
                <c:pt idx="2">
                  <c:v>Tuần 19/1</c:v>
                </c:pt>
                <c:pt idx="3">
                  <c:v>Tuần 26/1</c:v>
                </c:pt>
                <c:pt idx="4">
                  <c:v>Tuần 2/2</c:v>
                </c:pt>
                <c:pt idx="5">
                  <c:v>Tuần 9/2</c:v>
                </c:pt>
                <c:pt idx="6">
                  <c:v>Tuần 24/2</c:v>
                </c:pt>
                <c:pt idx="7">
                  <c:v>Tuần 2/3</c:v>
                </c:pt>
                <c:pt idx="8">
                  <c:v>Tuần 9/3</c:v>
                </c:pt>
                <c:pt idx="9">
                  <c:v>Tuần 16/3</c:v>
                </c:pt>
                <c:pt idx="10">
                  <c:v>Tuần 23/3</c:v>
                </c:pt>
                <c:pt idx="11">
                  <c:v>Tuần 30/3</c:v>
                </c:pt>
                <c:pt idx="12">
                  <c:v>Tuần 6/4</c:v>
                </c:pt>
                <c:pt idx="13">
                  <c:v>Tuần 13/4</c:v>
                </c:pt>
                <c:pt idx="14">
                  <c:v>Tuần 20/4</c:v>
                </c:pt>
                <c:pt idx="15">
                  <c:v>Tuần 4/5</c:v>
                </c:pt>
                <c:pt idx="16">
                  <c:v>Tuần 11/5</c:v>
                </c:pt>
                <c:pt idx="17">
                  <c:v>Tuần 18/5</c:v>
                </c:pt>
                <c:pt idx="18">
                  <c:v>Tuần 25/5</c:v>
                </c:pt>
                <c:pt idx="19">
                  <c:v>Tuần 1/6</c:v>
                </c:pt>
                <c:pt idx="20">
                  <c:v>Tuần 8/6</c:v>
                </c:pt>
                <c:pt idx="21">
                  <c:v>Tuần 15/6</c:v>
                </c:pt>
                <c:pt idx="22">
                  <c:v>Tuần 22/6</c:v>
                </c:pt>
                <c:pt idx="23">
                  <c:v>Tuần 29/6</c:v>
                </c:pt>
                <c:pt idx="24">
                  <c:v>Tuần 6/7</c:v>
                </c:pt>
                <c:pt idx="25">
                  <c:v>Tuần 13/7</c:v>
                </c:pt>
                <c:pt idx="26">
                  <c:v>Tuần 20/7</c:v>
                </c:pt>
                <c:pt idx="27">
                  <c:v>Tuần 27/7</c:v>
                </c:pt>
                <c:pt idx="28">
                  <c:v>Tuần 3/8</c:v>
                </c:pt>
                <c:pt idx="29">
                  <c:v>Tuần 10/8</c:v>
                </c:pt>
                <c:pt idx="30">
                  <c:v>Tuần 17/8</c:v>
                </c:pt>
              </c:strCache>
            </c:strRef>
          </c:cat>
          <c:val>
            <c:numRef>
              <c:f>'C:\Users\USER01\Downloads\[GTGD cua NDTNN 8.8.2015.xls]daily'!$H$133:$AL$133</c:f>
              <c:numCache>
                <c:formatCode>General</c:formatCode>
                <c:ptCount val="31"/>
                <c:pt idx="0">
                  <c:v>570</c:v>
                </c:pt>
                <c:pt idx="1">
                  <c:v>577</c:v>
                </c:pt>
                <c:pt idx="2">
                  <c:v>582</c:v>
                </c:pt>
                <c:pt idx="3">
                  <c:v>576</c:v>
                </c:pt>
                <c:pt idx="4">
                  <c:v>574</c:v>
                </c:pt>
                <c:pt idx="5">
                  <c:v>587</c:v>
                </c:pt>
                <c:pt idx="6">
                  <c:v>593</c:v>
                </c:pt>
                <c:pt idx="7">
                  <c:v>594</c:v>
                </c:pt>
                <c:pt idx="8">
                  <c:v>586</c:v>
                </c:pt>
                <c:pt idx="9">
                  <c:v>575</c:v>
                </c:pt>
                <c:pt idx="10">
                  <c:v>551</c:v>
                </c:pt>
                <c:pt idx="11">
                  <c:v>548</c:v>
                </c:pt>
                <c:pt idx="12">
                  <c:v>554</c:v>
                </c:pt>
                <c:pt idx="13">
                  <c:v>568</c:v>
                </c:pt>
                <c:pt idx="14">
                  <c:v>566</c:v>
                </c:pt>
                <c:pt idx="15">
                  <c:v>554</c:v>
                </c:pt>
                <c:pt idx="16">
                  <c:v>543</c:v>
                </c:pt>
                <c:pt idx="17">
                  <c:v>561.79999999999995</c:v>
                </c:pt>
                <c:pt idx="18">
                  <c:v>570</c:v>
                </c:pt>
                <c:pt idx="19">
                  <c:v>578</c:v>
                </c:pt>
                <c:pt idx="20">
                  <c:v>583</c:v>
                </c:pt>
                <c:pt idx="21">
                  <c:v>585</c:v>
                </c:pt>
                <c:pt idx="22">
                  <c:v>581</c:v>
                </c:pt>
                <c:pt idx="23">
                  <c:v>615</c:v>
                </c:pt>
                <c:pt idx="24">
                  <c:v>627.29999999999995</c:v>
                </c:pt>
                <c:pt idx="25">
                  <c:v>628</c:v>
                </c:pt>
                <c:pt idx="26">
                  <c:v>631</c:v>
                </c:pt>
                <c:pt idx="27">
                  <c:v>621</c:v>
                </c:pt>
                <c:pt idx="28">
                  <c:v>604</c:v>
                </c:pt>
                <c:pt idx="29">
                  <c:v>589</c:v>
                </c:pt>
                <c:pt idx="30">
                  <c:v>556</c:v>
                </c:pt>
              </c:numCache>
            </c:numRef>
          </c:val>
        </c:ser>
        <c:marker val="1"/>
        <c:axId val="87570688"/>
        <c:axId val="87572480"/>
      </c:lineChart>
      <c:catAx>
        <c:axId val="87559168"/>
        <c:scaling>
          <c:orientation val="minMax"/>
        </c:scaling>
        <c:axPos val="b"/>
        <c:numFmt formatCode="General" sourceLinked="1"/>
        <c:tickLblPos val="low"/>
        <c:txPr>
          <a:bodyPr rot="-2700000" vert="horz"/>
          <a:lstStyle/>
          <a:p>
            <a:pPr>
              <a:defRPr/>
            </a:pPr>
            <a:endParaRPr lang="en-US"/>
          </a:p>
        </c:txPr>
        <c:crossAx val="87569152"/>
        <c:crosses val="autoZero"/>
        <c:auto val="1"/>
        <c:lblAlgn val="ctr"/>
        <c:lblOffset val="100"/>
      </c:catAx>
      <c:valAx>
        <c:axId val="87569152"/>
        <c:scaling>
          <c:orientation val="minMax"/>
        </c:scaling>
        <c:axPos val="l"/>
        <c:numFmt formatCode="General" sourceLinked="1"/>
        <c:tickLblPos val="nextTo"/>
        <c:txPr>
          <a:bodyPr rot="0" vert="horz"/>
          <a:lstStyle/>
          <a:p>
            <a:pPr>
              <a:defRPr/>
            </a:pPr>
            <a:endParaRPr lang="en-US"/>
          </a:p>
        </c:txPr>
        <c:crossAx val="87559168"/>
        <c:crosses val="autoZero"/>
        <c:crossBetween val="between"/>
      </c:valAx>
      <c:catAx>
        <c:axId val="87570688"/>
        <c:scaling>
          <c:orientation val="minMax"/>
        </c:scaling>
        <c:delete val="1"/>
        <c:axPos val="b"/>
        <c:tickLblPos val="none"/>
        <c:crossAx val="87572480"/>
        <c:crosses val="autoZero"/>
        <c:auto val="1"/>
        <c:lblAlgn val="ctr"/>
        <c:lblOffset val="100"/>
      </c:catAx>
      <c:valAx>
        <c:axId val="87572480"/>
        <c:scaling>
          <c:orientation val="minMax"/>
        </c:scaling>
        <c:axPos val="r"/>
        <c:numFmt formatCode="General" sourceLinked="1"/>
        <c:tickLblPos val="nextTo"/>
        <c:txPr>
          <a:bodyPr rot="0" vert="horz"/>
          <a:lstStyle/>
          <a:p>
            <a:pPr>
              <a:defRPr/>
            </a:pPr>
            <a:endParaRPr lang="en-US"/>
          </a:p>
        </c:txPr>
        <c:crossAx val="87570688"/>
        <c:crosses val="max"/>
        <c:crossBetween val="between"/>
      </c:valAx>
      <c:spPr>
        <a:ln>
          <a:noFill/>
        </a:ln>
      </c:spPr>
    </c:plotArea>
    <c:legend>
      <c:legendPos val="r"/>
      <c:layout>
        <c:manualLayout>
          <c:xMode val="edge"/>
          <c:yMode val="edge"/>
          <c:x val="6.9531457082716311E-2"/>
          <c:y val="0.88734908136482971"/>
          <c:w val="0.82995478244105969"/>
          <c:h val="9.3360395167995755E-2"/>
        </c:manualLayout>
      </c:layout>
    </c:legend>
    <c:plotVisOnly val="1"/>
    <c:dispBlanksAs val="gap"/>
  </c:chart>
  <c:spPr>
    <a:ln>
      <a:noFill/>
    </a:ln>
  </c:spPr>
  <c:txPr>
    <a:bodyPr/>
    <a:lstStyle/>
    <a:p>
      <a:pPr>
        <a:defRPr sz="800" b="0" i="0" u="none" strike="noStrike" baseline="0">
          <a:solidFill>
            <a:srgbClr val="000000"/>
          </a:solidFill>
          <a:latin typeface="Times New Roman" pitchFamily="18" charset="0"/>
          <a:ea typeface="Calibri"/>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6.3909667541557302E-2"/>
          <c:y val="6.0185185185185147E-2"/>
          <c:w val="0.89997922134733155"/>
          <c:h val="0.75925925925925963"/>
        </c:manualLayout>
      </c:layout>
      <c:barChart>
        <c:barDir val="col"/>
        <c:grouping val="clustered"/>
        <c:ser>
          <c:idx val="0"/>
          <c:order val="0"/>
          <c:tx>
            <c:strRef>
              <c:f>PMI!$A$2</c:f>
              <c:strCache>
                <c:ptCount val="1"/>
                <c:pt idx="0">
                  <c:v>PMI</c:v>
                </c:pt>
              </c:strCache>
            </c:strRef>
          </c:tx>
          <c:spPr>
            <a:solidFill>
              <a:schemeClr val="tx1"/>
            </a:solidFill>
          </c:spPr>
          <c:dLbls>
            <c:showVal val="1"/>
          </c:dLbls>
          <c:cat>
            <c:strRef>
              <c:f>PMI!$AC$1:$AO$1</c:f>
              <c:strCache>
                <c:ptCount val="13"/>
                <c:pt idx="0">
                  <c:v>T7/14</c:v>
                </c:pt>
                <c:pt idx="1">
                  <c:v>T8/14</c:v>
                </c:pt>
                <c:pt idx="2">
                  <c:v>T9/14</c:v>
                </c:pt>
                <c:pt idx="3">
                  <c:v>T10/14</c:v>
                </c:pt>
                <c:pt idx="4">
                  <c:v>T11/14</c:v>
                </c:pt>
                <c:pt idx="5">
                  <c:v>T12/14</c:v>
                </c:pt>
                <c:pt idx="6">
                  <c:v>T1/15</c:v>
                </c:pt>
                <c:pt idx="7">
                  <c:v>T2/15</c:v>
                </c:pt>
                <c:pt idx="8">
                  <c:v>T3/15</c:v>
                </c:pt>
                <c:pt idx="9">
                  <c:v>T4/15</c:v>
                </c:pt>
                <c:pt idx="10">
                  <c:v>T5/15</c:v>
                </c:pt>
                <c:pt idx="11">
                  <c:v>T6/15</c:v>
                </c:pt>
                <c:pt idx="12">
                  <c:v>T7/15</c:v>
                </c:pt>
              </c:strCache>
            </c:strRef>
          </c:cat>
          <c:val>
            <c:numRef>
              <c:f>PMI!$AC$2:$AO$2</c:f>
              <c:numCache>
                <c:formatCode>General</c:formatCode>
                <c:ptCount val="13"/>
                <c:pt idx="0">
                  <c:v>51.7</c:v>
                </c:pt>
                <c:pt idx="1">
                  <c:v>50.3</c:v>
                </c:pt>
                <c:pt idx="2">
                  <c:v>51.7</c:v>
                </c:pt>
                <c:pt idx="3">
                  <c:v>51</c:v>
                </c:pt>
                <c:pt idx="4">
                  <c:v>52.1</c:v>
                </c:pt>
                <c:pt idx="5">
                  <c:v>52.7</c:v>
                </c:pt>
                <c:pt idx="6">
                  <c:v>51.5</c:v>
                </c:pt>
                <c:pt idx="7">
                  <c:v>51.7</c:v>
                </c:pt>
                <c:pt idx="8">
                  <c:v>50.7</c:v>
                </c:pt>
                <c:pt idx="9">
                  <c:v>53.5</c:v>
                </c:pt>
                <c:pt idx="10">
                  <c:v>54.8</c:v>
                </c:pt>
                <c:pt idx="11">
                  <c:v>52.2</c:v>
                </c:pt>
                <c:pt idx="12">
                  <c:v>52.6</c:v>
                </c:pt>
              </c:numCache>
            </c:numRef>
          </c:val>
        </c:ser>
        <c:axId val="59392000"/>
        <c:axId val="59393536"/>
      </c:barChart>
      <c:catAx>
        <c:axId val="59392000"/>
        <c:scaling>
          <c:orientation val="minMax"/>
        </c:scaling>
        <c:axPos val="b"/>
        <c:tickLblPos val="low"/>
        <c:crossAx val="59393536"/>
        <c:crossesAt val="50"/>
        <c:auto val="1"/>
        <c:lblAlgn val="ctr"/>
        <c:lblOffset val="100"/>
      </c:catAx>
      <c:valAx>
        <c:axId val="59393536"/>
        <c:scaling>
          <c:orientation val="minMax"/>
          <c:max val="55"/>
          <c:min val="50"/>
        </c:scaling>
        <c:axPos val="l"/>
        <c:majorGridlines>
          <c:spPr>
            <a:ln w="12700">
              <a:prstDash val="sysDot"/>
            </a:ln>
          </c:spPr>
        </c:majorGridlines>
        <c:numFmt formatCode="General" sourceLinked="1"/>
        <c:tickLblPos val="nextTo"/>
        <c:spPr>
          <a:ln>
            <a:noFill/>
          </a:ln>
        </c:spPr>
        <c:crossAx val="59392000"/>
        <c:crosses val="autoZero"/>
        <c:crossBetween val="between"/>
        <c:majorUnit val="1"/>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888321669811421"/>
          <c:y val="9.9826429207912779E-2"/>
          <c:w val="0.82944193755888473"/>
          <c:h val="0.59865702368608964"/>
        </c:manualLayout>
      </c:layout>
      <c:barChart>
        <c:barDir val="col"/>
        <c:grouping val="clustered"/>
        <c:ser>
          <c:idx val="0"/>
          <c:order val="0"/>
          <c:tx>
            <c:strRef>
              <c:f>Sheet1!$B$1</c:f>
              <c:strCache>
                <c:ptCount val="1"/>
                <c:pt idx="0">
                  <c:v>Xuất khẩu</c:v>
                </c:pt>
              </c:strCache>
            </c:strRef>
          </c:tx>
          <c:spPr>
            <a:solidFill>
              <a:srgbClr val="FF0000"/>
            </a:solidFill>
            <a:ln>
              <a:solidFill>
                <a:srgbClr val="FF0000"/>
              </a:solidFill>
            </a:ln>
          </c:spPr>
          <c:cat>
            <c:strRef>
              <c:f>Sheet1!$A$2:$A$9</c:f>
              <c:strCache>
                <c:ptCount val="8"/>
                <c:pt idx="0">
                  <c:v>1T</c:v>
                </c:pt>
                <c:pt idx="1">
                  <c:v>2T</c:v>
                </c:pt>
                <c:pt idx="2">
                  <c:v>3T</c:v>
                </c:pt>
                <c:pt idx="3">
                  <c:v>4T</c:v>
                </c:pt>
                <c:pt idx="4">
                  <c:v>5T</c:v>
                </c:pt>
                <c:pt idx="5">
                  <c:v>6T</c:v>
                </c:pt>
                <c:pt idx="6">
                  <c:v>7T</c:v>
                </c:pt>
                <c:pt idx="7">
                  <c:v>8T</c:v>
                </c:pt>
              </c:strCache>
            </c:strRef>
          </c:cat>
          <c:val>
            <c:numRef>
              <c:f>Sheet1!$B$2:$B$9</c:f>
              <c:numCache>
                <c:formatCode>General</c:formatCode>
                <c:ptCount val="8"/>
                <c:pt idx="0">
                  <c:v>12.9</c:v>
                </c:pt>
                <c:pt idx="1">
                  <c:v>23</c:v>
                </c:pt>
                <c:pt idx="2">
                  <c:v>35.700000000000003</c:v>
                </c:pt>
                <c:pt idx="3">
                  <c:v>50.1</c:v>
                </c:pt>
                <c:pt idx="4">
                  <c:v>63.2</c:v>
                </c:pt>
                <c:pt idx="5">
                  <c:v>77.7</c:v>
                </c:pt>
                <c:pt idx="6">
                  <c:v>92.3</c:v>
                </c:pt>
                <c:pt idx="7">
                  <c:v>106.3</c:v>
                </c:pt>
              </c:numCache>
            </c:numRef>
          </c:val>
        </c:ser>
        <c:ser>
          <c:idx val="1"/>
          <c:order val="1"/>
          <c:tx>
            <c:strRef>
              <c:f>Sheet1!$C$1</c:f>
              <c:strCache>
                <c:ptCount val="1"/>
                <c:pt idx="0">
                  <c:v>Nhập khẩu</c:v>
                </c:pt>
              </c:strCache>
            </c:strRef>
          </c:tx>
          <c:spPr>
            <a:solidFill>
              <a:srgbClr val="00B0F0"/>
            </a:solidFill>
            <a:ln>
              <a:solidFill>
                <a:srgbClr val="00B0F0"/>
              </a:solidFill>
            </a:ln>
          </c:spPr>
          <c:cat>
            <c:strRef>
              <c:f>Sheet1!$A$2:$A$9</c:f>
              <c:strCache>
                <c:ptCount val="8"/>
                <c:pt idx="0">
                  <c:v>1T</c:v>
                </c:pt>
                <c:pt idx="1">
                  <c:v>2T</c:v>
                </c:pt>
                <c:pt idx="2">
                  <c:v>3T</c:v>
                </c:pt>
                <c:pt idx="3">
                  <c:v>4T</c:v>
                </c:pt>
                <c:pt idx="4">
                  <c:v>5T</c:v>
                </c:pt>
                <c:pt idx="5">
                  <c:v>6T</c:v>
                </c:pt>
                <c:pt idx="6">
                  <c:v>7T</c:v>
                </c:pt>
                <c:pt idx="7">
                  <c:v>8T</c:v>
                </c:pt>
              </c:strCache>
            </c:strRef>
          </c:cat>
          <c:val>
            <c:numRef>
              <c:f>Sheet1!$C$2:$C$9</c:f>
              <c:numCache>
                <c:formatCode>General</c:formatCode>
                <c:ptCount val="8"/>
                <c:pt idx="0">
                  <c:v>13.4</c:v>
                </c:pt>
                <c:pt idx="1">
                  <c:v>23</c:v>
                </c:pt>
                <c:pt idx="2">
                  <c:v>37.5</c:v>
                </c:pt>
                <c:pt idx="3">
                  <c:v>53.1</c:v>
                </c:pt>
                <c:pt idx="4">
                  <c:v>66.2</c:v>
                </c:pt>
                <c:pt idx="5">
                  <c:v>81.5</c:v>
                </c:pt>
                <c:pt idx="6">
                  <c:v>95.6</c:v>
                </c:pt>
                <c:pt idx="7">
                  <c:v>109.9</c:v>
                </c:pt>
              </c:numCache>
            </c:numRef>
          </c:val>
        </c:ser>
        <c:ser>
          <c:idx val="2"/>
          <c:order val="2"/>
          <c:tx>
            <c:strRef>
              <c:f>Sheet1!$D$1</c:f>
              <c:strCache>
                <c:ptCount val="1"/>
                <c:pt idx="0">
                  <c:v>Nhập siêu</c:v>
                </c:pt>
              </c:strCache>
            </c:strRef>
          </c:tx>
          <c:spPr>
            <a:solidFill>
              <a:schemeClr val="tx1"/>
            </a:solidFill>
            <a:ln>
              <a:solidFill>
                <a:schemeClr val="tx1"/>
              </a:solidFill>
            </a:ln>
          </c:spPr>
          <c:cat>
            <c:strRef>
              <c:f>Sheet1!$A$2:$A$9</c:f>
              <c:strCache>
                <c:ptCount val="8"/>
                <c:pt idx="0">
                  <c:v>1T</c:v>
                </c:pt>
                <c:pt idx="1">
                  <c:v>2T</c:v>
                </c:pt>
                <c:pt idx="2">
                  <c:v>3T</c:v>
                </c:pt>
                <c:pt idx="3">
                  <c:v>4T</c:v>
                </c:pt>
                <c:pt idx="4">
                  <c:v>5T</c:v>
                </c:pt>
                <c:pt idx="5">
                  <c:v>6T</c:v>
                </c:pt>
                <c:pt idx="6">
                  <c:v>7T</c:v>
                </c:pt>
                <c:pt idx="7">
                  <c:v>8T</c:v>
                </c:pt>
              </c:strCache>
            </c:strRef>
          </c:cat>
          <c:val>
            <c:numRef>
              <c:f>Sheet1!$D$2:$D$9</c:f>
              <c:numCache>
                <c:formatCode>General</c:formatCode>
                <c:ptCount val="8"/>
                <c:pt idx="0">
                  <c:v>-0.5</c:v>
                </c:pt>
                <c:pt idx="1">
                  <c:v>-6.1000000000000013E-2</c:v>
                </c:pt>
                <c:pt idx="2">
                  <c:v>-1.8</c:v>
                </c:pt>
                <c:pt idx="3">
                  <c:v>-3</c:v>
                </c:pt>
                <c:pt idx="4">
                  <c:v>-3</c:v>
                </c:pt>
                <c:pt idx="5">
                  <c:v>-3.7</c:v>
                </c:pt>
                <c:pt idx="6">
                  <c:v>-3.4</c:v>
                </c:pt>
                <c:pt idx="7">
                  <c:v>-3.6</c:v>
                </c:pt>
              </c:numCache>
            </c:numRef>
          </c:val>
        </c:ser>
        <c:axId val="60143488"/>
        <c:axId val="60145024"/>
      </c:barChart>
      <c:catAx>
        <c:axId val="60143488"/>
        <c:scaling>
          <c:orientation val="minMax"/>
        </c:scaling>
        <c:axPos val="b"/>
        <c:tickLblPos val="nextTo"/>
        <c:crossAx val="60145024"/>
        <c:crosses val="autoZero"/>
        <c:auto val="1"/>
        <c:lblAlgn val="ctr"/>
        <c:lblOffset val="100"/>
      </c:catAx>
      <c:valAx>
        <c:axId val="60145024"/>
        <c:scaling>
          <c:orientation val="minMax"/>
          <c:max val="100"/>
          <c:min val="0"/>
        </c:scaling>
        <c:axPos val="l"/>
        <c:numFmt formatCode="General" sourceLinked="1"/>
        <c:tickLblPos val="nextTo"/>
        <c:crossAx val="60143488"/>
        <c:crosses val="autoZero"/>
        <c:crossBetween val="between"/>
        <c:majorUnit val="20"/>
      </c:valAx>
    </c:plotArea>
    <c:legend>
      <c:legendPos val="b"/>
      <c:layout>
        <c:manualLayout>
          <c:xMode val="edge"/>
          <c:yMode val="edge"/>
          <c:x val="1.3625587815241525E-2"/>
          <c:y val="0.84453893701660876"/>
          <c:w val="0.98157201760865687"/>
          <c:h val="0.12768299856046822"/>
        </c:manualLayout>
      </c:layout>
    </c:legend>
    <c:plotVisOnly val="1"/>
    <c:dispBlanksAs val="gap"/>
  </c:chart>
  <c:spPr>
    <a:ln>
      <a:noFill/>
    </a:ln>
  </c:spPr>
  <c:txPr>
    <a:bodyPr/>
    <a:lstStyle/>
    <a:p>
      <a:pPr>
        <a:defRPr sz="800" b="1">
          <a:latin typeface="Times New Roman" pitchFamily="18" charset="0"/>
          <a:cs typeface="Times New Roman" pitchFamily="18" charset="0"/>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5.1739437673421602E-2"/>
          <c:y val="2.1336553043454887E-2"/>
          <c:w val="0.89652112465315692"/>
          <c:h val="0.58555322107446173"/>
        </c:manualLayout>
      </c:layout>
      <c:barChart>
        <c:barDir val="col"/>
        <c:grouping val="clustered"/>
        <c:ser>
          <c:idx val="0"/>
          <c:order val="0"/>
          <c:tx>
            <c:strRef>
              <c:f>Sheet1!$A$19</c:f>
              <c:strCache>
                <c:ptCount val="1"/>
                <c:pt idx="0">
                  <c:v>Số doanh nghiệp thành lập mới</c:v>
                </c:pt>
              </c:strCache>
            </c:strRef>
          </c:tx>
          <c:spPr>
            <a:pattFill prst="pct30">
              <a:fgClr>
                <a:srgbClr val="538ED5"/>
              </a:fgClr>
              <a:bgClr>
                <a:srgbClr val="17375D"/>
              </a:bgClr>
            </a:pattFill>
          </c:spPr>
          <c:dLbls>
            <c:showVal val="1"/>
          </c:dLbls>
          <c:cat>
            <c:strRef>
              <c:f>Sheet1!$B$18:$D$18</c:f>
              <c:strCache>
                <c:ptCount val="3"/>
                <c:pt idx="0">
                  <c:v>8T/2013</c:v>
                </c:pt>
                <c:pt idx="1">
                  <c:v>8T/2014</c:v>
                </c:pt>
                <c:pt idx="2">
                  <c:v>8T/2015</c:v>
                </c:pt>
              </c:strCache>
            </c:strRef>
          </c:cat>
          <c:val>
            <c:numRef>
              <c:f>Sheet1!$B$19:$D$19</c:f>
              <c:numCache>
                <c:formatCode>_-* #,##0\ _₫_-;\-* #,##0\ _₫_-;_-* "-"??\ _₫_-;_-@_-</c:formatCode>
                <c:ptCount val="3"/>
                <c:pt idx="0">
                  <c:v>52423</c:v>
                </c:pt>
                <c:pt idx="1">
                  <c:v>47450</c:v>
                </c:pt>
                <c:pt idx="2">
                  <c:v>61305</c:v>
                </c:pt>
              </c:numCache>
            </c:numRef>
          </c:val>
        </c:ser>
        <c:ser>
          <c:idx val="1"/>
          <c:order val="1"/>
          <c:tx>
            <c:strRef>
              <c:f>Sheet1!$A$20</c:f>
              <c:strCache>
                <c:ptCount val="1"/>
                <c:pt idx="0">
                  <c:v>Vốn thành lập mới</c:v>
                </c:pt>
              </c:strCache>
            </c:strRef>
          </c:tx>
          <c:cat>
            <c:strRef>
              <c:f>Sheet1!$B$18:$D$18</c:f>
              <c:strCache>
                <c:ptCount val="3"/>
                <c:pt idx="0">
                  <c:v>8T/2013</c:v>
                </c:pt>
                <c:pt idx="1">
                  <c:v>8T/2014</c:v>
                </c:pt>
                <c:pt idx="2">
                  <c:v>8T/2015</c:v>
                </c:pt>
              </c:strCache>
            </c:strRef>
          </c:cat>
          <c:val>
            <c:numRef>
              <c:f>Sheet1!$B$20:$D$20</c:f>
            </c:numRef>
          </c:val>
        </c:ser>
        <c:ser>
          <c:idx val="2"/>
          <c:order val="2"/>
          <c:tx>
            <c:strRef>
              <c:f>Sheet1!$A$21</c:f>
              <c:strCache>
                <c:ptCount val="1"/>
                <c:pt idx="0">
                  <c:v>Số doanh nghiệp giải thể, chấm dứt hoạt động</c:v>
                </c:pt>
              </c:strCache>
            </c:strRef>
          </c:tx>
          <c:spPr>
            <a:pattFill prst="wdDnDiag">
              <a:fgClr>
                <a:srgbClr val="9BBB59"/>
              </a:fgClr>
              <a:bgClr>
                <a:srgbClr val="FAC090"/>
              </a:bgClr>
            </a:pattFill>
          </c:spPr>
          <c:dLbls>
            <c:showVal val="1"/>
          </c:dLbls>
          <c:cat>
            <c:strRef>
              <c:f>Sheet1!$B$18:$D$18</c:f>
              <c:strCache>
                <c:ptCount val="3"/>
                <c:pt idx="0">
                  <c:v>8T/2013</c:v>
                </c:pt>
                <c:pt idx="1">
                  <c:v>8T/2014</c:v>
                </c:pt>
                <c:pt idx="2">
                  <c:v>8T/2015</c:v>
                </c:pt>
              </c:strCache>
            </c:strRef>
          </c:cat>
          <c:val>
            <c:numRef>
              <c:f>Sheet1!$B$21:$D$21</c:f>
              <c:numCache>
                <c:formatCode>_-* #,##0\ _₫_-;\-* #,##0\ _₫_-;_-* "-"??\ _₫_-;_-@_-</c:formatCode>
                <c:ptCount val="3"/>
                <c:pt idx="0">
                  <c:v>6036</c:v>
                </c:pt>
                <c:pt idx="1">
                  <c:v>6417</c:v>
                </c:pt>
                <c:pt idx="2">
                  <c:v>6230</c:v>
                </c:pt>
              </c:numCache>
            </c:numRef>
          </c:val>
        </c:ser>
        <c:axId val="87078016"/>
        <c:axId val="87079552"/>
      </c:barChart>
      <c:catAx>
        <c:axId val="87078016"/>
        <c:scaling>
          <c:orientation val="minMax"/>
        </c:scaling>
        <c:axPos val="b"/>
        <c:majorTickMark val="none"/>
        <c:tickLblPos val="nextTo"/>
        <c:crossAx val="87079552"/>
        <c:crosses val="autoZero"/>
        <c:auto val="1"/>
        <c:lblAlgn val="ctr"/>
        <c:lblOffset val="100"/>
      </c:catAx>
      <c:valAx>
        <c:axId val="87079552"/>
        <c:scaling>
          <c:orientation val="minMax"/>
        </c:scaling>
        <c:delete val="1"/>
        <c:axPos val="l"/>
        <c:majorGridlines>
          <c:spPr>
            <a:ln>
              <a:prstDash val="sysDot"/>
            </a:ln>
          </c:spPr>
        </c:majorGridlines>
        <c:numFmt formatCode="_-* #,##0\ _₫_-;\-* #,##0\ _₫_-;_-* &quot;-&quot;??\ _₫_-;_-@_-" sourceLinked="1"/>
        <c:majorTickMark val="none"/>
        <c:tickLblPos val="none"/>
        <c:crossAx val="87078016"/>
        <c:crosses val="autoZero"/>
        <c:crossBetween val="between"/>
        <c:majorUnit val="10000"/>
      </c:valAx>
    </c:plotArea>
    <c:legend>
      <c:legendPos val="b"/>
      <c:layout>
        <c:manualLayout>
          <c:xMode val="edge"/>
          <c:yMode val="edge"/>
          <c:x val="2.5239139465015447E-2"/>
          <c:y val="0.75539405981403063"/>
          <c:w val="0.94952172106996868"/>
          <c:h val="0.2019328340990599"/>
        </c:manualLayout>
      </c:layout>
    </c:legend>
    <c:plotVisOnly val="1"/>
    <c:dispBlanksAs val="gap"/>
  </c:chart>
  <c:spPr>
    <a:noFill/>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887650946722572"/>
          <c:y val="0.10097381547306268"/>
          <c:w val="0.82883347219945291"/>
          <c:h val="0.72516763315786392"/>
        </c:manualLayout>
      </c:layout>
      <c:barChart>
        <c:barDir val="col"/>
        <c:grouping val="clustered"/>
        <c:ser>
          <c:idx val="0"/>
          <c:order val="0"/>
          <c:dLbls>
            <c:showVal val="1"/>
          </c:dLbls>
          <c:cat>
            <c:numRef>
              <c:f>'Tong muc ban le'!$A$9:$A$13</c:f>
              <c:numCache>
                <c:formatCode>General</c:formatCode>
                <c:ptCount val="5"/>
                <c:pt idx="0">
                  <c:v>2011</c:v>
                </c:pt>
                <c:pt idx="1">
                  <c:v>2012</c:v>
                </c:pt>
                <c:pt idx="2">
                  <c:v>2013</c:v>
                </c:pt>
                <c:pt idx="3">
                  <c:v>2014</c:v>
                </c:pt>
                <c:pt idx="4">
                  <c:v>2015</c:v>
                </c:pt>
              </c:numCache>
            </c:numRef>
          </c:cat>
          <c:val>
            <c:numRef>
              <c:f>'Tong muc ban le'!$I$9:$I$13</c:f>
              <c:numCache>
                <c:formatCode>General</c:formatCode>
                <c:ptCount val="5"/>
                <c:pt idx="0">
                  <c:v>3.9</c:v>
                </c:pt>
                <c:pt idx="1">
                  <c:v>6.9</c:v>
                </c:pt>
                <c:pt idx="2">
                  <c:v>5.0999999999999996</c:v>
                </c:pt>
                <c:pt idx="3">
                  <c:v>6.4</c:v>
                </c:pt>
                <c:pt idx="4">
                  <c:v>9.1</c:v>
                </c:pt>
              </c:numCache>
            </c:numRef>
          </c:val>
        </c:ser>
        <c:axId val="87095552"/>
        <c:axId val="60166144"/>
      </c:barChart>
      <c:catAx>
        <c:axId val="87095552"/>
        <c:scaling>
          <c:orientation val="minMax"/>
        </c:scaling>
        <c:axPos val="b"/>
        <c:numFmt formatCode="General" sourceLinked="1"/>
        <c:tickLblPos val="nextTo"/>
        <c:crossAx val="60166144"/>
        <c:crosses val="autoZero"/>
        <c:auto val="1"/>
        <c:lblAlgn val="ctr"/>
        <c:lblOffset val="100"/>
      </c:catAx>
      <c:valAx>
        <c:axId val="60166144"/>
        <c:scaling>
          <c:orientation val="minMax"/>
          <c:max val="10"/>
        </c:scaling>
        <c:axPos val="l"/>
        <c:majorGridlines>
          <c:spPr>
            <a:ln>
              <a:prstDash val="sysDot"/>
            </a:ln>
          </c:spPr>
        </c:majorGridlines>
        <c:numFmt formatCode="General" sourceLinked="1"/>
        <c:tickLblPos val="nextTo"/>
        <c:spPr>
          <a:ln>
            <a:noFill/>
          </a:ln>
        </c:spPr>
        <c:crossAx val="87095552"/>
        <c:crosses val="autoZero"/>
        <c:crossBetween val="between"/>
        <c:majorUnit val="2"/>
      </c:valAx>
    </c:plotArea>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3875065616797899"/>
          <c:y val="5.9449230459886371E-2"/>
          <c:w val="0.8078578892371997"/>
          <c:h val="0.67103822242017463"/>
        </c:manualLayout>
      </c:layout>
      <c:barChart>
        <c:barDir val="col"/>
        <c:grouping val="clustered"/>
        <c:ser>
          <c:idx val="0"/>
          <c:order val="0"/>
          <c:cat>
            <c:strRef>
              <c:f>Sheet1!$B$2:$U$2</c:f>
              <c:strCache>
                <c:ptCount val="20"/>
                <c:pt idx="0">
                  <c:v>T1/14</c:v>
                </c:pt>
                <c:pt idx="1">
                  <c:v>T2/14</c:v>
                </c:pt>
                <c:pt idx="2">
                  <c:v>T3/14</c:v>
                </c:pt>
                <c:pt idx="3">
                  <c:v>T4/14</c:v>
                </c:pt>
                <c:pt idx="4">
                  <c:v>T5/14</c:v>
                </c:pt>
                <c:pt idx="5">
                  <c:v>T6/14</c:v>
                </c:pt>
                <c:pt idx="6">
                  <c:v>T7/14</c:v>
                </c:pt>
                <c:pt idx="7">
                  <c:v>T8/14</c:v>
                </c:pt>
                <c:pt idx="8">
                  <c:v>T9/14</c:v>
                </c:pt>
                <c:pt idx="9">
                  <c:v>T10/14</c:v>
                </c:pt>
                <c:pt idx="10">
                  <c:v>T11/14</c:v>
                </c:pt>
                <c:pt idx="11">
                  <c:v>T12/14</c:v>
                </c:pt>
                <c:pt idx="12">
                  <c:v>T1/15</c:v>
                </c:pt>
                <c:pt idx="13">
                  <c:v>T2/15</c:v>
                </c:pt>
                <c:pt idx="14">
                  <c:v>T3/15</c:v>
                </c:pt>
                <c:pt idx="15">
                  <c:v>T4/15</c:v>
                </c:pt>
                <c:pt idx="16">
                  <c:v>T5/15</c:v>
                </c:pt>
                <c:pt idx="17">
                  <c:v>T6/15</c:v>
                </c:pt>
                <c:pt idx="18">
                  <c:v>T7/15</c:v>
                </c:pt>
                <c:pt idx="19">
                  <c:v>T8/15</c:v>
                </c:pt>
              </c:strCache>
            </c:strRef>
          </c:cat>
          <c:val>
            <c:numRef>
              <c:f>Sheet1!$B$3:$U$3</c:f>
              <c:numCache>
                <c:formatCode>General</c:formatCode>
                <c:ptCount val="20"/>
                <c:pt idx="0">
                  <c:v>126.5</c:v>
                </c:pt>
                <c:pt idx="1">
                  <c:v>136.4</c:v>
                </c:pt>
                <c:pt idx="2">
                  <c:v>136.4</c:v>
                </c:pt>
                <c:pt idx="3">
                  <c:v>129.6</c:v>
                </c:pt>
                <c:pt idx="4">
                  <c:v>123.3</c:v>
                </c:pt>
                <c:pt idx="5">
                  <c:v>131</c:v>
                </c:pt>
                <c:pt idx="6">
                  <c:v>134.1</c:v>
                </c:pt>
                <c:pt idx="7">
                  <c:v>135.5</c:v>
                </c:pt>
                <c:pt idx="8">
                  <c:v>135</c:v>
                </c:pt>
                <c:pt idx="9">
                  <c:v>134.69999999999999</c:v>
                </c:pt>
                <c:pt idx="10">
                  <c:v>140.9</c:v>
                </c:pt>
                <c:pt idx="11">
                  <c:v>135.6</c:v>
                </c:pt>
                <c:pt idx="12">
                  <c:v>135.4</c:v>
                </c:pt>
                <c:pt idx="13">
                  <c:v>142.30000000000001</c:v>
                </c:pt>
                <c:pt idx="14">
                  <c:v>141.5</c:v>
                </c:pt>
                <c:pt idx="15">
                  <c:v>140.19999999999999</c:v>
                </c:pt>
                <c:pt idx="16">
                  <c:v>140.19999999999999</c:v>
                </c:pt>
                <c:pt idx="17">
                  <c:v>143.1</c:v>
                </c:pt>
                <c:pt idx="18">
                  <c:v>138.6</c:v>
                </c:pt>
                <c:pt idx="19">
                  <c:v>133.69999999999999</c:v>
                </c:pt>
              </c:numCache>
            </c:numRef>
          </c:val>
        </c:ser>
        <c:axId val="60177024"/>
        <c:axId val="60178816"/>
      </c:barChart>
      <c:catAx>
        <c:axId val="60177024"/>
        <c:scaling>
          <c:orientation val="minMax"/>
        </c:scaling>
        <c:axPos val="b"/>
        <c:tickLblPos val="nextTo"/>
        <c:crossAx val="60178816"/>
        <c:crosses val="autoZero"/>
        <c:auto val="1"/>
        <c:lblAlgn val="ctr"/>
        <c:lblOffset val="100"/>
      </c:catAx>
      <c:valAx>
        <c:axId val="60178816"/>
        <c:scaling>
          <c:orientation val="minMax"/>
        </c:scaling>
        <c:axPos val="l"/>
        <c:majorGridlines>
          <c:spPr>
            <a:ln>
              <a:prstDash val="sysDot"/>
            </a:ln>
          </c:spPr>
        </c:majorGridlines>
        <c:numFmt formatCode="General" sourceLinked="1"/>
        <c:tickLblPos val="nextTo"/>
        <c:crossAx val="60177024"/>
        <c:crosses val="autoZero"/>
        <c:crossBetween val="between"/>
      </c:valAx>
    </c:plotArea>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7.63605260195694E-2"/>
          <c:y val="4.1045947994882252E-2"/>
          <c:w val="0.87510509412959947"/>
          <c:h val="0.5728446134746229"/>
        </c:manualLayout>
      </c:layout>
      <c:lineChart>
        <c:grouping val="standard"/>
        <c:ser>
          <c:idx val="0"/>
          <c:order val="0"/>
          <c:tx>
            <c:v>Lạm phát</c:v>
          </c:tx>
          <c:spPr>
            <a:ln>
              <a:solidFill>
                <a:srgbClr val="C00000"/>
              </a:solidFill>
            </a:ln>
          </c:spPr>
          <c:marker>
            <c:spPr>
              <a:solidFill>
                <a:srgbClr val="C00000"/>
              </a:solidFill>
            </c:spPr>
          </c:marker>
          <c:cat>
            <c:strRef>
              <c:f>'Biểu đồ so cùng kỳ'!$U$4:$AG$4</c:f>
              <c:strCache>
                <c:ptCount val="13"/>
                <c:pt idx="0">
                  <c:v>T8/14</c:v>
                </c:pt>
                <c:pt idx="1">
                  <c:v>T9/14</c:v>
                </c:pt>
                <c:pt idx="2">
                  <c:v>T10/14</c:v>
                </c:pt>
                <c:pt idx="3">
                  <c:v>T11/14</c:v>
                </c:pt>
                <c:pt idx="4">
                  <c:v>T12/14</c:v>
                </c:pt>
                <c:pt idx="5">
                  <c:v>T1/15</c:v>
                </c:pt>
                <c:pt idx="6">
                  <c:v>T2/15</c:v>
                </c:pt>
                <c:pt idx="7">
                  <c:v>T3/15</c:v>
                </c:pt>
                <c:pt idx="8">
                  <c:v>T4/15</c:v>
                </c:pt>
                <c:pt idx="9">
                  <c:v>T5/15</c:v>
                </c:pt>
                <c:pt idx="10">
                  <c:v>T6/15</c:v>
                </c:pt>
                <c:pt idx="11">
                  <c:v>T7/15</c:v>
                </c:pt>
                <c:pt idx="12">
                  <c:v>T8/15</c:v>
                </c:pt>
              </c:strCache>
            </c:strRef>
          </c:cat>
          <c:val>
            <c:numRef>
              <c:f>'Biểu đồ so cùng kỳ'!$U$5:$AG$5</c:f>
              <c:numCache>
                <c:formatCode>0.00</c:formatCode>
                <c:ptCount val="13"/>
                <c:pt idx="0">
                  <c:v>4.3100000000000005</c:v>
                </c:pt>
                <c:pt idx="1">
                  <c:v>3.6200000000000045</c:v>
                </c:pt>
                <c:pt idx="2">
                  <c:v>3.2300000000000035</c:v>
                </c:pt>
                <c:pt idx="3">
                  <c:v>2.5999999999999943</c:v>
                </c:pt>
                <c:pt idx="4">
                  <c:v>1.8400000000000041</c:v>
                </c:pt>
                <c:pt idx="5">
                  <c:v>0.93999999999999773</c:v>
                </c:pt>
                <c:pt idx="6">
                  <c:v>0.34000000000000341</c:v>
                </c:pt>
                <c:pt idx="7">
                  <c:v>0.93000000000000682</c:v>
                </c:pt>
                <c:pt idx="8">
                  <c:v>0.98999999999999488</c:v>
                </c:pt>
                <c:pt idx="9">
                  <c:v>0.95000000000000295</c:v>
                </c:pt>
                <c:pt idx="10">
                  <c:v>1</c:v>
                </c:pt>
                <c:pt idx="11">
                  <c:v>0.85999999999999965</c:v>
                </c:pt>
                <c:pt idx="12">
                  <c:v>0.82999999999999863</c:v>
                </c:pt>
              </c:numCache>
            </c:numRef>
          </c:val>
        </c:ser>
        <c:ser>
          <c:idx val="4"/>
          <c:order val="1"/>
          <c:cat>
            <c:strRef>
              <c:f>'Biểu đồ so cùng kỳ'!$U$4:$AG$4</c:f>
              <c:strCache>
                <c:ptCount val="13"/>
                <c:pt idx="0">
                  <c:v>T8/14</c:v>
                </c:pt>
                <c:pt idx="1">
                  <c:v>T9/14</c:v>
                </c:pt>
                <c:pt idx="2">
                  <c:v>T10/14</c:v>
                </c:pt>
                <c:pt idx="3">
                  <c:v>T11/14</c:v>
                </c:pt>
                <c:pt idx="4">
                  <c:v>T12/14</c:v>
                </c:pt>
                <c:pt idx="5">
                  <c:v>T1/15</c:v>
                </c:pt>
                <c:pt idx="6">
                  <c:v>T2/15</c:v>
                </c:pt>
                <c:pt idx="7">
                  <c:v>T3/15</c:v>
                </c:pt>
                <c:pt idx="8">
                  <c:v>T4/15</c:v>
                </c:pt>
                <c:pt idx="9">
                  <c:v>T5/15</c:v>
                </c:pt>
                <c:pt idx="10">
                  <c:v>T6/15</c:v>
                </c:pt>
                <c:pt idx="11">
                  <c:v>T7/15</c:v>
                </c:pt>
                <c:pt idx="12">
                  <c:v>T8/15</c:v>
                </c:pt>
              </c:strCache>
            </c:strRef>
          </c:cat>
          <c:val>
            <c:numRef>
              <c:f>'Biểu đồ so cùng kỳ'!$U$6:$AG$6</c:f>
            </c:numRef>
          </c:val>
        </c:ser>
        <c:ser>
          <c:idx val="1"/>
          <c:order val="2"/>
          <c:cat>
            <c:strRef>
              <c:f>'Biểu đồ so cùng kỳ'!$U$4:$AG$4</c:f>
              <c:strCache>
                <c:ptCount val="13"/>
                <c:pt idx="0">
                  <c:v>T8/14</c:v>
                </c:pt>
                <c:pt idx="1">
                  <c:v>T9/14</c:v>
                </c:pt>
                <c:pt idx="2">
                  <c:v>T10/14</c:v>
                </c:pt>
                <c:pt idx="3">
                  <c:v>T11/14</c:v>
                </c:pt>
                <c:pt idx="4">
                  <c:v>T12/14</c:v>
                </c:pt>
                <c:pt idx="5">
                  <c:v>T1/15</c:v>
                </c:pt>
                <c:pt idx="6">
                  <c:v>T2/15</c:v>
                </c:pt>
                <c:pt idx="7">
                  <c:v>T3/15</c:v>
                </c:pt>
                <c:pt idx="8">
                  <c:v>T4/15</c:v>
                </c:pt>
                <c:pt idx="9">
                  <c:v>T5/15</c:v>
                </c:pt>
                <c:pt idx="10">
                  <c:v>T6/15</c:v>
                </c:pt>
                <c:pt idx="11">
                  <c:v>T7/15</c:v>
                </c:pt>
                <c:pt idx="12">
                  <c:v>T8/15</c:v>
                </c:pt>
              </c:strCache>
            </c:strRef>
          </c:cat>
          <c:val>
            <c:numRef>
              <c:f>'Biểu đồ so cùng kỳ'!$U$7:$AG$7</c:f>
            </c:numRef>
          </c:val>
        </c:ser>
        <c:ser>
          <c:idx val="2"/>
          <c:order val="3"/>
          <c:cat>
            <c:strRef>
              <c:f>'Biểu đồ so cùng kỳ'!$U$4:$AG$4</c:f>
              <c:strCache>
                <c:ptCount val="13"/>
                <c:pt idx="0">
                  <c:v>T8/14</c:v>
                </c:pt>
                <c:pt idx="1">
                  <c:v>T9/14</c:v>
                </c:pt>
                <c:pt idx="2">
                  <c:v>T10/14</c:v>
                </c:pt>
                <c:pt idx="3">
                  <c:v>T11/14</c:v>
                </c:pt>
                <c:pt idx="4">
                  <c:v>T12/14</c:v>
                </c:pt>
                <c:pt idx="5">
                  <c:v>T1/15</c:v>
                </c:pt>
                <c:pt idx="6">
                  <c:v>T2/15</c:v>
                </c:pt>
                <c:pt idx="7">
                  <c:v>T3/15</c:v>
                </c:pt>
                <c:pt idx="8">
                  <c:v>T4/15</c:v>
                </c:pt>
                <c:pt idx="9">
                  <c:v>T5/15</c:v>
                </c:pt>
                <c:pt idx="10">
                  <c:v>T6/15</c:v>
                </c:pt>
                <c:pt idx="11">
                  <c:v>T7/15</c:v>
                </c:pt>
                <c:pt idx="12">
                  <c:v>T8/15</c:v>
                </c:pt>
              </c:strCache>
            </c:strRef>
          </c:cat>
          <c:val>
            <c:numRef>
              <c:f>'Biểu đồ so cùng kỳ'!$U$8:$AG$8</c:f>
            </c:numRef>
          </c:val>
        </c:ser>
        <c:ser>
          <c:idx val="3"/>
          <c:order val="4"/>
          <c:tx>
            <c:v>Lạm phát cơ bản</c:v>
          </c:tx>
          <c:cat>
            <c:strRef>
              <c:f>'Biểu đồ so cùng kỳ'!$U$4:$AG$4</c:f>
              <c:strCache>
                <c:ptCount val="13"/>
                <c:pt idx="0">
                  <c:v>T8/14</c:v>
                </c:pt>
                <c:pt idx="1">
                  <c:v>T9/14</c:v>
                </c:pt>
                <c:pt idx="2">
                  <c:v>T10/14</c:v>
                </c:pt>
                <c:pt idx="3">
                  <c:v>T11/14</c:v>
                </c:pt>
                <c:pt idx="4">
                  <c:v>T12/14</c:v>
                </c:pt>
                <c:pt idx="5">
                  <c:v>T1/15</c:v>
                </c:pt>
                <c:pt idx="6">
                  <c:v>T2/15</c:v>
                </c:pt>
                <c:pt idx="7">
                  <c:v>T3/15</c:v>
                </c:pt>
                <c:pt idx="8">
                  <c:v>T4/15</c:v>
                </c:pt>
                <c:pt idx="9">
                  <c:v>T5/15</c:v>
                </c:pt>
                <c:pt idx="10">
                  <c:v>T6/15</c:v>
                </c:pt>
                <c:pt idx="11">
                  <c:v>T7/15</c:v>
                </c:pt>
                <c:pt idx="12">
                  <c:v>T8/15</c:v>
                </c:pt>
              </c:strCache>
            </c:strRef>
          </c:cat>
          <c:val>
            <c:numRef>
              <c:f>'Biểu đồ so cùng kỳ'!$U$9:$AG$9</c:f>
              <c:numCache>
                <c:formatCode>0.00</c:formatCode>
                <c:ptCount val="13"/>
                <c:pt idx="0">
                  <c:v>3.3440285110876449</c:v>
                </c:pt>
                <c:pt idx="1">
                  <c:v>3.1240100316789916</c:v>
                </c:pt>
                <c:pt idx="2">
                  <c:v>3.0904382259767771</c:v>
                </c:pt>
                <c:pt idx="3">
                  <c:v>2.9752587117212017</c:v>
                </c:pt>
                <c:pt idx="4">
                  <c:v>2.9005147835269418</c:v>
                </c:pt>
                <c:pt idx="5">
                  <c:v>2.5801293558606093</c:v>
                </c:pt>
                <c:pt idx="6">
                  <c:v>2.3081731784582962</c:v>
                </c:pt>
                <c:pt idx="7">
                  <c:v>2.4822676874340197</c:v>
                </c:pt>
                <c:pt idx="8">
                  <c:v>2.4190469904962812</c:v>
                </c:pt>
                <c:pt idx="9">
                  <c:v>2.4063727560718142</c:v>
                </c:pt>
                <c:pt idx="10">
                  <c:v>2.3668136219640927</c:v>
                </c:pt>
                <c:pt idx="11">
                  <c:v>2.4163727560718073</c:v>
                </c:pt>
                <c:pt idx="12">
                  <c:v>2.4131335797254452</c:v>
                </c:pt>
              </c:numCache>
            </c:numRef>
          </c:val>
        </c:ser>
        <c:marker val="1"/>
        <c:axId val="60193792"/>
        <c:axId val="60203776"/>
      </c:lineChart>
      <c:catAx>
        <c:axId val="60193792"/>
        <c:scaling>
          <c:orientation val="minMax"/>
        </c:scaling>
        <c:axPos val="b"/>
        <c:numFmt formatCode="0.00" sourceLinked="1"/>
        <c:tickLblPos val="nextTo"/>
        <c:crossAx val="60203776"/>
        <c:crosses val="autoZero"/>
        <c:lblAlgn val="ctr"/>
        <c:lblOffset val="100"/>
      </c:catAx>
      <c:valAx>
        <c:axId val="60203776"/>
        <c:scaling>
          <c:orientation val="minMax"/>
        </c:scaling>
        <c:axPos val="l"/>
        <c:majorGridlines>
          <c:spPr>
            <a:ln>
              <a:prstDash val="sysDot"/>
            </a:ln>
          </c:spPr>
        </c:majorGridlines>
        <c:numFmt formatCode="0" sourceLinked="0"/>
        <c:tickLblPos val="nextTo"/>
        <c:crossAx val="60193792"/>
        <c:crosses val="autoZero"/>
        <c:crossBetween val="between"/>
        <c:majorUnit val="1"/>
      </c:valAx>
    </c:plotArea>
    <c:legend>
      <c:legendPos val="b"/>
      <c:layout>
        <c:manualLayout>
          <c:xMode val="edge"/>
          <c:yMode val="edge"/>
          <c:x val="0.1500226516933878"/>
          <c:y val="0.8771186053652017"/>
          <c:w val="0.69995434919461419"/>
          <c:h val="0.12288139463479843"/>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0534806489889254"/>
          <c:y val="3.0417821106806311E-2"/>
          <c:w val="0.84631030894693715"/>
          <c:h val="0.77629967924766963"/>
        </c:manualLayout>
      </c:layout>
      <c:barChart>
        <c:barDir val="col"/>
        <c:grouping val="clustered"/>
        <c:ser>
          <c:idx val="0"/>
          <c:order val="0"/>
          <c:tx>
            <c:v>So với dự toán</c:v>
          </c:tx>
          <c:spPr>
            <a:solidFill>
              <a:schemeClr val="tx2">
                <a:lumMod val="40000"/>
                <a:lumOff val="60000"/>
              </a:schemeClr>
            </a:solidFill>
            <a:ln>
              <a:solidFill>
                <a:schemeClr val="tx2">
                  <a:lumMod val="75000"/>
                </a:schemeClr>
              </a:solidFill>
            </a:ln>
          </c:spPr>
          <c:dLbls>
            <c:showVal val="1"/>
          </c:dLbls>
          <c:cat>
            <c:strRef>
              <c:f>'Thu chi NSNN 15 ngày'!$HR$27:$HR$30</c:f>
              <c:strCache>
                <c:ptCount val="4"/>
                <c:pt idx="0">
                  <c:v>Tổng thu NSNN</c:v>
                </c:pt>
                <c:pt idx="1">
                  <c:v>Thu nội địa (73.14%)</c:v>
                </c:pt>
                <c:pt idx="2">
                  <c:v>Thu từ dầu thô (8.14%)</c:v>
                </c:pt>
                <c:pt idx="3">
                  <c:v>Thu từ XNK (18.26%)</c:v>
                </c:pt>
              </c:strCache>
            </c:strRef>
          </c:cat>
          <c:val>
            <c:numRef>
              <c:f>'Thu chi NSNN 15 ngày'!$HS$27:$HS$30</c:f>
              <c:numCache>
                <c:formatCode>General</c:formatCode>
                <c:ptCount val="4"/>
                <c:pt idx="0">
                  <c:v>63.5</c:v>
                </c:pt>
                <c:pt idx="1">
                  <c:v>67.2</c:v>
                </c:pt>
                <c:pt idx="2">
                  <c:v>48.2</c:v>
                </c:pt>
                <c:pt idx="3">
                  <c:v>58</c:v>
                </c:pt>
              </c:numCache>
            </c:numRef>
          </c:val>
        </c:ser>
        <c:ser>
          <c:idx val="1"/>
          <c:order val="1"/>
          <c:tx>
            <c:v>So với cùng kỳ 2014</c:v>
          </c:tx>
          <c:spPr>
            <a:solidFill>
              <a:schemeClr val="accent1">
                <a:lumMod val="75000"/>
              </a:schemeClr>
            </a:solidFill>
            <a:ln>
              <a:solidFill>
                <a:schemeClr val="tx2">
                  <a:lumMod val="75000"/>
                </a:schemeClr>
              </a:solidFill>
            </a:ln>
          </c:spPr>
          <c:dLbls>
            <c:dLbl>
              <c:idx val="2"/>
              <c:layout>
                <c:manualLayout>
                  <c:x val="2.1007817554784692E-2"/>
                  <c:y val="-7.152362785862231E-3"/>
                </c:manualLayout>
              </c:layout>
              <c:showVal val="1"/>
            </c:dLbl>
            <c:dLbl>
              <c:idx val="3"/>
              <c:layout>
                <c:manualLayout>
                  <c:x val="6.5894570954009015E-3"/>
                  <c:y val="0.12460385035602622"/>
                </c:manualLayout>
              </c:layout>
              <c:showVal val="1"/>
            </c:dLbl>
            <c:showVal val="1"/>
          </c:dLbls>
          <c:cat>
            <c:strRef>
              <c:f>'Thu chi NSNN 15 ngày'!$HR$27:$HR$30</c:f>
              <c:strCache>
                <c:ptCount val="4"/>
                <c:pt idx="0">
                  <c:v>Tổng thu NSNN</c:v>
                </c:pt>
                <c:pt idx="1">
                  <c:v>Thu nội địa (73.14%)</c:v>
                </c:pt>
                <c:pt idx="2">
                  <c:v>Thu từ dầu thô (8.14%)</c:v>
                </c:pt>
                <c:pt idx="3">
                  <c:v>Thu từ XNK (18.26%)</c:v>
                </c:pt>
              </c:strCache>
            </c:strRef>
          </c:cat>
          <c:val>
            <c:numRef>
              <c:f>'Thu chi NSNN 15 ngày'!$HT$27:$HT$30</c:f>
              <c:numCache>
                <c:formatCode>0.00</c:formatCode>
                <c:ptCount val="4"/>
                <c:pt idx="0">
                  <c:v>7.31</c:v>
                </c:pt>
                <c:pt idx="1">
                  <c:v>17.100000000000001</c:v>
                </c:pt>
                <c:pt idx="2">
                  <c:v>-29.97</c:v>
                </c:pt>
                <c:pt idx="3">
                  <c:v>-2.12</c:v>
                </c:pt>
              </c:numCache>
            </c:numRef>
          </c:val>
        </c:ser>
        <c:gapWidth val="75"/>
        <c:overlap val="-3"/>
        <c:axId val="91038464"/>
        <c:axId val="91040000"/>
      </c:barChart>
      <c:catAx>
        <c:axId val="91038464"/>
        <c:scaling>
          <c:orientation val="minMax"/>
        </c:scaling>
        <c:axPos val="b"/>
        <c:majorTickMark val="none"/>
        <c:tickLblPos val="nextTo"/>
        <c:crossAx val="91040000"/>
        <c:crosses val="autoZero"/>
        <c:auto val="1"/>
        <c:lblAlgn val="ctr"/>
        <c:lblOffset val="100"/>
      </c:catAx>
      <c:valAx>
        <c:axId val="91040000"/>
        <c:scaling>
          <c:orientation val="minMax"/>
        </c:scaling>
        <c:axPos val="l"/>
        <c:majorGridlines>
          <c:spPr>
            <a:ln>
              <a:prstDash val="sysDash"/>
            </a:ln>
          </c:spPr>
        </c:majorGridlines>
        <c:numFmt formatCode="General" sourceLinked="1"/>
        <c:majorTickMark val="none"/>
        <c:tickLblPos val="nextTo"/>
        <c:spPr>
          <a:noFill/>
          <a:ln>
            <a:noFill/>
            <a:prstDash val="sysDot"/>
          </a:ln>
        </c:spPr>
        <c:crossAx val="91038464"/>
        <c:crosses val="autoZero"/>
        <c:crossBetween val="between"/>
        <c:majorUnit val="20"/>
      </c:valAx>
    </c:plotArea>
    <c:legend>
      <c:legendPos val="b"/>
      <c:layout>
        <c:manualLayout>
          <c:xMode val="edge"/>
          <c:yMode val="edge"/>
          <c:x val="5.7261303875477086E-2"/>
          <c:y val="0.87958689946365398"/>
          <c:w val="0.8952454020170556"/>
          <c:h val="8.5630491840694031E-2"/>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4544698544698687"/>
          <c:y val="2.1780303030303042E-2"/>
          <c:w val="0.80361539007208294"/>
          <c:h val="0.6394733735709347"/>
        </c:manualLayout>
      </c:layout>
      <c:lineChart>
        <c:grouping val="standard"/>
        <c:ser>
          <c:idx val="0"/>
          <c:order val="0"/>
          <c:tx>
            <c:strRef>
              <c:f>Sheet1!$B$1</c:f>
              <c:strCache>
                <c:ptCount val="1"/>
                <c:pt idx="0">
                  <c:v> BQ LNH</c:v>
                </c:pt>
              </c:strCache>
            </c:strRef>
          </c:tx>
          <c:spPr>
            <a:ln w="25400">
              <a:solidFill>
                <a:schemeClr val="tx1">
                  <a:lumMod val="65000"/>
                  <a:lumOff val="35000"/>
                </a:schemeClr>
              </a:solidFill>
              <a:prstDash val="solid"/>
            </a:ln>
          </c:spPr>
          <c:marker>
            <c:symbol val="none"/>
          </c:marker>
          <c:cat>
            <c:numRef>
              <c:f>Sheet1!$A$2:$A$156</c:f>
              <c:numCache>
                <c:formatCode>dd/mm/yyyy</c:formatCode>
                <c:ptCount val="155"/>
                <c:pt idx="0">
                  <c:v>42009</c:v>
                </c:pt>
                <c:pt idx="1">
                  <c:v>42010</c:v>
                </c:pt>
                <c:pt idx="2">
                  <c:v>42011</c:v>
                </c:pt>
                <c:pt idx="3">
                  <c:v>42012</c:v>
                </c:pt>
                <c:pt idx="4">
                  <c:v>42013</c:v>
                </c:pt>
                <c:pt idx="5">
                  <c:v>42016</c:v>
                </c:pt>
                <c:pt idx="6">
                  <c:v>42017</c:v>
                </c:pt>
                <c:pt idx="7">
                  <c:v>42018</c:v>
                </c:pt>
                <c:pt idx="8">
                  <c:v>42019</c:v>
                </c:pt>
                <c:pt idx="9">
                  <c:v>42020</c:v>
                </c:pt>
                <c:pt idx="10">
                  <c:v>42023</c:v>
                </c:pt>
                <c:pt idx="11">
                  <c:v>42024</c:v>
                </c:pt>
                <c:pt idx="12">
                  <c:v>42025</c:v>
                </c:pt>
                <c:pt idx="13">
                  <c:v>42026</c:v>
                </c:pt>
                <c:pt idx="14">
                  <c:v>42027</c:v>
                </c:pt>
                <c:pt idx="15">
                  <c:v>42030</c:v>
                </c:pt>
                <c:pt idx="16">
                  <c:v>42031</c:v>
                </c:pt>
                <c:pt idx="17">
                  <c:v>42032</c:v>
                </c:pt>
                <c:pt idx="18">
                  <c:v>42033</c:v>
                </c:pt>
                <c:pt idx="19">
                  <c:v>42034</c:v>
                </c:pt>
                <c:pt idx="20">
                  <c:v>42037</c:v>
                </c:pt>
                <c:pt idx="21">
                  <c:v>42038</c:v>
                </c:pt>
                <c:pt idx="22">
                  <c:v>42039</c:v>
                </c:pt>
                <c:pt idx="23">
                  <c:v>42040</c:v>
                </c:pt>
                <c:pt idx="24">
                  <c:v>42041</c:v>
                </c:pt>
                <c:pt idx="25">
                  <c:v>42044</c:v>
                </c:pt>
                <c:pt idx="26">
                  <c:v>42045</c:v>
                </c:pt>
                <c:pt idx="27">
                  <c:v>42046</c:v>
                </c:pt>
                <c:pt idx="28">
                  <c:v>42047</c:v>
                </c:pt>
                <c:pt idx="29">
                  <c:v>42048</c:v>
                </c:pt>
                <c:pt idx="30">
                  <c:v>42059</c:v>
                </c:pt>
                <c:pt idx="31">
                  <c:v>42061</c:v>
                </c:pt>
                <c:pt idx="32">
                  <c:v>42062</c:v>
                </c:pt>
                <c:pt idx="33">
                  <c:v>42065</c:v>
                </c:pt>
                <c:pt idx="34">
                  <c:v>42066</c:v>
                </c:pt>
                <c:pt idx="35">
                  <c:v>42067</c:v>
                </c:pt>
                <c:pt idx="36">
                  <c:v>42068</c:v>
                </c:pt>
                <c:pt idx="37">
                  <c:v>42069</c:v>
                </c:pt>
                <c:pt idx="38">
                  <c:v>42072</c:v>
                </c:pt>
                <c:pt idx="39">
                  <c:v>42073</c:v>
                </c:pt>
                <c:pt idx="40">
                  <c:v>42074</c:v>
                </c:pt>
                <c:pt idx="41">
                  <c:v>42075</c:v>
                </c:pt>
                <c:pt idx="42">
                  <c:v>42076</c:v>
                </c:pt>
                <c:pt idx="43">
                  <c:v>42079</c:v>
                </c:pt>
                <c:pt idx="44">
                  <c:v>42080</c:v>
                </c:pt>
                <c:pt idx="45">
                  <c:v>42081</c:v>
                </c:pt>
                <c:pt idx="46">
                  <c:v>42082</c:v>
                </c:pt>
                <c:pt idx="47">
                  <c:v>42083</c:v>
                </c:pt>
                <c:pt idx="48">
                  <c:v>42086</c:v>
                </c:pt>
                <c:pt idx="49">
                  <c:v>42087</c:v>
                </c:pt>
                <c:pt idx="50">
                  <c:v>42088</c:v>
                </c:pt>
                <c:pt idx="51">
                  <c:v>42089</c:v>
                </c:pt>
                <c:pt idx="52">
                  <c:v>42090</c:v>
                </c:pt>
                <c:pt idx="53">
                  <c:v>42093</c:v>
                </c:pt>
                <c:pt idx="54">
                  <c:v>42094</c:v>
                </c:pt>
                <c:pt idx="55">
                  <c:v>42095</c:v>
                </c:pt>
                <c:pt idx="56">
                  <c:v>42096</c:v>
                </c:pt>
                <c:pt idx="57">
                  <c:v>42097</c:v>
                </c:pt>
                <c:pt idx="58">
                  <c:v>42100</c:v>
                </c:pt>
                <c:pt idx="59">
                  <c:v>42101</c:v>
                </c:pt>
                <c:pt idx="60">
                  <c:v>42102</c:v>
                </c:pt>
                <c:pt idx="61">
                  <c:v>42103</c:v>
                </c:pt>
                <c:pt idx="62">
                  <c:v>42104</c:v>
                </c:pt>
                <c:pt idx="63">
                  <c:v>42107</c:v>
                </c:pt>
                <c:pt idx="64">
                  <c:v>42108</c:v>
                </c:pt>
                <c:pt idx="65">
                  <c:v>42109</c:v>
                </c:pt>
                <c:pt idx="66">
                  <c:v>42110</c:v>
                </c:pt>
                <c:pt idx="67">
                  <c:v>42111</c:v>
                </c:pt>
                <c:pt idx="68">
                  <c:v>42114</c:v>
                </c:pt>
                <c:pt idx="69">
                  <c:v>42115</c:v>
                </c:pt>
                <c:pt idx="70">
                  <c:v>42116</c:v>
                </c:pt>
                <c:pt idx="71">
                  <c:v>42117</c:v>
                </c:pt>
                <c:pt idx="72">
                  <c:v>42118</c:v>
                </c:pt>
                <c:pt idx="73">
                  <c:v>42121</c:v>
                </c:pt>
                <c:pt idx="74">
                  <c:v>42128</c:v>
                </c:pt>
                <c:pt idx="75">
                  <c:v>42129</c:v>
                </c:pt>
                <c:pt idx="76">
                  <c:v>42130</c:v>
                </c:pt>
                <c:pt idx="77">
                  <c:v>42131</c:v>
                </c:pt>
                <c:pt idx="78">
                  <c:v>42132</c:v>
                </c:pt>
                <c:pt idx="79">
                  <c:v>42135</c:v>
                </c:pt>
                <c:pt idx="80">
                  <c:v>42136</c:v>
                </c:pt>
                <c:pt idx="81">
                  <c:v>42137</c:v>
                </c:pt>
                <c:pt idx="82">
                  <c:v>42138</c:v>
                </c:pt>
                <c:pt idx="83">
                  <c:v>42139</c:v>
                </c:pt>
                <c:pt idx="84">
                  <c:v>42142</c:v>
                </c:pt>
                <c:pt idx="85">
                  <c:v>42143</c:v>
                </c:pt>
                <c:pt idx="86">
                  <c:v>42144</c:v>
                </c:pt>
                <c:pt idx="87">
                  <c:v>42145</c:v>
                </c:pt>
                <c:pt idx="88">
                  <c:v>42146</c:v>
                </c:pt>
                <c:pt idx="89">
                  <c:v>42149</c:v>
                </c:pt>
                <c:pt idx="90">
                  <c:v>42150</c:v>
                </c:pt>
                <c:pt idx="91">
                  <c:v>42151</c:v>
                </c:pt>
                <c:pt idx="92">
                  <c:v>42152</c:v>
                </c:pt>
                <c:pt idx="93">
                  <c:v>42153</c:v>
                </c:pt>
                <c:pt idx="94">
                  <c:v>42156</c:v>
                </c:pt>
                <c:pt idx="95">
                  <c:v>42157</c:v>
                </c:pt>
                <c:pt idx="96">
                  <c:v>42158</c:v>
                </c:pt>
                <c:pt idx="97">
                  <c:v>42159</c:v>
                </c:pt>
                <c:pt idx="98">
                  <c:v>42160</c:v>
                </c:pt>
                <c:pt idx="99">
                  <c:v>42163</c:v>
                </c:pt>
                <c:pt idx="100">
                  <c:v>42164</c:v>
                </c:pt>
                <c:pt idx="101">
                  <c:v>42165</c:v>
                </c:pt>
                <c:pt idx="102">
                  <c:v>42166</c:v>
                </c:pt>
                <c:pt idx="103">
                  <c:v>42167</c:v>
                </c:pt>
                <c:pt idx="104">
                  <c:v>42170</c:v>
                </c:pt>
                <c:pt idx="105">
                  <c:v>42171</c:v>
                </c:pt>
                <c:pt idx="106">
                  <c:v>42172</c:v>
                </c:pt>
                <c:pt idx="107">
                  <c:v>42173</c:v>
                </c:pt>
                <c:pt idx="108">
                  <c:v>42174</c:v>
                </c:pt>
                <c:pt idx="109">
                  <c:v>42177</c:v>
                </c:pt>
                <c:pt idx="110">
                  <c:v>42178</c:v>
                </c:pt>
                <c:pt idx="111">
                  <c:v>42179</c:v>
                </c:pt>
                <c:pt idx="112">
                  <c:v>42180</c:v>
                </c:pt>
                <c:pt idx="113">
                  <c:v>42181</c:v>
                </c:pt>
                <c:pt idx="114">
                  <c:v>42184</c:v>
                </c:pt>
                <c:pt idx="115">
                  <c:v>42185</c:v>
                </c:pt>
                <c:pt idx="116">
                  <c:v>42186</c:v>
                </c:pt>
                <c:pt idx="117">
                  <c:v>42187</c:v>
                </c:pt>
                <c:pt idx="118">
                  <c:v>42188</c:v>
                </c:pt>
                <c:pt idx="119">
                  <c:v>42191</c:v>
                </c:pt>
                <c:pt idx="120">
                  <c:v>42192</c:v>
                </c:pt>
                <c:pt idx="121">
                  <c:v>42193</c:v>
                </c:pt>
                <c:pt idx="122">
                  <c:v>42194</c:v>
                </c:pt>
                <c:pt idx="123">
                  <c:v>42195</c:v>
                </c:pt>
                <c:pt idx="124">
                  <c:v>42198</c:v>
                </c:pt>
                <c:pt idx="125">
                  <c:v>42199</c:v>
                </c:pt>
                <c:pt idx="126">
                  <c:v>42200</c:v>
                </c:pt>
                <c:pt idx="127">
                  <c:v>42201</c:v>
                </c:pt>
                <c:pt idx="128">
                  <c:v>42202</c:v>
                </c:pt>
                <c:pt idx="129">
                  <c:v>42205</c:v>
                </c:pt>
                <c:pt idx="130">
                  <c:v>42206</c:v>
                </c:pt>
                <c:pt idx="131">
                  <c:v>42207</c:v>
                </c:pt>
                <c:pt idx="132">
                  <c:v>42208</c:v>
                </c:pt>
                <c:pt idx="133">
                  <c:v>42209</c:v>
                </c:pt>
                <c:pt idx="134">
                  <c:v>42212</c:v>
                </c:pt>
                <c:pt idx="135">
                  <c:v>42213</c:v>
                </c:pt>
                <c:pt idx="136">
                  <c:v>42214</c:v>
                </c:pt>
                <c:pt idx="137">
                  <c:v>42215</c:v>
                </c:pt>
                <c:pt idx="138">
                  <c:v>42216</c:v>
                </c:pt>
                <c:pt idx="139">
                  <c:v>42219</c:v>
                </c:pt>
                <c:pt idx="140">
                  <c:v>42220</c:v>
                </c:pt>
                <c:pt idx="141">
                  <c:v>42221</c:v>
                </c:pt>
                <c:pt idx="142">
                  <c:v>42222</c:v>
                </c:pt>
                <c:pt idx="143">
                  <c:v>42223</c:v>
                </c:pt>
                <c:pt idx="144">
                  <c:v>42226</c:v>
                </c:pt>
                <c:pt idx="145">
                  <c:v>42227</c:v>
                </c:pt>
                <c:pt idx="146">
                  <c:v>42228</c:v>
                </c:pt>
                <c:pt idx="147">
                  <c:v>42229</c:v>
                </c:pt>
                <c:pt idx="148">
                  <c:v>42230</c:v>
                </c:pt>
                <c:pt idx="149">
                  <c:v>42233</c:v>
                </c:pt>
                <c:pt idx="150">
                  <c:v>42234</c:v>
                </c:pt>
                <c:pt idx="151">
                  <c:v>42235</c:v>
                </c:pt>
                <c:pt idx="152">
                  <c:v>42236</c:v>
                </c:pt>
                <c:pt idx="153">
                  <c:v>42237</c:v>
                </c:pt>
                <c:pt idx="154">
                  <c:v>42240</c:v>
                </c:pt>
              </c:numCache>
            </c:numRef>
          </c:cat>
          <c:val>
            <c:numRef>
              <c:f>Sheet1!$B$2:$B$156</c:f>
              <c:numCache>
                <c:formatCode>_(* #,##0_);_(* \(#,##0\);_(* "-"??_);_(@_)</c:formatCode>
                <c:ptCount val="155"/>
                <c:pt idx="0">
                  <c:v>21246</c:v>
                </c:pt>
                <c:pt idx="1">
                  <c:v>21246</c:v>
                </c:pt>
                <c:pt idx="2">
                  <c:v>21458</c:v>
                </c:pt>
                <c:pt idx="3">
                  <c:v>21458</c:v>
                </c:pt>
                <c:pt idx="4">
                  <c:v>21458</c:v>
                </c:pt>
                <c:pt idx="5">
                  <c:v>21458</c:v>
                </c:pt>
                <c:pt idx="6">
                  <c:v>21458</c:v>
                </c:pt>
                <c:pt idx="7">
                  <c:v>21458</c:v>
                </c:pt>
                <c:pt idx="8">
                  <c:v>21458</c:v>
                </c:pt>
                <c:pt idx="9">
                  <c:v>21458</c:v>
                </c:pt>
                <c:pt idx="10">
                  <c:v>21458</c:v>
                </c:pt>
                <c:pt idx="11">
                  <c:v>21458</c:v>
                </c:pt>
                <c:pt idx="12">
                  <c:v>21458</c:v>
                </c:pt>
                <c:pt idx="13">
                  <c:v>21458</c:v>
                </c:pt>
                <c:pt idx="14">
                  <c:v>21458</c:v>
                </c:pt>
                <c:pt idx="15">
                  <c:v>21458</c:v>
                </c:pt>
                <c:pt idx="16">
                  <c:v>21458</c:v>
                </c:pt>
                <c:pt idx="17">
                  <c:v>21458</c:v>
                </c:pt>
                <c:pt idx="18">
                  <c:v>21458</c:v>
                </c:pt>
                <c:pt idx="19">
                  <c:v>21458</c:v>
                </c:pt>
                <c:pt idx="20">
                  <c:v>21458</c:v>
                </c:pt>
                <c:pt idx="21">
                  <c:v>21458</c:v>
                </c:pt>
                <c:pt idx="22">
                  <c:v>21458</c:v>
                </c:pt>
                <c:pt idx="23">
                  <c:v>21458</c:v>
                </c:pt>
                <c:pt idx="24">
                  <c:v>21458</c:v>
                </c:pt>
                <c:pt idx="25">
                  <c:v>21458</c:v>
                </c:pt>
                <c:pt idx="26">
                  <c:v>21458</c:v>
                </c:pt>
                <c:pt idx="27">
                  <c:v>21458</c:v>
                </c:pt>
                <c:pt idx="28">
                  <c:v>21458</c:v>
                </c:pt>
                <c:pt idx="29">
                  <c:v>21458</c:v>
                </c:pt>
                <c:pt idx="30">
                  <c:v>21458</c:v>
                </c:pt>
                <c:pt idx="31">
                  <c:v>21458</c:v>
                </c:pt>
                <c:pt idx="32">
                  <c:v>21458</c:v>
                </c:pt>
                <c:pt idx="33">
                  <c:v>21458</c:v>
                </c:pt>
                <c:pt idx="34">
                  <c:v>21458</c:v>
                </c:pt>
                <c:pt idx="35">
                  <c:v>21458</c:v>
                </c:pt>
                <c:pt idx="36">
                  <c:v>21458</c:v>
                </c:pt>
                <c:pt idx="37">
                  <c:v>21458</c:v>
                </c:pt>
                <c:pt idx="38">
                  <c:v>21458</c:v>
                </c:pt>
                <c:pt idx="39">
                  <c:v>21458</c:v>
                </c:pt>
                <c:pt idx="40">
                  <c:v>21458</c:v>
                </c:pt>
                <c:pt idx="41">
                  <c:v>21458</c:v>
                </c:pt>
                <c:pt idx="42">
                  <c:v>21458</c:v>
                </c:pt>
                <c:pt idx="43">
                  <c:v>21458</c:v>
                </c:pt>
                <c:pt idx="44">
                  <c:v>21458</c:v>
                </c:pt>
                <c:pt idx="45">
                  <c:v>21458</c:v>
                </c:pt>
                <c:pt idx="46">
                  <c:v>21458</c:v>
                </c:pt>
                <c:pt idx="47">
                  <c:v>21458</c:v>
                </c:pt>
                <c:pt idx="48">
                  <c:v>21458</c:v>
                </c:pt>
                <c:pt idx="49">
                  <c:v>21458</c:v>
                </c:pt>
                <c:pt idx="50">
                  <c:v>21458</c:v>
                </c:pt>
                <c:pt idx="51">
                  <c:v>21458</c:v>
                </c:pt>
                <c:pt idx="52">
                  <c:v>21458</c:v>
                </c:pt>
                <c:pt idx="53">
                  <c:v>21458</c:v>
                </c:pt>
                <c:pt idx="54">
                  <c:v>21458</c:v>
                </c:pt>
                <c:pt idx="55">
                  <c:v>21458</c:v>
                </c:pt>
                <c:pt idx="56">
                  <c:v>21458</c:v>
                </c:pt>
                <c:pt idx="57">
                  <c:v>21458</c:v>
                </c:pt>
                <c:pt idx="58">
                  <c:v>21458</c:v>
                </c:pt>
                <c:pt idx="59">
                  <c:v>21458</c:v>
                </c:pt>
                <c:pt idx="60">
                  <c:v>21458</c:v>
                </c:pt>
                <c:pt idx="61">
                  <c:v>21458</c:v>
                </c:pt>
                <c:pt idx="62">
                  <c:v>21458</c:v>
                </c:pt>
                <c:pt idx="63">
                  <c:v>21458</c:v>
                </c:pt>
                <c:pt idx="64">
                  <c:v>21458</c:v>
                </c:pt>
                <c:pt idx="65">
                  <c:v>21458</c:v>
                </c:pt>
                <c:pt idx="66">
                  <c:v>21458</c:v>
                </c:pt>
                <c:pt idx="67">
                  <c:v>21458</c:v>
                </c:pt>
                <c:pt idx="68">
                  <c:v>21458</c:v>
                </c:pt>
                <c:pt idx="69">
                  <c:v>21458</c:v>
                </c:pt>
                <c:pt idx="70">
                  <c:v>21458</c:v>
                </c:pt>
                <c:pt idx="71">
                  <c:v>21458</c:v>
                </c:pt>
                <c:pt idx="72">
                  <c:v>21458</c:v>
                </c:pt>
                <c:pt idx="73">
                  <c:v>21458</c:v>
                </c:pt>
                <c:pt idx="74">
                  <c:v>21458</c:v>
                </c:pt>
                <c:pt idx="75">
                  <c:v>21458</c:v>
                </c:pt>
                <c:pt idx="76">
                  <c:v>21458</c:v>
                </c:pt>
                <c:pt idx="77">
                  <c:v>21673</c:v>
                </c:pt>
                <c:pt idx="78">
                  <c:v>21673</c:v>
                </c:pt>
                <c:pt idx="79">
                  <c:v>21673</c:v>
                </c:pt>
                <c:pt idx="80">
                  <c:v>21673</c:v>
                </c:pt>
                <c:pt idx="81">
                  <c:v>21673</c:v>
                </c:pt>
                <c:pt idx="82">
                  <c:v>21673</c:v>
                </c:pt>
                <c:pt idx="83">
                  <c:v>21673</c:v>
                </c:pt>
                <c:pt idx="84">
                  <c:v>21673</c:v>
                </c:pt>
                <c:pt idx="85">
                  <c:v>21673</c:v>
                </c:pt>
                <c:pt idx="86">
                  <c:v>21673</c:v>
                </c:pt>
                <c:pt idx="87">
                  <c:v>21673</c:v>
                </c:pt>
                <c:pt idx="88">
                  <c:v>21673</c:v>
                </c:pt>
                <c:pt idx="89">
                  <c:v>21673</c:v>
                </c:pt>
                <c:pt idx="90">
                  <c:v>21673</c:v>
                </c:pt>
                <c:pt idx="91">
                  <c:v>21673</c:v>
                </c:pt>
                <c:pt idx="92">
                  <c:v>21673</c:v>
                </c:pt>
                <c:pt idx="93">
                  <c:v>21673</c:v>
                </c:pt>
                <c:pt idx="94">
                  <c:v>21673</c:v>
                </c:pt>
                <c:pt idx="95">
                  <c:v>21673</c:v>
                </c:pt>
                <c:pt idx="96">
                  <c:v>21673</c:v>
                </c:pt>
                <c:pt idx="97">
                  <c:v>21673</c:v>
                </c:pt>
                <c:pt idx="98">
                  <c:v>21673</c:v>
                </c:pt>
                <c:pt idx="99">
                  <c:v>21673</c:v>
                </c:pt>
                <c:pt idx="100">
                  <c:v>21673</c:v>
                </c:pt>
                <c:pt idx="101">
                  <c:v>21673</c:v>
                </c:pt>
                <c:pt idx="102">
                  <c:v>21673</c:v>
                </c:pt>
                <c:pt idx="103">
                  <c:v>21673</c:v>
                </c:pt>
                <c:pt idx="104">
                  <c:v>21673</c:v>
                </c:pt>
                <c:pt idx="105">
                  <c:v>21673</c:v>
                </c:pt>
                <c:pt idx="106">
                  <c:v>21673</c:v>
                </c:pt>
                <c:pt idx="107">
                  <c:v>21673</c:v>
                </c:pt>
                <c:pt idx="108">
                  <c:v>21673</c:v>
                </c:pt>
                <c:pt idx="109">
                  <c:v>21673</c:v>
                </c:pt>
                <c:pt idx="110">
                  <c:v>21673</c:v>
                </c:pt>
                <c:pt idx="111">
                  <c:v>21673</c:v>
                </c:pt>
                <c:pt idx="112">
                  <c:v>21673</c:v>
                </c:pt>
                <c:pt idx="113">
                  <c:v>21673</c:v>
                </c:pt>
                <c:pt idx="114">
                  <c:v>21673</c:v>
                </c:pt>
                <c:pt idx="115">
                  <c:v>21673</c:v>
                </c:pt>
                <c:pt idx="116">
                  <c:v>21673</c:v>
                </c:pt>
                <c:pt idx="117">
                  <c:v>21673</c:v>
                </c:pt>
                <c:pt idx="118">
                  <c:v>21673</c:v>
                </c:pt>
                <c:pt idx="119">
                  <c:v>21673</c:v>
                </c:pt>
                <c:pt idx="120">
                  <c:v>21673</c:v>
                </c:pt>
                <c:pt idx="121">
                  <c:v>21673</c:v>
                </c:pt>
                <c:pt idx="122">
                  <c:v>21673</c:v>
                </c:pt>
                <c:pt idx="123">
                  <c:v>21673</c:v>
                </c:pt>
                <c:pt idx="124">
                  <c:v>21673</c:v>
                </c:pt>
                <c:pt idx="125">
                  <c:v>21673</c:v>
                </c:pt>
                <c:pt idx="126">
                  <c:v>21673</c:v>
                </c:pt>
                <c:pt idx="127">
                  <c:v>21673</c:v>
                </c:pt>
                <c:pt idx="128">
                  <c:v>21673</c:v>
                </c:pt>
                <c:pt idx="129">
                  <c:v>21673</c:v>
                </c:pt>
                <c:pt idx="130">
                  <c:v>21673</c:v>
                </c:pt>
                <c:pt idx="131">
                  <c:v>21673</c:v>
                </c:pt>
                <c:pt idx="132">
                  <c:v>21673</c:v>
                </c:pt>
                <c:pt idx="133">
                  <c:v>21673</c:v>
                </c:pt>
                <c:pt idx="134">
                  <c:v>21673</c:v>
                </c:pt>
                <c:pt idx="135">
                  <c:v>21673</c:v>
                </c:pt>
                <c:pt idx="136">
                  <c:v>21673</c:v>
                </c:pt>
                <c:pt idx="137">
                  <c:v>21673</c:v>
                </c:pt>
                <c:pt idx="138">
                  <c:v>21673</c:v>
                </c:pt>
                <c:pt idx="139">
                  <c:v>21673</c:v>
                </c:pt>
                <c:pt idx="140">
                  <c:v>21673</c:v>
                </c:pt>
                <c:pt idx="141">
                  <c:v>21673</c:v>
                </c:pt>
                <c:pt idx="142">
                  <c:v>21673</c:v>
                </c:pt>
                <c:pt idx="143">
                  <c:v>21673</c:v>
                </c:pt>
                <c:pt idx="144">
                  <c:v>21673</c:v>
                </c:pt>
                <c:pt idx="145">
                  <c:v>21673</c:v>
                </c:pt>
                <c:pt idx="146">
                  <c:v>21673</c:v>
                </c:pt>
                <c:pt idx="147">
                  <c:v>21673</c:v>
                </c:pt>
                <c:pt idx="148">
                  <c:v>21673</c:v>
                </c:pt>
                <c:pt idx="149">
                  <c:v>21673</c:v>
                </c:pt>
                <c:pt idx="150">
                  <c:v>21673</c:v>
                </c:pt>
                <c:pt idx="151">
                  <c:v>21890</c:v>
                </c:pt>
                <c:pt idx="152">
                  <c:v>21890</c:v>
                </c:pt>
                <c:pt idx="153">
                  <c:v>21890</c:v>
                </c:pt>
                <c:pt idx="154">
                  <c:v>21890</c:v>
                </c:pt>
              </c:numCache>
            </c:numRef>
          </c:val>
        </c:ser>
        <c:ser>
          <c:idx val="1"/>
          <c:order val="1"/>
          <c:tx>
            <c:strRef>
              <c:f>Sheet1!$C$1</c:f>
              <c:strCache>
                <c:ptCount val="1"/>
                <c:pt idx="0">
                  <c:v>Thị trường chính thức</c:v>
                </c:pt>
              </c:strCache>
            </c:strRef>
          </c:tx>
          <c:spPr>
            <a:ln w="25400">
              <a:solidFill>
                <a:schemeClr val="tx1"/>
              </a:solidFill>
              <a:prstDash val="sysDash"/>
            </a:ln>
          </c:spPr>
          <c:marker>
            <c:symbol val="none"/>
          </c:marker>
          <c:cat>
            <c:numRef>
              <c:f>Sheet1!$A$2:$A$156</c:f>
              <c:numCache>
                <c:formatCode>dd/mm/yyyy</c:formatCode>
                <c:ptCount val="155"/>
                <c:pt idx="0">
                  <c:v>42009</c:v>
                </c:pt>
                <c:pt idx="1">
                  <c:v>42010</c:v>
                </c:pt>
                <c:pt idx="2">
                  <c:v>42011</c:v>
                </c:pt>
                <c:pt idx="3">
                  <c:v>42012</c:v>
                </c:pt>
                <c:pt idx="4">
                  <c:v>42013</c:v>
                </c:pt>
                <c:pt idx="5">
                  <c:v>42016</c:v>
                </c:pt>
                <c:pt idx="6">
                  <c:v>42017</c:v>
                </c:pt>
                <c:pt idx="7">
                  <c:v>42018</c:v>
                </c:pt>
                <c:pt idx="8">
                  <c:v>42019</c:v>
                </c:pt>
                <c:pt idx="9">
                  <c:v>42020</c:v>
                </c:pt>
                <c:pt idx="10">
                  <c:v>42023</c:v>
                </c:pt>
                <c:pt idx="11">
                  <c:v>42024</c:v>
                </c:pt>
                <c:pt idx="12">
                  <c:v>42025</c:v>
                </c:pt>
                <c:pt idx="13">
                  <c:v>42026</c:v>
                </c:pt>
                <c:pt idx="14">
                  <c:v>42027</c:v>
                </c:pt>
                <c:pt idx="15">
                  <c:v>42030</c:v>
                </c:pt>
                <c:pt idx="16">
                  <c:v>42031</c:v>
                </c:pt>
                <c:pt idx="17">
                  <c:v>42032</c:v>
                </c:pt>
                <c:pt idx="18">
                  <c:v>42033</c:v>
                </c:pt>
                <c:pt idx="19">
                  <c:v>42034</c:v>
                </c:pt>
                <c:pt idx="20">
                  <c:v>42037</c:v>
                </c:pt>
                <c:pt idx="21">
                  <c:v>42038</c:v>
                </c:pt>
                <c:pt idx="22">
                  <c:v>42039</c:v>
                </c:pt>
                <c:pt idx="23">
                  <c:v>42040</c:v>
                </c:pt>
                <c:pt idx="24">
                  <c:v>42041</c:v>
                </c:pt>
                <c:pt idx="25">
                  <c:v>42044</c:v>
                </c:pt>
                <c:pt idx="26">
                  <c:v>42045</c:v>
                </c:pt>
                <c:pt idx="27">
                  <c:v>42046</c:v>
                </c:pt>
                <c:pt idx="28">
                  <c:v>42047</c:v>
                </c:pt>
                <c:pt idx="29">
                  <c:v>42048</c:v>
                </c:pt>
                <c:pt idx="30">
                  <c:v>42059</c:v>
                </c:pt>
                <c:pt idx="31">
                  <c:v>42061</c:v>
                </c:pt>
                <c:pt idx="32">
                  <c:v>42062</c:v>
                </c:pt>
                <c:pt idx="33">
                  <c:v>42065</c:v>
                </c:pt>
                <c:pt idx="34">
                  <c:v>42066</c:v>
                </c:pt>
                <c:pt idx="35">
                  <c:v>42067</c:v>
                </c:pt>
                <c:pt idx="36">
                  <c:v>42068</c:v>
                </c:pt>
                <c:pt idx="37">
                  <c:v>42069</c:v>
                </c:pt>
                <c:pt idx="38">
                  <c:v>42072</c:v>
                </c:pt>
                <c:pt idx="39">
                  <c:v>42073</c:v>
                </c:pt>
                <c:pt idx="40">
                  <c:v>42074</c:v>
                </c:pt>
                <c:pt idx="41">
                  <c:v>42075</c:v>
                </c:pt>
                <c:pt idx="42">
                  <c:v>42076</c:v>
                </c:pt>
                <c:pt idx="43">
                  <c:v>42079</c:v>
                </c:pt>
                <c:pt idx="44">
                  <c:v>42080</c:v>
                </c:pt>
                <c:pt idx="45">
                  <c:v>42081</c:v>
                </c:pt>
                <c:pt idx="46">
                  <c:v>42082</c:v>
                </c:pt>
                <c:pt idx="47">
                  <c:v>42083</c:v>
                </c:pt>
                <c:pt idx="48">
                  <c:v>42086</c:v>
                </c:pt>
                <c:pt idx="49">
                  <c:v>42087</c:v>
                </c:pt>
                <c:pt idx="50">
                  <c:v>42088</c:v>
                </c:pt>
                <c:pt idx="51">
                  <c:v>42089</c:v>
                </c:pt>
                <c:pt idx="52">
                  <c:v>42090</c:v>
                </c:pt>
                <c:pt idx="53">
                  <c:v>42093</c:v>
                </c:pt>
                <c:pt idx="54">
                  <c:v>42094</c:v>
                </c:pt>
                <c:pt idx="55">
                  <c:v>42095</c:v>
                </c:pt>
                <c:pt idx="56">
                  <c:v>42096</c:v>
                </c:pt>
                <c:pt idx="57">
                  <c:v>42097</c:v>
                </c:pt>
                <c:pt idx="58">
                  <c:v>42100</c:v>
                </c:pt>
                <c:pt idx="59">
                  <c:v>42101</c:v>
                </c:pt>
                <c:pt idx="60">
                  <c:v>42102</c:v>
                </c:pt>
                <c:pt idx="61">
                  <c:v>42103</c:v>
                </c:pt>
                <c:pt idx="62">
                  <c:v>42104</c:v>
                </c:pt>
                <c:pt idx="63">
                  <c:v>42107</c:v>
                </c:pt>
                <c:pt idx="64">
                  <c:v>42108</c:v>
                </c:pt>
                <c:pt idx="65">
                  <c:v>42109</c:v>
                </c:pt>
                <c:pt idx="66">
                  <c:v>42110</c:v>
                </c:pt>
                <c:pt idx="67">
                  <c:v>42111</c:v>
                </c:pt>
                <c:pt idx="68">
                  <c:v>42114</c:v>
                </c:pt>
                <c:pt idx="69">
                  <c:v>42115</c:v>
                </c:pt>
                <c:pt idx="70">
                  <c:v>42116</c:v>
                </c:pt>
                <c:pt idx="71">
                  <c:v>42117</c:v>
                </c:pt>
                <c:pt idx="72">
                  <c:v>42118</c:v>
                </c:pt>
                <c:pt idx="73">
                  <c:v>42121</c:v>
                </c:pt>
                <c:pt idx="74">
                  <c:v>42128</c:v>
                </c:pt>
                <c:pt idx="75">
                  <c:v>42129</c:v>
                </c:pt>
                <c:pt idx="76">
                  <c:v>42130</c:v>
                </c:pt>
                <c:pt idx="77">
                  <c:v>42131</c:v>
                </c:pt>
                <c:pt idx="78">
                  <c:v>42132</c:v>
                </c:pt>
                <c:pt idx="79">
                  <c:v>42135</c:v>
                </c:pt>
                <c:pt idx="80">
                  <c:v>42136</c:v>
                </c:pt>
                <c:pt idx="81">
                  <c:v>42137</c:v>
                </c:pt>
                <c:pt idx="82">
                  <c:v>42138</c:v>
                </c:pt>
                <c:pt idx="83">
                  <c:v>42139</c:v>
                </c:pt>
                <c:pt idx="84">
                  <c:v>42142</c:v>
                </c:pt>
                <c:pt idx="85">
                  <c:v>42143</c:v>
                </c:pt>
                <c:pt idx="86">
                  <c:v>42144</c:v>
                </c:pt>
                <c:pt idx="87">
                  <c:v>42145</c:v>
                </c:pt>
                <c:pt idx="88">
                  <c:v>42146</c:v>
                </c:pt>
                <c:pt idx="89">
                  <c:v>42149</c:v>
                </c:pt>
                <c:pt idx="90">
                  <c:v>42150</c:v>
                </c:pt>
                <c:pt idx="91">
                  <c:v>42151</c:v>
                </c:pt>
                <c:pt idx="92">
                  <c:v>42152</c:v>
                </c:pt>
                <c:pt idx="93">
                  <c:v>42153</c:v>
                </c:pt>
                <c:pt idx="94">
                  <c:v>42156</c:v>
                </c:pt>
                <c:pt idx="95">
                  <c:v>42157</c:v>
                </c:pt>
                <c:pt idx="96">
                  <c:v>42158</c:v>
                </c:pt>
                <c:pt idx="97">
                  <c:v>42159</c:v>
                </c:pt>
                <c:pt idx="98">
                  <c:v>42160</c:v>
                </c:pt>
                <c:pt idx="99">
                  <c:v>42163</c:v>
                </c:pt>
                <c:pt idx="100">
                  <c:v>42164</c:v>
                </c:pt>
                <c:pt idx="101">
                  <c:v>42165</c:v>
                </c:pt>
                <c:pt idx="102">
                  <c:v>42166</c:v>
                </c:pt>
                <c:pt idx="103">
                  <c:v>42167</c:v>
                </c:pt>
                <c:pt idx="104">
                  <c:v>42170</c:v>
                </c:pt>
                <c:pt idx="105">
                  <c:v>42171</c:v>
                </c:pt>
                <c:pt idx="106">
                  <c:v>42172</c:v>
                </c:pt>
                <c:pt idx="107">
                  <c:v>42173</c:v>
                </c:pt>
                <c:pt idx="108">
                  <c:v>42174</c:v>
                </c:pt>
                <c:pt idx="109">
                  <c:v>42177</c:v>
                </c:pt>
                <c:pt idx="110">
                  <c:v>42178</c:v>
                </c:pt>
                <c:pt idx="111">
                  <c:v>42179</c:v>
                </c:pt>
                <c:pt idx="112">
                  <c:v>42180</c:v>
                </c:pt>
                <c:pt idx="113">
                  <c:v>42181</c:v>
                </c:pt>
                <c:pt idx="114">
                  <c:v>42184</c:v>
                </c:pt>
                <c:pt idx="115">
                  <c:v>42185</c:v>
                </c:pt>
                <c:pt idx="116">
                  <c:v>42186</c:v>
                </c:pt>
                <c:pt idx="117">
                  <c:v>42187</c:v>
                </c:pt>
                <c:pt idx="118">
                  <c:v>42188</c:v>
                </c:pt>
                <c:pt idx="119">
                  <c:v>42191</c:v>
                </c:pt>
                <c:pt idx="120">
                  <c:v>42192</c:v>
                </c:pt>
                <c:pt idx="121">
                  <c:v>42193</c:v>
                </c:pt>
                <c:pt idx="122">
                  <c:v>42194</c:v>
                </c:pt>
                <c:pt idx="123">
                  <c:v>42195</c:v>
                </c:pt>
                <c:pt idx="124">
                  <c:v>42198</c:v>
                </c:pt>
                <c:pt idx="125">
                  <c:v>42199</c:v>
                </c:pt>
                <c:pt idx="126">
                  <c:v>42200</c:v>
                </c:pt>
                <c:pt idx="127">
                  <c:v>42201</c:v>
                </c:pt>
                <c:pt idx="128">
                  <c:v>42202</c:v>
                </c:pt>
                <c:pt idx="129">
                  <c:v>42205</c:v>
                </c:pt>
                <c:pt idx="130">
                  <c:v>42206</c:v>
                </c:pt>
                <c:pt idx="131">
                  <c:v>42207</c:v>
                </c:pt>
                <c:pt idx="132">
                  <c:v>42208</c:v>
                </c:pt>
                <c:pt idx="133">
                  <c:v>42209</c:v>
                </c:pt>
                <c:pt idx="134">
                  <c:v>42212</c:v>
                </c:pt>
                <c:pt idx="135">
                  <c:v>42213</c:v>
                </c:pt>
                <c:pt idx="136">
                  <c:v>42214</c:v>
                </c:pt>
                <c:pt idx="137">
                  <c:v>42215</c:v>
                </c:pt>
                <c:pt idx="138">
                  <c:v>42216</c:v>
                </c:pt>
                <c:pt idx="139">
                  <c:v>42219</c:v>
                </c:pt>
                <c:pt idx="140">
                  <c:v>42220</c:v>
                </c:pt>
                <c:pt idx="141">
                  <c:v>42221</c:v>
                </c:pt>
                <c:pt idx="142">
                  <c:v>42222</c:v>
                </c:pt>
                <c:pt idx="143">
                  <c:v>42223</c:v>
                </c:pt>
                <c:pt idx="144">
                  <c:v>42226</c:v>
                </c:pt>
                <c:pt idx="145">
                  <c:v>42227</c:v>
                </c:pt>
                <c:pt idx="146">
                  <c:v>42228</c:v>
                </c:pt>
                <c:pt idx="147">
                  <c:v>42229</c:v>
                </c:pt>
                <c:pt idx="148">
                  <c:v>42230</c:v>
                </c:pt>
                <c:pt idx="149">
                  <c:v>42233</c:v>
                </c:pt>
                <c:pt idx="150">
                  <c:v>42234</c:v>
                </c:pt>
                <c:pt idx="151">
                  <c:v>42235</c:v>
                </c:pt>
                <c:pt idx="152">
                  <c:v>42236</c:v>
                </c:pt>
                <c:pt idx="153">
                  <c:v>42237</c:v>
                </c:pt>
                <c:pt idx="154">
                  <c:v>42240</c:v>
                </c:pt>
              </c:numCache>
            </c:numRef>
          </c:cat>
          <c:val>
            <c:numRef>
              <c:f>Sheet1!$C$2:$C$156</c:f>
              <c:numCache>
                <c:formatCode>_(* #,##0_);_(* \(#,##0\);_(* "-"??_);_(@_)</c:formatCode>
                <c:ptCount val="155"/>
                <c:pt idx="0">
                  <c:v>21414</c:v>
                </c:pt>
                <c:pt idx="1">
                  <c:v>21468</c:v>
                </c:pt>
                <c:pt idx="2">
                  <c:v>21442</c:v>
                </c:pt>
                <c:pt idx="3">
                  <c:v>21383</c:v>
                </c:pt>
                <c:pt idx="4">
                  <c:v>21390</c:v>
                </c:pt>
                <c:pt idx="5">
                  <c:v>21346</c:v>
                </c:pt>
                <c:pt idx="6">
                  <c:v>21344</c:v>
                </c:pt>
                <c:pt idx="7">
                  <c:v>21345</c:v>
                </c:pt>
                <c:pt idx="8">
                  <c:v>21342</c:v>
                </c:pt>
                <c:pt idx="9">
                  <c:v>21348</c:v>
                </c:pt>
                <c:pt idx="10">
                  <c:v>21358</c:v>
                </c:pt>
                <c:pt idx="11">
                  <c:v>21368</c:v>
                </c:pt>
                <c:pt idx="12">
                  <c:v>21374</c:v>
                </c:pt>
                <c:pt idx="13">
                  <c:v>21363</c:v>
                </c:pt>
                <c:pt idx="14">
                  <c:v>21351</c:v>
                </c:pt>
                <c:pt idx="15">
                  <c:v>21346</c:v>
                </c:pt>
                <c:pt idx="16">
                  <c:v>21350</c:v>
                </c:pt>
                <c:pt idx="17">
                  <c:v>21346</c:v>
                </c:pt>
                <c:pt idx="18">
                  <c:v>21344</c:v>
                </c:pt>
                <c:pt idx="19">
                  <c:v>21345</c:v>
                </c:pt>
                <c:pt idx="20">
                  <c:v>21344</c:v>
                </c:pt>
                <c:pt idx="21">
                  <c:v>21345</c:v>
                </c:pt>
                <c:pt idx="22">
                  <c:v>21348</c:v>
                </c:pt>
                <c:pt idx="23">
                  <c:v>21350</c:v>
                </c:pt>
                <c:pt idx="24">
                  <c:v>21343</c:v>
                </c:pt>
                <c:pt idx="25">
                  <c:v>21337</c:v>
                </c:pt>
                <c:pt idx="26">
                  <c:v>21338</c:v>
                </c:pt>
                <c:pt idx="27">
                  <c:v>21347</c:v>
                </c:pt>
                <c:pt idx="28">
                  <c:v>21330</c:v>
                </c:pt>
                <c:pt idx="29">
                  <c:v>21345</c:v>
                </c:pt>
                <c:pt idx="30">
                  <c:v>21361</c:v>
                </c:pt>
                <c:pt idx="31">
                  <c:v>21374</c:v>
                </c:pt>
                <c:pt idx="32">
                  <c:v>21357</c:v>
                </c:pt>
                <c:pt idx="33">
                  <c:v>21350</c:v>
                </c:pt>
                <c:pt idx="34">
                  <c:v>21355</c:v>
                </c:pt>
                <c:pt idx="35">
                  <c:v>21362</c:v>
                </c:pt>
                <c:pt idx="36">
                  <c:v>21355</c:v>
                </c:pt>
                <c:pt idx="37">
                  <c:v>21355</c:v>
                </c:pt>
                <c:pt idx="38">
                  <c:v>21363</c:v>
                </c:pt>
                <c:pt idx="39">
                  <c:v>21358</c:v>
                </c:pt>
                <c:pt idx="40">
                  <c:v>21366</c:v>
                </c:pt>
                <c:pt idx="41">
                  <c:v>21369</c:v>
                </c:pt>
                <c:pt idx="42">
                  <c:v>21377</c:v>
                </c:pt>
                <c:pt idx="43">
                  <c:v>21475</c:v>
                </c:pt>
                <c:pt idx="44">
                  <c:v>21476</c:v>
                </c:pt>
                <c:pt idx="45">
                  <c:v>21513</c:v>
                </c:pt>
                <c:pt idx="46">
                  <c:v>21490</c:v>
                </c:pt>
                <c:pt idx="47">
                  <c:v>21500</c:v>
                </c:pt>
                <c:pt idx="48">
                  <c:v>21550</c:v>
                </c:pt>
                <c:pt idx="49">
                  <c:v>21542</c:v>
                </c:pt>
                <c:pt idx="50">
                  <c:v>21508</c:v>
                </c:pt>
                <c:pt idx="51">
                  <c:v>21520</c:v>
                </c:pt>
                <c:pt idx="52">
                  <c:v>21535</c:v>
                </c:pt>
                <c:pt idx="53">
                  <c:v>21540</c:v>
                </c:pt>
                <c:pt idx="54">
                  <c:v>21572</c:v>
                </c:pt>
                <c:pt idx="55">
                  <c:v>21590</c:v>
                </c:pt>
                <c:pt idx="56">
                  <c:v>21597</c:v>
                </c:pt>
                <c:pt idx="57">
                  <c:v>21605</c:v>
                </c:pt>
                <c:pt idx="58">
                  <c:v>21600</c:v>
                </c:pt>
                <c:pt idx="59">
                  <c:v>21603</c:v>
                </c:pt>
                <c:pt idx="60">
                  <c:v>21607</c:v>
                </c:pt>
                <c:pt idx="61">
                  <c:v>21618</c:v>
                </c:pt>
                <c:pt idx="62">
                  <c:v>21605</c:v>
                </c:pt>
                <c:pt idx="63">
                  <c:v>21613</c:v>
                </c:pt>
                <c:pt idx="64">
                  <c:v>21612</c:v>
                </c:pt>
                <c:pt idx="65">
                  <c:v>21599</c:v>
                </c:pt>
                <c:pt idx="66">
                  <c:v>21605</c:v>
                </c:pt>
                <c:pt idx="67">
                  <c:v>21597</c:v>
                </c:pt>
                <c:pt idx="68">
                  <c:v>21587</c:v>
                </c:pt>
                <c:pt idx="69">
                  <c:v>21581</c:v>
                </c:pt>
                <c:pt idx="70">
                  <c:v>21588</c:v>
                </c:pt>
                <c:pt idx="71">
                  <c:v>21591</c:v>
                </c:pt>
                <c:pt idx="72">
                  <c:v>21595</c:v>
                </c:pt>
                <c:pt idx="73">
                  <c:v>21621</c:v>
                </c:pt>
                <c:pt idx="74">
                  <c:v>21631</c:v>
                </c:pt>
                <c:pt idx="75">
                  <c:v>21670</c:v>
                </c:pt>
                <c:pt idx="76">
                  <c:v>21695</c:v>
                </c:pt>
                <c:pt idx="77">
                  <c:v>21684</c:v>
                </c:pt>
                <c:pt idx="78">
                  <c:v>21687</c:v>
                </c:pt>
                <c:pt idx="79">
                  <c:v>21633</c:v>
                </c:pt>
                <c:pt idx="80">
                  <c:v>21693</c:v>
                </c:pt>
                <c:pt idx="81">
                  <c:v>21740</c:v>
                </c:pt>
                <c:pt idx="82">
                  <c:v>21768</c:v>
                </c:pt>
                <c:pt idx="83">
                  <c:v>21779</c:v>
                </c:pt>
                <c:pt idx="84">
                  <c:v>21779</c:v>
                </c:pt>
                <c:pt idx="85">
                  <c:v>21777</c:v>
                </c:pt>
                <c:pt idx="86">
                  <c:v>21825</c:v>
                </c:pt>
                <c:pt idx="87">
                  <c:v>21810</c:v>
                </c:pt>
                <c:pt idx="88">
                  <c:v>21819</c:v>
                </c:pt>
                <c:pt idx="89">
                  <c:v>21830</c:v>
                </c:pt>
                <c:pt idx="90">
                  <c:v>21822</c:v>
                </c:pt>
                <c:pt idx="91">
                  <c:v>21810</c:v>
                </c:pt>
                <c:pt idx="92">
                  <c:v>21814</c:v>
                </c:pt>
                <c:pt idx="93">
                  <c:v>21806</c:v>
                </c:pt>
                <c:pt idx="94">
                  <c:v>21815</c:v>
                </c:pt>
                <c:pt idx="95">
                  <c:v>21819</c:v>
                </c:pt>
                <c:pt idx="96">
                  <c:v>21819</c:v>
                </c:pt>
                <c:pt idx="97">
                  <c:v>21818</c:v>
                </c:pt>
                <c:pt idx="98">
                  <c:v>21817</c:v>
                </c:pt>
                <c:pt idx="99">
                  <c:v>21815</c:v>
                </c:pt>
                <c:pt idx="100">
                  <c:v>21813</c:v>
                </c:pt>
                <c:pt idx="101">
                  <c:v>21796</c:v>
                </c:pt>
                <c:pt idx="102">
                  <c:v>21803</c:v>
                </c:pt>
                <c:pt idx="103">
                  <c:v>21799</c:v>
                </c:pt>
                <c:pt idx="104">
                  <c:v>21806</c:v>
                </c:pt>
                <c:pt idx="105">
                  <c:v>21806</c:v>
                </c:pt>
                <c:pt idx="106">
                  <c:v>21806</c:v>
                </c:pt>
                <c:pt idx="107">
                  <c:v>21810</c:v>
                </c:pt>
                <c:pt idx="108">
                  <c:v>21806</c:v>
                </c:pt>
                <c:pt idx="109">
                  <c:v>21811</c:v>
                </c:pt>
                <c:pt idx="110">
                  <c:v>21813</c:v>
                </c:pt>
                <c:pt idx="111">
                  <c:v>21813</c:v>
                </c:pt>
                <c:pt idx="112">
                  <c:v>21813</c:v>
                </c:pt>
                <c:pt idx="113">
                  <c:v>21820</c:v>
                </c:pt>
                <c:pt idx="114">
                  <c:v>21820</c:v>
                </c:pt>
                <c:pt idx="115">
                  <c:v>21813</c:v>
                </c:pt>
                <c:pt idx="116">
                  <c:v>21810</c:v>
                </c:pt>
                <c:pt idx="117">
                  <c:v>21808</c:v>
                </c:pt>
                <c:pt idx="118">
                  <c:v>21813</c:v>
                </c:pt>
                <c:pt idx="119">
                  <c:v>21810</c:v>
                </c:pt>
                <c:pt idx="120">
                  <c:v>21816</c:v>
                </c:pt>
                <c:pt idx="121">
                  <c:v>21814</c:v>
                </c:pt>
                <c:pt idx="122">
                  <c:v>21815</c:v>
                </c:pt>
                <c:pt idx="123">
                  <c:v>21805</c:v>
                </c:pt>
                <c:pt idx="124">
                  <c:v>21805</c:v>
                </c:pt>
                <c:pt idx="125">
                  <c:v>21806</c:v>
                </c:pt>
                <c:pt idx="126">
                  <c:v>21808</c:v>
                </c:pt>
                <c:pt idx="127">
                  <c:v>21812</c:v>
                </c:pt>
                <c:pt idx="128">
                  <c:v>21814</c:v>
                </c:pt>
                <c:pt idx="129">
                  <c:v>21823</c:v>
                </c:pt>
                <c:pt idx="130">
                  <c:v>21819</c:v>
                </c:pt>
                <c:pt idx="131">
                  <c:v>21820</c:v>
                </c:pt>
                <c:pt idx="132">
                  <c:v>21818</c:v>
                </c:pt>
                <c:pt idx="133">
                  <c:v>21815</c:v>
                </c:pt>
                <c:pt idx="134">
                  <c:v>21821</c:v>
                </c:pt>
                <c:pt idx="135">
                  <c:v>21820</c:v>
                </c:pt>
                <c:pt idx="136">
                  <c:v>21820</c:v>
                </c:pt>
                <c:pt idx="137">
                  <c:v>21819</c:v>
                </c:pt>
                <c:pt idx="138">
                  <c:v>21814</c:v>
                </c:pt>
                <c:pt idx="139">
                  <c:v>21813</c:v>
                </c:pt>
                <c:pt idx="140">
                  <c:v>21813</c:v>
                </c:pt>
                <c:pt idx="141">
                  <c:v>21813</c:v>
                </c:pt>
                <c:pt idx="142">
                  <c:v>21817</c:v>
                </c:pt>
                <c:pt idx="143">
                  <c:v>21815</c:v>
                </c:pt>
                <c:pt idx="144">
                  <c:v>21815</c:v>
                </c:pt>
                <c:pt idx="145">
                  <c:v>21823</c:v>
                </c:pt>
                <c:pt idx="146">
                  <c:v>22030</c:v>
                </c:pt>
                <c:pt idx="147">
                  <c:v>22079</c:v>
                </c:pt>
                <c:pt idx="148">
                  <c:v>22098</c:v>
                </c:pt>
                <c:pt idx="149">
                  <c:v>22096</c:v>
                </c:pt>
                <c:pt idx="150">
                  <c:v>22100</c:v>
                </c:pt>
                <c:pt idx="151">
                  <c:v>22350</c:v>
                </c:pt>
                <c:pt idx="152">
                  <c:v>22377</c:v>
                </c:pt>
                <c:pt idx="153">
                  <c:v>22480</c:v>
                </c:pt>
                <c:pt idx="154">
                  <c:v>22547</c:v>
                </c:pt>
              </c:numCache>
            </c:numRef>
          </c:val>
          <c:smooth val="1"/>
        </c:ser>
        <c:ser>
          <c:idx val="2"/>
          <c:order val="2"/>
          <c:tx>
            <c:strRef>
              <c:f>Sheet1!$D$1</c:f>
              <c:strCache>
                <c:ptCount val="1"/>
                <c:pt idx="0">
                  <c:v>Thị trường phi chính thức</c:v>
                </c:pt>
              </c:strCache>
            </c:strRef>
          </c:tx>
          <c:spPr>
            <a:ln w="25400">
              <a:solidFill>
                <a:srgbClr val="FF0000"/>
              </a:solidFill>
            </a:ln>
          </c:spPr>
          <c:marker>
            <c:symbol val="none"/>
          </c:marker>
          <c:cat>
            <c:numRef>
              <c:f>Sheet1!$A$2:$A$156</c:f>
              <c:numCache>
                <c:formatCode>dd/mm/yyyy</c:formatCode>
                <c:ptCount val="155"/>
                <c:pt idx="0">
                  <c:v>42009</c:v>
                </c:pt>
                <c:pt idx="1">
                  <c:v>42010</c:v>
                </c:pt>
                <c:pt idx="2">
                  <c:v>42011</c:v>
                </c:pt>
                <c:pt idx="3">
                  <c:v>42012</c:v>
                </c:pt>
                <c:pt idx="4">
                  <c:v>42013</c:v>
                </c:pt>
                <c:pt idx="5">
                  <c:v>42016</c:v>
                </c:pt>
                <c:pt idx="6">
                  <c:v>42017</c:v>
                </c:pt>
                <c:pt idx="7">
                  <c:v>42018</c:v>
                </c:pt>
                <c:pt idx="8">
                  <c:v>42019</c:v>
                </c:pt>
                <c:pt idx="9">
                  <c:v>42020</c:v>
                </c:pt>
                <c:pt idx="10">
                  <c:v>42023</c:v>
                </c:pt>
                <c:pt idx="11">
                  <c:v>42024</c:v>
                </c:pt>
                <c:pt idx="12">
                  <c:v>42025</c:v>
                </c:pt>
                <c:pt idx="13">
                  <c:v>42026</c:v>
                </c:pt>
                <c:pt idx="14">
                  <c:v>42027</c:v>
                </c:pt>
                <c:pt idx="15">
                  <c:v>42030</c:v>
                </c:pt>
                <c:pt idx="16">
                  <c:v>42031</c:v>
                </c:pt>
                <c:pt idx="17">
                  <c:v>42032</c:v>
                </c:pt>
                <c:pt idx="18">
                  <c:v>42033</c:v>
                </c:pt>
                <c:pt idx="19">
                  <c:v>42034</c:v>
                </c:pt>
                <c:pt idx="20">
                  <c:v>42037</c:v>
                </c:pt>
                <c:pt idx="21">
                  <c:v>42038</c:v>
                </c:pt>
                <c:pt idx="22">
                  <c:v>42039</c:v>
                </c:pt>
                <c:pt idx="23">
                  <c:v>42040</c:v>
                </c:pt>
                <c:pt idx="24">
                  <c:v>42041</c:v>
                </c:pt>
                <c:pt idx="25">
                  <c:v>42044</c:v>
                </c:pt>
                <c:pt idx="26">
                  <c:v>42045</c:v>
                </c:pt>
                <c:pt idx="27">
                  <c:v>42046</c:v>
                </c:pt>
                <c:pt idx="28">
                  <c:v>42047</c:v>
                </c:pt>
                <c:pt idx="29">
                  <c:v>42048</c:v>
                </c:pt>
                <c:pt idx="30">
                  <c:v>42059</c:v>
                </c:pt>
                <c:pt idx="31">
                  <c:v>42061</c:v>
                </c:pt>
                <c:pt idx="32">
                  <c:v>42062</c:v>
                </c:pt>
                <c:pt idx="33">
                  <c:v>42065</c:v>
                </c:pt>
                <c:pt idx="34">
                  <c:v>42066</c:v>
                </c:pt>
                <c:pt idx="35">
                  <c:v>42067</c:v>
                </c:pt>
                <c:pt idx="36">
                  <c:v>42068</c:v>
                </c:pt>
                <c:pt idx="37">
                  <c:v>42069</c:v>
                </c:pt>
                <c:pt idx="38">
                  <c:v>42072</c:v>
                </c:pt>
                <c:pt idx="39">
                  <c:v>42073</c:v>
                </c:pt>
                <c:pt idx="40">
                  <c:v>42074</c:v>
                </c:pt>
                <c:pt idx="41">
                  <c:v>42075</c:v>
                </c:pt>
                <c:pt idx="42">
                  <c:v>42076</c:v>
                </c:pt>
                <c:pt idx="43">
                  <c:v>42079</c:v>
                </c:pt>
                <c:pt idx="44">
                  <c:v>42080</c:v>
                </c:pt>
                <c:pt idx="45">
                  <c:v>42081</c:v>
                </c:pt>
                <c:pt idx="46">
                  <c:v>42082</c:v>
                </c:pt>
                <c:pt idx="47">
                  <c:v>42083</c:v>
                </c:pt>
                <c:pt idx="48">
                  <c:v>42086</c:v>
                </c:pt>
                <c:pt idx="49">
                  <c:v>42087</c:v>
                </c:pt>
                <c:pt idx="50">
                  <c:v>42088</c:v>
                </c:pt>
                <c:pt idx="51">
                  <c:v>42089</c:v>
                </c:pt>
                <c:pt idx="52">
                  <c:v>42090</c:v>
                </c:pt>
                <c:pt idx="53">
                  <c:v>42093</c:v>
                </c:pt>
                <c:pt idx="54">
                  <c:v>42094</c:v>
                </c:pt>
                <c:pt idx="55">
                  <c:v>42095</c:v>
                </c:pt>
                <c:pt idx="56">
                  <c:v>42096</c:v>
                </c:pt>
                <c:pt idx="57">
                  <c:v>42097</c:v>
                </c:pt>
                <c:pt idx="58">
                  <c:v>42100</c:v>
                </c:pt>
                <c:pt idx="59">
                  <c:v>42101</c:v>
                </c:pt>
                <c:pt idx="60">
                  <c:v>42102</c:v>
                </c:pt>
                <c:pt idx="61">
                  <c:v>42103</c:v>
                </c:pt>
                <c:pt idx="62">
                  <c:v>42104</c:v>
                </c:pt>
                <c:pt idx="63">
                  <c:v>42107</c:v>
                </c:pt>
                <c:pt idx="64">
                  <c:v>42108</c:v>
                </c:pt>
                <c:pt idx="65">
                  <c:v>42109</c:v>
                </c:pt>
                <c:pt idx="66">
                  <c:v>42110</c:v>
                </c:pt>
                <c:pt idx="67">
                  <c:v>42111</c:v>
                </c:pt>
                <c:pt idx="68">
                  <c:v>42114</c:v>
                </c:pt>
                <c:pt idx="69">
                  <c:v>42115</c:v>
                </c:pt>
                <c:pt idx="70">
                  <c:v>42116</c:v>
                </c:pt>
                <c:pt idx="71">
                  <c:v>42117</c:v>
                </c:pt>
                <c:pt idx="72">
                  <c:v>42118</c:v>
                </c:pt>
                <c:pt idx="73">
                  <c:v>42121</c:v>
                </c:pt>
                <c:pt idx="74">
                  <c:v>42128</c:v>
                </c:pt>
                <c:pt idx="75">
                  <c:v>42129</c:v>
                </c:pt>
                <c:pt idx="76">
                  <c:v>42130</c:v>
                </c:pt>
                <c:pt idx="77">
                  <c:v>42131</c:v>
                </c:pt>
                <c:pt idx="78">
                  <c:v>42132</c:v>
                </c:pt>
                <c:pt idx="79">
                  <c:v>42135</c:v>
                </c:pt>
                <c:pt idx="80">
                  <c:v>42136</c:v>
                </c:pt>
                <c:pt idx="81">
                  <c:v>42137</c:v>
                </c:pt>
                <c:pt idx="82">
                  <c:v>42138</c:v>
                </c:pt>
                <c:pt idx="83">
                  <c:v>42139</c:v>
                </c:pt>
                <c:pt idx="84">
                  <c:v>42142</c:v>
                </c:pt>
                <c:pt idx="85">
                  <c:v>42143</c:v>
                </c:pt>
                <c:pt idx="86">
                  <c:v>42144</c:v>
                </c:pt>
                <c:pt idx="87">
                  <c:v>42145</c:v>
                </c:pt>
                <c:pt idx="88">
                  <c:v>42146</c:v>
                </c:pt>
                <c:pt idx="89">
                  <c:v>42149</c:v>
                </c:pt>
                <c:pt idx="90">
                  <c:v>42150</c:v>
                </c:pt>
                <c:pt idx="91">
                  <c:v>42151</c:v>
                </c:pt>
                <c:pt idx="92">
                  <c:v>42152</c:v>
                </c:pt>
                <c:pt idx="93">
                  <c:v>42153</c:v>
                </c:pt>
                <c:pt idx="94">
                  <c:v>42156</c:v>
                </c:pt>
                <c:pt idx="95">
                  <c:v>42157</c:v>
                </c:pt>
                <c:pt idx="96">
                  <c:v>42158</c:v>
                </c:pt>
                <c:pt idx="97">
                  <c:v>42159</c:v>
                </c:pt>
                <c:pt idx="98">
                  <c:v>42160</c:v>
                </c:pt>
                <c:pt idx="99">
                  <c:v>42163</c:v>
                </c:pt>
                <c:pt idx="100">
                  <c:v>42164</c:v>
                </c:pt>
                <c:pt idx="101">
                  <c:v>42165</c:v>
                </c:pt>
                <c:pt idx="102">
                  <c:v>42166</c:v>
                </c:pt>
                <c:pt idx="103">
                  <c:v>42167</c:v>
                </c:pt>
                <c:pt idx="104">
                  <c:v>42170</c:v>
                </c:pt>
                <c:pt idx="105">
                  <c:v>42171</c:v>
                </c:pt>
                <c:pt idx="106">
                  <c:v>42172</c:v>
                </c:pt>
                <c:pt idx="107">
                  <c:v>42173</c:v>
                </c:pt>
                <c:pt idx="108">
                  <c:v>42174</c:v>
                </c:pt>
                <c:pt idx="109">
                  <c:v>42177</c:v>
                </c:pt>
                <c:pt idx="110">
                  <c:v>42178</c:v>
                </c:pt>
                <c:pt idx="111">
                  <c:v>42179</c:v>
                </c:pt>
                <c:pt idx="112">
                  <c:v>42180</c:v>
                </c:pt>
                <c:pt idx="113">
                  <c:v>42181</c:v>
                </c:pt>
                <c:pt idx="114">
                  <c:v>42184</c:v>
                </c:pt>
                <c:pt idx="115">
                  <c:v>42185</c:v>
                </c:pt>
                <c:pt idx="116">
                  <c:v>42186</c:v>
                </c:pt>
                <c:pt idx="117">
                  <c:v>42187</c:v>
                </c:pt>
                <c:pt idx="118">
                  <c:v>42188</c:v>
                </c:pt>
                <c:pt idx="119">
                  <c:v>42191</c:v>
                </c:pt>
                <c:pt idx="120">
                  <c:v>42192</c:v>
                </c:pt>
                <c:pt idx="121">
                  <c:v>42193</c:v>
                </c:pt>
                <c:pt idx="122">
                  <c:v>42194</c:v>
                </c:pt>
                <c:pt idx="123">
                  <c:v>42195</c:v>
                </c:pt>
                <c:pt idx="124">
                  <c:v>42198</c:v>
                </c:pt>
                <c:pt idx="125">
                  <c:v>42199</c:v>
                </c:pt>
                <c:pt idx="126">
                  <c:v>42200</c:v>
                </c:pt>
                <c:pt idx="127">
                  <c:v>42201</c:v>
                </c:pt>
                <c:pt idx="128">
                  <c:v>42202</c:v>
                </c:pt>
                <c:pt idx="129">
                  <c:v>42205</c:v>
                </c:pt>
                <c:pt idx="130">
                  <c:v>42206</c:v>
                </c:pt>
                <c:pt idx="131">
                  <c:v>42207</c:v>
                </c:pt>
                <c:pt idx="132">
                  <c:v>42208</c:v>
                </c:pt>
                <c:pt idx="133">
                  <c:v>42209</c:v>
                </c:pt>
                <c:pt idx="134">
                  <c:v>42212</c:v>
                </c:pt>
                <c:pt idx="135">
                  <c:v>42213</c:v>
                </c:pt>
                <c:pt idx="136">
                  <c:v>42214</c:v>
                </c:pt>
                <c:pt idx="137">
                  <c:v>42215</c:v>
                </c:pt>
                <c:pt idx="138">
                  <c:v>42216</c:v>
                </c:pt>
                <c:pt idx="139">
                  <c:v>42219</c:v>
                </c:pt>
                <c:pt idx="140">
                  <c:v>42220</c:v>
                </c:pt>
                <c:pt idx="141">
                  <c:v>42221</c:v>
                </c:pt>
                <c:pt idx="142">
                  <c:v>42222</c:v>
                </c:pt>
                <c:pt idx="143">
                  <c:v>42223</c:v>
                </c:pt>
                <c:pt idx="144">
                  <c:v>42226</c:v>
                </c:pt>
                <c:pt idx="145">
                  <c:v>42227</c:v>
                </c:pt>
                <c:pt idx="146">
                  <c:v>42228</c:v>
                </c:pt>
                <c:pt idx="147">
                  <c:v>42229</c:v>
                </c:pt>
                <c:pt idx="148">
                  <c:v>42230</c:v>
                </c:pt>
                <c:pt idx="149">
                  <c:v>42233</c:v>
                </c:pt>
                <c:pt idx="150">
                  <c:v>42234</c:v>
                </c:pt>
                <c:pt idx="151">
                  <c:v>42235</c:v>
                </c:pt>
                <c:pt idx="152">
                  <c:v>42236</c:v>
                </c:pt>
                <c:pt idx="153">
                  <c:v>42237</c:v>
                </c:pt>
                <c:pt idx="154">
                  <c:v>42240</c:v>
                </c:pt>
              </c:numCache>
            </c:numRef>
          </c:cat>
          <c:val>
            <c:numRef>
              <c:f>Sheet1!$D$2:$D$156</c:f>
              <c:numCache>
                <c:formatCode>_(* #,##0_);_(* \(#,##0\);_(* "-"??_);_(@_)</c:formatCode>
                <c:ptCount val="155"/>
                <c:pt idx="0">
                  <c:v>21620</c:v>
                </c:pt>
                <c:pt idx="1">
                  <c:v>21585</c:v>
                </c:pt>
                <c:pt idx="2">
                  <c:v>21605</c:v>
                </c:pt>
                <c:pt idx="3">
                  <c:v>21585</c:v>
                </c:pt>
                <c:pt idx="4">
                  <c:v>21550</c:v>
                </c:pt>
                <c:pt idx="5">
                  <c:v>21555</c:v>
                </c:pt>
                <c:pt idx="6">
                  <c:v>21480</c:v>
                </c:pt>
                <c:pt idx="7">
                  <c:v>21480</c:v>
                </c:pt>
                <c:pt idx="8">
                  <c:v>21460</c:v>
                </c:pt>
                <c:pt idx="9">
                  <c:v>21420</c:v>
                </c:pt>
                <c:pt idx="10">
                  <c:v>21405</c:v>
                </c:pt>
                <c:pt idx="11">
                  <c:v>21425</c:v>
                </c:pt>
                <c:pt idx="12">
                  <c:v>21410</c:v>
                </c:pt>
                <c:pt idx="13">
                  <c:v>21440</c:v>
                </c:pt>
                <c:pt idx="14">
                  <c:v>21445</c:v>
                </c:pt>
                <c:pt idx="15">
                  <c:v>21445</c:v>
                </c:pt>
                <c:pt idx="16">
                  <c:v>21410</c:v>
                </c:pt>
                <c:pt idx="17">
                  <c:v>21410</c:v>
                </c:pt>
                <c:pt idx="18">
                  <c:v>21410</c:v>
                </c:pt>
                <c:pt idx="19">
                  <c:v>21410</c:v>
                </c:pt>
                <c:pt idx="20">
                  <c:v>21395</c:v>
                </c:pt>
                <c:pt idx="21">
                  <c:v>21395</c:v>
                </c:pt>
                <c:pt idx="22">
                  <c:v>21395</c:v>
                </c:pt>
                <c:pt idx="23">
                  <c:v>21395</c:v>
                </c:pt>
                <c:pt idx="24">
                  <c:v>21400</c:v>
                </c:pt>
                <c:pt idx="25">
                  <c:v>21435</c:v>
                </c:pt>
                <c:pt idx="26">
                  <c:v>21400</c:v>
                </c:pt>
                <c:pt idx="27">
                  <c:v>21410</c:v>
                </c:pt>
                <c:pt idx="28">
                  <c:v>21410</c:v>
                </c:pt>
                <c:pt idx="29">
                  <c:v>21410</c:v>
                </c:pt>
                <c:pt idx="30">
                  <c:v>21550</c:v>
                </c:pt>
                <c:pt idx="31">
                  <c:v>21550</c:v>
                </c:pt>
                <c:pt idx="32">
                  <c:v>21540</c:v>
                </c:pt>
                <c:pt idx="33">
                  <c:v>21555</c:v>
                </c:pt>
                <c:pt idx="34">
                  <c:v>21570</c:v>
                </c:pt>
                <c:pt idx="35">
                  <c:v>21575</c:v>
                </c:pt>
                <c:pt idx="36">
                  <c:v>21590</c:v>
                </c:pt>
                <c:pt idx="37">
                  <c:v>21585</c:v>
                </c:pt>
                <c:pt idx="38">
                  <c:v>21590</c:v>
                </c:pt>
                <c:pt idx="39">
                  <c:v>21680</c:v>
                </c:pt>
                <c:pt idx="40">
                  <c:v>21700</c:v>
                </c:pt>
                <c:pt idx="41">
                  <c:v>21710</c:v>
                </c:pt>
                <c:pt idx="42">
                  <c:v>21720</c:v>
                </c:pt>
                <c:pt idx="43">
                  <c:v>21800</c:v>
                </c:pt>
                <c:pt idx="44">
                  <c:v>21795</c:v>
                </c:pt>
                <c:pt idx="45">
                  <c:v>21825</c:v>
                </c:pt>
                <c:pt idx="46">
                  <c:v>21735</c:v>
                </c:pt>
                <c:pt idx="47">
                  <c:v>21740</c:v>
                </c:pt>
                <c:pt idx="48">
                  <c:v>21680</c:v>
                </c:pt>
                <c:pt idx="49">
                  <c:v>21660</c:v>
                </c:pt>
                <c:pt idx="50">
                  <c:v>21650</c:v>
                </c:pt>
                <c:pt idx="51">
                  <c:v>21630</c:v>
                </c:pt>
                <c:pt idx="52">
                  <c:v>21620</c:v>
                </c:pt>
                <c:pt idx="53">
                  <c:v>21640</c:v>
                </c:pt>
                <c:pt idx="54">
                  <c:v>21650</c:v>
                </c:pt>
                <c:pt idx="55">
                  <c:v>21680</c:v>
                </c:pt>
                <c:pt idx="56">
                  <c:v>21660</c:v>
                </c:pt>
                <c:pt idx="57">
                  <c:v>21650</c:v>
                </c:pt>
                <c:pt idx="58">
                  <c:v>21640</c:v>
                </c:pt>
                <c:pt idx="59">
                  <c:v>21650</c:v>
                </c:pt>
                <c:pt idx="60">
                  <c:v>21655</c:v>
                </c:pt>
                <c:pt idx="61">
                  <c:v>21610</c:v>
                </c:pt>
                <c:pt idx="62">
                  <c:v>21655</c:v>
                </c:pt>
                <c:pt idx="63">
                  <c:v>21665</c:v>
                </c:pt>
                <c:pt idx="64">
                  <c:v>21660</c:v>
                </c:pt>
                <c:pt idx="65">
                  <c:v>21655</c:v>
                </c:pt>
                <c:pt idx="66">
                  <c:v>21650</c:v>
                </c:pt>
                <c:pt idx="67">
                  <c:v>21650</c:v>
                </c:pt>
                <c:pt idx="68">
                  <c:v>21640</c:v>
                </c:pt>
                <c:pt idx="69">
                  <c:v>21640</c:v>
                </c:pt>
                <c:pt idx="70">
                  <c:v>21645</c:v>
                </c:pt>
                <c:pt idx="71">
                  <c:v>21655</c:v>
                </c:pt>
                <c:pt idx="72">
                  <c:v>21655</c:v>
                </c:pt>
                <c:pt idx="73">
                  <c:v>21690</c:v>
                </c:pt>
                <c:pt idx="74">
                  <c:v>21700</c:v>
                </c:pt>
                <c:pt idx="75">
                  <c:v>21685</c:v>
                </c:pt>
                <c:pt idx="76">
                  <c:v>21700</c:v>
                </c:pt>
                <c:pt idx="77">
                  <c:v>21740</c:v>
                </c:pt>
                <c:pt idx="78">
                  <c:v>21700</c:v>
                </c:pt>
                <c:pt idx="79">
                  <c:v>21740</c:v>
                </c:pt>
                <c:pt idx="80">
                  <c:v>21740</c:v>
                </c:pt>
                <c:pt idx="81">
                  <c:v>21740</c:v>
                </c:pt>
                <c:pt idx="82">
                  <c:v>21770</c:v>
                </c:pt>
                <c:pt idx="83">
                  <c:v>21790</c:v>
                </c:pt>
                <c:pt idx="84">
                  <c:v>21790</c:v>
                </c:pt>
                <c:pt idx="85">
                  <c:v>21820</c:v>
                </c:pt>
                <c:pt idx="86">
                  <c:v>21850</c:v>
                </c:pt>
                <c:pt idx="87">
                  <c:v>21850</c:v>
                </c:pt>
                <c:pt idx="88">
                  <c:v>21850</c:v>
                </c:pt>
                <c:pt idx="89">
                  <c:v>21850</c:v>
                </c:pt>
                <c:pt idx="90">
                  <c:v>21860</c:v>
                </c:pt>
                <c:pt idx="91">
                  <c:v>21890</c:v>
                </c:pt>
                <c:pt idx="92">
                  <c:v>21870</c:v>
                </c:pt>
                <c:pt idx="93">
                  <c:v>21870</c:v>
                </c:pt>
                <c:pt idx="94">
                  <c:v>21875</c:v>
                </c:pt>
                <c:pt idx="95">
                  <c:v>21880</c:v>
                </c:pt>
                <c:pt idx="96">
                  <c:v>21860</c:v>
                </c:pt>
                <c:pt idx="97">
                  <c:v>21855</c:v>
                </c:pt>
                <c:pt idx="98">
                  <c:v>21855</c:v>
                </c:pt>
                <c:pt idx="99">
                  <c:v>21865</c:v>
                </c:pt>
                <c:pt idx="100">
                  <c:v>21875</c:v>
                </c:pt>
                <c:pt idx="101">
                  <c:v>21855</c:v>
                </c:pt>
                <c:pt idx="102">
                  <c:v>21835</c:v>
                </c:pt>
                <c:pt idx="103">
                  <c:v>21835</c:v>
                </c:pt>
                <c:pt idx="104">
                  <c:v>21835</c:v>
                </c:pt>
                <c:pt idx="105">
                  <c:v>21830</c:v>
                </c:pt>
                <c:pt idx="106">
                  <c:v>21830</c:v>
                </c:pt>
                <c:pt idx="107">
                  <c:v>21830</c:v>
                </c:pt>
                <c:pt idx="108">
                  <c:v>21815</c:v>
                </c:pt>
                <c:pt idx="109">
                  <c:v>21815</c:v>
                </c:pt>
                <c:pt idx="110">
                  <c:v>21820</c:v>
                </c:pt>
                <c:pt idx="111">
                  <c:v>21820</c:v>
                </c:pt>
                <c:pt idx="112">
                  <c:v>21820</c:v>
                </c:pt>
                <c:pt idx="113">
                  <c:v>21820</c:v>
                </c:pt>
                <c:pt idx="114">
                  <c:v>21865</c:v>
                </c:pt>
                <c:pt idx="115">
                  <c:v>21865</c:v>
                </c:pt>
                <c:pt idx="116">
                  <c:v>21855</c:v>
                </c:pt>
                <c:pt idx="117">
                  <c:v>21855</c:v>
                </c:pt>
                <c:pt idx="118">
                  <c:v>21850</c:v>
                </c:pt>
                <c:pt idx="119">
                  <c:v>21850</c:v>
                </c:pt>
                <c:pt idx="120">
                  <c:v>21850</c:v>
                </c:pt>
                <c:pt idx="121">
                  <c:v>21870</c:v>
                </c:pt>
                <c:pt idx="122">
                  <c:v>21870</c:v>
                </c:pt>
                <c:pt idx="123">
                  <c:v>21860</c:v>
                </c:pt>
                <c:pt idx="124">
                  <c:v>21860</c:v>
                </c:pt>
                <c:pt idx="125">
                  <c:v>21860</c:v>
                </c:pt>
                <c:pt idx="126">
                  <c:v>21855</c:v>
                </c:pt>
                <c:pt idx="127">
                  <c:v>21860</c:v>
                </c:pt>
                <c:pt idx="128">
                  <c:v>21860</c:v>
                </c:pt>
                <c:pt idx="129">
                  <c:v>21930</c:v>
                </c:pt>
                <c:pt idx="130">
                  <c:v>21950</c:v>
                </c:pt>
                <c:pt idx="131">
                  <c:v>21940</c:v>
                </c:pt>
                <c:pt idx="132">
                  <c:v>21840</c:v>
                </c:pt>
                <c:pt idx="133">
                  <c:v>21940</c:v>
                </c:pt>
                <c:pt idx="134">
                  <c:v>21950</c:v>
                </c:pt>
                <c:pt idx="135">
                  <c:v>21940</c:v>
                </c:pt>
                <c:pt idx="136">
                  <c:v>21940</c:v>
                </c:pt>
                <c:pt idx="137">
                  <c:v>21930</c:v>
                </c:pt>
                <c:pt idx="138">
                  <c:v>21940</c:v>
                </c:pt>
                <c:pt idx="139">
                  <c:v>21930</c:v>
                </c:pt>
                <c:pt idx="140">
                  <c:v>21930</c:v>
                </c:pt>
                <c:pt idx="141">
                  <c:v>21950</c:v>
                </c:pt>
                <c:pt idx="142">
                  <c:v>21920</c:v>
                </c:pt>
                <c:pt idx="143">
                  <c:v>21900</c:v>
                </c:pt>
                <c:pt idx="144">
                  <c:v>21900</c:v>
                </c:pt>
                <c:pt idx="145">
                  <c:v>21880</c:v>
                </c:pt>
                <c:pt idx="146">
                  <c:v>22050</c:v>
                </c:pt>
                <c:pt idx="147">
                  <c:v>22120</c:v>
                </c:pt>
                <c:pt idx="148">
                  <c:v>22220</c:v>
                </c:pt>
                <c:pt idx="149">
                  <c:v>22250</c:v>
                </c:pt>
                <c:pt idx="150">
                  <c:v>22250</c:v>
                </c:pt>
                <c:pt idx="151">
                  <c:v>22500</c:v>
                </c:pt>
                <c:pt idx="152">
                  <c:v>22520</c:v>
                </c:pt>
                <c:pt idx="153">
                  <c:v>22600</c:v>
                </c:pt>
                <c:pt idx="154">
                  <c:v>22800</c:v>
                </c:pt>
              </c:numCache>
            </c:numRef>
          </c:val>
          <c:smooth val="1"/>
        </c:ser>
        <c:marker val="1"/>
        <c:axId val="91065344"/>
        <c:axId val="91071232"/>
      </c:lineChart>
      <c:dateAx>
        <c:axId val="91065344"/>
        <c:scaling>
          <c:orientation val="minMax"/>
        </c:scaling>
        <c:axPos val="b"/>
        <c:numFmt formatCode="dd/m" sourceLinked="0"/>
        <c:majorTickMark val="none"/>
        <c:tickLblPos val="nextTo"/>
        <c:crossAx val="91071232"/>
        <c:crosses val="autoZero"/>
        <c:auto val="1"/>
        <c:lblOffset val="100"/>
        <c:baseTimeUnit val="days"/>
      </c:dateAx>
      <c:valAx>
        <c:axId val="91071232"/>
        <c:scaling>
          <c:orientation val="minMax"/>
          <c:min val="21000"/>
        </c:scaling>
        <c:axPos val="l"/>
        <c:numFmt formatCode="_(* #,##0_);_(* \(#,##0\);_(* &quot;-&quot;??_);_(@_)" sourceLinked="1"/>
        <c:majorTickMark val="none"/>
        <c:tickLblPos val="nextTo"/>
        <c:spPr>
          <a:ln w="9525">
            <a:noFill/>
          </a:ln>
        </c:spPr>
        <c:crossAx val="91065344"/>
        <c:crosses val="autoZero"/>
        <c:crossBetween val="between"/>
      </c:valAx>
    </c:plotArea>
    <c:legend>
      <c:legendPos val="b"/>
      <c:layout>
        <c:manualLayout>
          <c:xMode val="edge"/>
          <c:yMode val="edge"/>
          <c:x val="3.2320832256185622E-2"/>
          <c:y val="0.79036272310962807"/>
          <c:w val="0.94439001909885334"/>
          <c:h val="0.18645285062921368"/>
        </c:manualLayout>
      </c:layout>
      <c:txPr>
        <a:bodyPr/>
        <a:lstStyle/>
        <a:p>
          <a:pPr>
            <a:defRPr b="0"/>
          </a:pPr>
          <a:endParaRPr lang="en-US"/>
        </a:p>
      </c:txPr>
    </c:legend>
    <c:plotVisOnly val="1"/>
    <c:dispBlanksAs val="gap"/>
  </c:chart>
  <c:spPr>
    <a:ln>
      <a:noFill/>
    </a:ln>
  </c:spPr>
  <c:txPr>
    <a:bodyPr/>
    <a:lstStyle/>
    <a:p>
      <a:pPr>
        <a:defRPr sz="800" b="1">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04E5B-FF38-40FB-84CB-B019FD15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Paper_template</Template>
  <TotalTime>1</TotalTime>
  <Pages>11</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thanhnx</cp:lastModifiedBy>
  <cp:revision>2</cp:revision>
  <cp:lastPrinted>2015-08-28T09:28:00Z</cp:lastPrinted>
  <dcterms:created xsi:type="dcterms:W3CDTF">2015-08-31T04:13:00Z</dcterms:created>
  <dcterms:modified xsi:type="dcterms:W3CDTF">2015-08-31T04:13:00Z</dcterms:modified>
</cp:coreProperties>
</file>