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900767" w:rsidRPr="005C6A26" w:rsidTr="00B0278F">
        <w:trPr>
          <w:jc w:val="center"/>
        </w:trPr>
        <w:tc>
          <w:tcPr>
            <w:tcW w:w="3556" w:type="dxa"/>
          </w:tcPr>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 xml:space="preserve">ỦY BAN GIÁM SÁT </w:t>
            </w:r>
          </w:p>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TÀI CHÍNH QUỐC GIA</w:t>
            </w:r>
          </w:p>
          <w:p w:rsidR="00900767" w:rsidRPr="005C6A26" w:rsidRDefault="002C45B7" w:rsidP="00BC5190">
            <w:pPr>
              <w:widowControl w:val="0"/>
              <w:spacing w:after="0"/>
              <w:ind w:firstLine="0"/>
              <w:jc w:val="center"/>
              <w:rPr>
                <w:sz w:val="26"/>
                <w:szCs w:val="26"/>
                <w:lang w:val="vi-VN"/>
              </w:rPr>
            </w:pPr>
            <w:r>
              <w:rPr>
                <w:noProof/>
                <w:sz w:val="26"/>
                <w:szCs w:val="26"/>
              </w:rPr>
              <w:pict>
                <v:line id="Line 2" o:spid="_x0000_s1026" style="position:absolute;left:0;text-align:left;z-index:251656192;visibility:visible;mso-wrap-distance-top:-1e-4mm;mso-wrap-distance-bottom:-1e-4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K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icLaYPkylGdHAlpBjyjHX+C9cdCkaJJVCOuOS0dT7wIMUQEq5ReiOk&#10;jLOWCvVQ7BSQg8dpKVhwxo097Ctp0YkEtcQvFvUuzOqjYhGs5YStb7YnQl5tuFyqgAeVAJ2bdZXD&#10;z0W6WM/X83yUT2brUZ7W9ejzpspHs032aVo/1FVVZ78CtSwvWsEYV4HdIM0s/7vR3x7JVVR3cd7b&#10;kLxFj/0CssM/ko6jDNO76mCv2WVnhxGDGmPw7eUEub/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0IYwig8CAAAn&#10;BAAADgAAAAAAAAAAAAAAAAAuAgAAZHJzL2Uyb0RvYy54bWxQSwECLQAUAAYACAAAACEAqGCNOtoA&#10;AAAHAQAADwAAAAAAAAAAAAAAAABpBAAAZHJzL2Rvd25yZXYueG1sUEsFBgAAAAAEAAQA8wAAAHAF&#10;AAAAAA==&#10;"/>
              </w:pict>
            </w:r>
          </w:p>
          <w:p w:rsidR="00900767" w:rsidRPr="005C6A26" w:rsidRDefault="00900767" w:rsidP="00BC5190">
            <w:pPr>
              <w:widowControl w:val="0"/>
              <w:spacing w:after="0"/>
              <w:ind w:firstLine="0"/>
              <w:jc w:val="center"/>
              <w:rPr>
                <w:sz w:val="26"/>
                <w:szCs w:val="26"/>
                <w:lang w:val="vi-VN"/>
              </w:rPr>
            </w:pPr>
            <w:r w:rsidRPr="005C6A26">
              <w:rPr>
                <w:sz w:val="26"/>
                <w:szCs w:val="26"/>
                <w:lang w:val="vi-VN"/>
              </w:rPr>
              <w:t>Số:        /</w:t>
            </w:r>
            <w:r w:rsidR="000E5F9F" w:rsidRPr="005C6A26">
              <w:rPr>
                <w:sz w:val="26"/>
                <w:szCs w:val="26"/>
              </w:rPr>
              <w:t>BC-</w:t>
            </w:r>
            <w:r w:rsidRPr="005C6A26">
              <w:rPr>
                <w:sz w:val="26"/>
                <w:szCs w:val="26"/>
                <w:lang w:val="vi-VN"/>
              </w:rPr>
              <w:t>UBGSTCQG</w:t>
            </w:r>
          </w:p>
        </w:tc>
        <w:tc>
          <w:tcPr>
            <w:tcW w:w="6488" w:type="dxa"/>
          </w:tcPr>
          <w:p w:rsidR="00900767" w:rsidRPr="005C6A26" w:rsidRDefault="00900767" w:rsidP="00BC5190">
            <w:pPr>
              <w:widowControl w:val="0"/>
              <w:spacing w:after="0"/>
              <w:jc w:val="center"/>
              <w:rPr>
                <w:b/>
                <w:bCs/>
                <w:sz w:val="26"/>
                <w:szCs w:val="26"/>
                <w:lang w:val="vi-VN"/>
              </w:rPr>
            </w:pPr>
            <w:r w:rsidRPr="005C6A26">
              <w:rPr>
                <w:b/>
                <w:bCs/>
                <w:sz w:val="26"/>
                <w:szCs w:val="26"/>
                <w:lang w:val="vi-VN"/>
              </w:rPr>
              <w:t>CỘNG HÒA XÃ HỘI CHỦ NGHĨA VIỆT NAM</w:t>
            </w:r>
          </w:p>
          <w:p w:rsidR="00900767" w:rsidRPr="005C6A26" w:rsidRDefault="00900767" w:rsidP="00BC5190">
            <w:pPr>
              <w:widowControl w:val="0"/>
              <w:spacing w:after="0"/>
              <w:jc w:val="center"/>
              <w:rPr>
                <w:b/>
                <w:bCs/>
                <w:sz w:val="26"/>
                <w:szCs w:val="26"/>
                <w:lang w:val="vi-VN"/>
              </w:rPr>
            </w:pPr>
            <w:r w:rsidRPr="005C6A26">
              <w:rPr>
                <w:b/>
                <w:bCs/>
                <w:sz w:val="26"/>
                <w:szCs w:val="26"/>
                <w:lang w:val="vi-VN"/>
              </w:rPr>
              <w:t>Độc lập - Tự do - Hạnh phúc</w:t>
            </w:r>
          </w:p>
          <w:p w:rsidR="00900767" w:rsidRPr="005C6A26" w:rsidRDefault="002C45B7" w:rsidP="00BC5190">
            <w:pPr>
              <w:widowControl w:val="0"/>
              <w:spacing w:after="0"/>
              <w:ind w:left="397"/>
              <w:jc w:val="right"/>
              <w:rPr>
                <w:i/>
                <w:iCs/>
                <w:sz w:val="26"/>
                <w:szCs w:val="26"/>
              </w:rPr>
            </w:pPr>
            <w:r w:rsidRPr="002C45B7">
              <w:rPr>
                <w:noProof/>
                <w:sz w:val="26"/>
                <w:szCs w:val="26"/>
              </w:rPr>
              <w:pict>
                <v:line id="Line 3" o:spid="_x0000_s1028" style="position:absolute;left:0;text-align:left;z-index:251657216;visibility:visible;mso-wrap-distance-top:-1e-4mm;mso-wrap-distance-bottom:-1e-4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"/>
              </w:pict>
            </w:r>
            <w:r w:rsidR="00900767" w:rsidRPr="005C6A26">
              <w:rPr>
                <w:i/>
                <w:iCs/>
                <w:sz w:val="26"/>
                <w:szCs w:val="26"/>
                <w:lang w:val="vi-VN"/>
              </w:rPr>
              <w:t xml:space="preserve">      </w:t>
            </w:r>
          </w:p>
          <w:p w:rsidR="00900767" w:rsidRPr="00BA4FFA" w:rsidRDefault="00900767" w:rsidP="00BC5190">
            <w:pPr>
              <w:widowControl w:val="0"/>
              <w:spacing w:after="0"/>
              <w:ind w:firstLine="0"/>
              <w:jc w:val="right"/>
              <w:rPr>
                <w:i/>
                <w:iCs/>
                <w:sz w:val="26"/>
                <w:szCs w:val="26"/>
              </w:rPr>
            </w:pPr>
            <w:r w:rsidRPr="005C6A26">
              <w:rPr>
                <w:i/>
                <w:iCs/>
                <w:sz w:val="26"/>
                <w:szCs w:val="26"/>
                <w:lang w:val="vi-VN"/>
              </w:rPr>
              <w:t>Hà Nội, ngày</w:t>
            </w:r>
            <w:r w:rsidR="00B0278F" w:rsidRPr="005C6A26">
              <w:rPr>
                <w:i/>
                <w:iCs/>
                <w:sz w:val="26"/>
                <w:szCs w:val="26"/>
              </w:rPr>
              <w:t xml:space="preserve"> </w:t>
            </w:r>
            <w:r w:rsidR="00823999" w:rsidRPr="005C6A26">
              <w:rPr>
                <w:i/>
                <w:iCs/>
                <w:sz w:val="26"/>
                <w:szCs w:val="26"/>
              </w:rPr>
              <w:t>2</w:t>
            </w:r>
            <w:r w:rsidR="00772E0C">
              <w:rPr>
                <w:i/>
                <w:iCs/>
                <w:sz w:val="26"/>
                <w:szCs w:val="26"/>
              </w:rPr>
              <w:t>6</w:t>
            </w:r>
            <w:r w:rsidR="008D56AC">
              <w:rPr>
                <w:i/>
                <w:iCs/>
                <w:sz w:val="26"/>
                <w:szCs w:val="26"/>
              </w:rPr>
              <w:t xml:space="preserve"> </w:t>
            </w:r>
            <w:r w:rsidRPr="005C6A26">
              <w:rPr>
                <w:i/>
                <w:iCs/>
                <w:sz w:val="26"/>
                <w:szCs w:val="26"/>
                <w:lang w:val="vi-VN"/>
              </w:rPr>
              <w:t>tháng</w:t>
            </w:r>
            <w:r w:rsidR="00BA4FFA">
              <w:rPr>
                <w:i/>
                <w:iCs/>
                <w:sz w:val="26"/>
                <w:szCs w:val="26"/>
              </w:rPr>
              <w:t xml:space="preserve"> 0</w:t>
            </w:r>
            <w:r w:rsidR="001B559D">
              <w:rPr>
                <w:i/>
                <w:iCs/>
                <w:sz w:val="26"/>
                <w:szCs w:val="26"/>
              </w:rPr>
              <w:t>1</w:t>
            </w:r>
            <w:r w:rsidR="00D63CF0" w:rsidRPr="005C6A26">
              <w:rPr>
                <w:i/>
                <w:iCs/>
                <w:sz w:val="26"/>
                <w:szCs w:val="26"/>
              </w:rPr>
              <w:t xml:space="preserve"> </w:t>
            </w:r>
            <w:r w:rsidRPr="005C6A26">
              <w:rPr>
                <w:i/>
                <w:iCs/>
                <w:sz w:val="26"/>
                <w:szCs w:val="26"/>
                <w:lang w:val="vi-VN"/>
              </w:rPr>
              <w:t>năm 201</w:t>
            </w:r>
            <w:r w:rsidR="00BA4FFA">
              <w:rPr>
                <w:i/>
                <w:iCs/>
                <w:sz w:val="26"/>
                <w:szCs w:val="26"/>
              </w:rPr>
              <w:t>6</w:t>
            </w:r>
          </w:p>
        </w:tc>
      </w:tr>
    </w:tbl>
    <w:p w:rsidR="00900767" w:rsidRPr="005C6A26" w:rsidRDefault="00900767" w:rsidP="00BC5190">
      <w:pPr>
        <w:rPr>
          <w:sz w:val="26"/>
          <w:szCs w:val="26"/>
        </w:rPr>
      </w:pPr>
    </w:p>
    <w:p w:rsidR="00900767" w:rsidRPr="005C6A26" w:rsidRDefault="00900767" w:rsidP="00BC5190">
      <w:pPr>
        <w:ind w:firstLine="0"/>
        <w:jc w:val="center"/>
        <w:rPr>
          <w:b/>
          <w:sz w:val="26"/>
          <w:szCs w:val="26"/>
        </w:rPr>
      </w:pPr>
    </w:p>
    <w:p w:rsidR="00F22114" w:rsidRPr="005C6A26" w:rsidRDefault="00F22114" w:rsidP="00BC5190">
      <w:pPr>
        <w:spacing w:before="120"/>
        <w:ind w:firstLine="0"/>
        <w:jc w:val="center"/>
        <w:rPr>
          <w:b/>
          <w:sz w:val="26"/>
          <w:szCs w:val="26"/>
        </w:rPr>
      </w:pPr>
      <w:r w:rsidRPr="005C6A26">
        <w:rPr>
          <w:b/>
          <w:sz w:val="26"/>
          <w:szCs w:val="26"/>
          <w:lang w:val="vi-VN"/>
        </w:rPr>
        <w:t>BÁO CÁO</w:t>
      </w:r>
    </w:p>
    <w:p w:rsidR="00F22114" w:rsidRPr="005C6A26" w:rsidRDefault="00F22114" w:rsidP="00BC5190">
      <w:pPr>
        <w:spacing w:before="120"/>
        <w:ind w:firstLine="0"/>
        <w:jc w:val="center"/>
        <w:rPr>
          <w:b/>
          <w:sz w:val="26"/>
          <w:szCs w:val="26"/>
        </w:rPr>
      </w:pPr>
      <w:r w:rsidRPr="005C6A26">
        <w:rPr>
          <w:b/>
          <w:sz w:val="26"/>
          <w:szCs w:val="26"/>
        </w:rPr>
        <w:t xml:space="preserve">TÌNH HÌNH KINH TẾ THÁNG </w:t>
      </w:r>
      <w:r w:rsidR="00BA4FFA">
        <w:rPr>
          <w:b/>
          <w:sz w:val="26"/>
          <w:szCs w:val="26"/>
        </w:rPr>
        <w:t xml:space="preserve">01 NĂM </w:t>
      </w:r>
      <w:r w:rsidRPr="005C6A26">
        <w:rPr>
          <w:b/>
          <w:sz w:val="26"/>
          <w:szCs w:val="26"/>
        </w:rPr>
        <w:t>201</w:t>
      </w:r>
      <w:r w:rsidR="00BA4FFA">
        <w:rPr>
          <w:b/>
          <w:sz w:val="26"/>
          <w:szCs w:val="26"/>
        </w:rPr>
        <w:t>6</w:t>
      </w:r>
    </w:p>
    <w:p w:rsidR="00F22114" w:rsidRPr="005C6A26" w:rsidRDefault="00F22114" w:rsidP="00BC5190">
      <w:pPr>
        <w:pStyle w:val="Footer"/>
        <w:spacing w:before="120"/>
        <w:ind w:firstLine="0"/>
        <w:jc w:val="center"/>
        <w:rPr>
          <w:i/>
          <w:sz w:val="26"/>
          <w:szCs w:val="26"/>
        </w:rPr>
      </w:pPr>
      <w:r w:rsidRPr="005C6A26">
        <w:rPr>
          <w:i/>
          <w:sz w:val="26"/>
          <w:szCs w:val="26"/>
          <w:lang w:val="vi-VN"/>
        </w:rPr>
        <w:t xml:space="preserve">(Tài liệu phục vụ </w:t>
      </w:r>
      <w:r w:rsidRPr="005C6A26">
        <w:rPr>
          <w:i/>
          <w:sz w:val="26"/>
          <w:szCs w:val="26"/>
        </w:rPr>
        <w:t>phiên họp</w:t>
      </w:r>
      <w:r w:rsidR="00D63CF0" w:rsidRPr="005C6A26">
        <w:rPr>
          <w:i/>
          <w:sz w:val="26"/>
          <w:szCs w:val="26"/>
        </w:rPr>
        <w:t xml:space="preserve"> Chính phủ tháng</w:t>
      </w:r>
      <w:r w:rsidR="00BA4FFA">
        <w:rPr>
          <w:i/>
          <w:sz w:val="26"/>
          <w:szCs w:val="26"/>
        </w:rPr>
        <w:t xml:space="preserve"> 0</w:t>
      </w:r>
      <w:r w:rsidR="001B559D">
        <w:rPr>
          <w:i/>
          <w:sz w:val="26"/>
          <w:szCs w:val="26"/>
        </w:rPr>
        <w:t>1</w:t>
      </w:r>
      <w:r w:rsidRPr="005C6A26">
        <w:rPr>
          <w:i/>
          <w:sz w:val="26"/>
          <w:szCs w:val="26"/>
        </w:rPr>
        <w:t>/201</w:t>
      </w:r>
      <w:r w:rsidR="00BA4FFA">
        <w:rPr>
          <w:i/>
          <w:sz w:val="26"/>
          <w:szCs w:val="26"/>
        </w:rPr>
        <w:t>6</w:t>
      </w:r>
      <w:r w:rsidRPr="005C6A26">
        <w:rPr>
          <w:i/>
          <w:sz w:val="26"/>
          <w:szCs w:val="26"/>
          <w:lang w:val="vi-VN"/>
        </w:rPr>
        <w:t>)</w:t>
      </w:r>
    </w:p>
    <w:p w:rsidR="00900767" w:rsidRPr="005C6A26" w:rsidRDefault="00900767" w:rsidP="00BC5190">
      <w:pPr>
        <w:pStyle w:val="Footer"/>
        <w:spacing w:before="120"/>
        <w:ind w:firstLine="0"/>
        <w:jc w:val="center"/>
        <w:rPr>
          <w:i/>
          <w:sz w:val="26"/>
          <w:szCs w:val="26"/>
        </w:rPr>
      </w:pPr>
    </w:p>
    <w:p w:rsidR="006F39AD" w:rsidRPr="00CD2422" w:rsidRDefault="00CD2422" w:rsidP="00907DF7">
      <w:pPr>
        <w:pStyle w:val="Footer"/>
        <w:numPr>
          <w:ilvl w:val="0"/>
          <w:numId w:val="13"/>
        </w:numPr>
        <w:spacing w:before="120" w:line="360" w:lineRule="auto"/>
        <w:ind w:left="851" w:hanging="567"/>
        <w:rPr>
          <w:i/>
          <w:sz w:val="26"/>
          <w:szCs w:val="26"/>
          <w:lang w:val="de-DE"/>
        </w:rPr>
      </w:pPr>
      <w:r w:rsidRPr="00CD2422">
        <w:rPr>
          <w:i/>
          <w:sz w:val="26"/>
          <w:szCs w:val="26"/>
        </w:rPr>
        <w:t xml:space="preserve">Ngay trong những ngày đầu năm </w:t>
      </w:r>
      <w:r w:rsidRPr="00CD2422">
        <w:rPr>
          <w:i/>
          <w:sz w:val="26"/>
          <w:szCs w:val="26"/>
          <w:lang w:val="de-DE"/>
        </w:rPr>
        <w:t xml:space="preserve">2016, IMF và WB lần lượt hạ dự báo tăng trưởng kinh tế toàn cầu </w:t>
      </w:r>
      <w:r w:rsidR="00907DF7">
        <w:rPr>
          <w:i/>
          <w:sz w:val="26"/>
          <w:szCs w:val="26"/>
          <w:lang w:val="de-DE"/>
        </w:rPr>
        <w:t xml:space="preserve">so với </w:t>
      </w:r>
      <w:r w:rsidRPr="00CD2422">
        <w:rPr>
          <w:i/>
          <w:sz w:val="26"/>
          <w:szCs w:val="26"/>
          <w:lang w:val="de-DE"/>
        </w:rPr>
        <w:t>các báo cáo trước đó bởi kết quả tăng trưởng đáng thất vọng và bất ổn địa chính trị gia tăng tại nhiều khu vực và nền kinh tế. Bên cạnh đó, giá dầu và hàng hóa thế giới tiếp tục giảm mạnh: Giá dầu</w:t>
      </w:r>
      <w:r w:rsidRPr="00CD2422">
        <w:rPr>
          <w:b/>
          <w:i/>
          <w:sz w:val="26"/>
          <w:szCs w:val="26"/>
          <w:lang w:val="de-DE"/>
        </w:rPr>
        <w:t xml:space="preserve"> </w:t>
      </w:r>
      <w:r w:rsidRPr="00CD2422">
        <w:rPr>
          <w:i/>
          <w:sz w:val="26"/>
          <w:szCs w:val="26"/>
          <w:lang w:val="de-DE"/>
        </w:rPr>
        <w:t xml:space="preserve">giảm xuống mức thấp nhất </w:t>
      </w:r>
      <w:r w:rsidRPr="00CD2422">
        <w:rPr>
          <w:i/>
          <w:color w:val="000000" w:themeColor="text1"/>
          <w:sz w:val="26"/>
          <w:szCs w:val="26"/>
          <w:lang w:val="de-DE"/>
        </w:rPr>
        <w:t>kể từ năm 2003, gi</w:t>
      </w:r>
      <w:r w:rsidR="00546FC0">
        <w:rPr>
          <w:i/>
          <w:color w:val="000000" w:themeColor="text1"/>
          <w:sz w:val="26"/>
          <w:szCs w:val="26"/>
          <w:lang w:val="de-DE"/>
        </w:rPr>
        <w:t>á hàng hóa cơ bản khác giảm sâu</w:t>
      </w:r>
      <w:r w:rsidRPr="00CD2422">
        <w:rPr>
          <w:i/>
          <w:color w:val="000000" w:themeColor="text1"/>
          <w:sz w:val="26"/>
          <w:szCs w:val="26"/>
          <w:lang w:val="de-DE"/>
        </w:rPr>
        <w:t xml:space="preserve">. </w:t>
      </w:r>
    </w:p>
    <w:p w:rsidR="006F39AD" w:rsidRPr="00CD2422" w:rsidRDefault="00546FC0" w:rsidP="00907DF7">
      <w:pPr>
        <w:pStyle w:val="Footer"/>
        <w:numPr>
          <w:ilvl w:val="0"/>
          <w:numId w:val="13"/>
        </w:numPr>
        <w:spacing w:before="120" w:line="360" w:lineRule="auto"/>
        <w:ind w:left="851" w:hanging="567"/>
        <w:rPr>
          <w:i/>
          <w:sz w:val="26"/>
          <w:szCs w:val="26"/>
          <w:lang w:val="de-DE"/>
        </w:rPr>
      </w:pPr>
      <w:r>
        <w:rPr>
          <w:i/>
          <w:sz w:val="26"/>
          <w:szCs w:val="26"/>
          <w:lang w:val="de-DE"/>
        </w:rPr>
        <w:t xml:space="preserve">Mức độ cải thiện tăng trưởng năm 2016 sẽ không cao như năm 2015 do bên cạnh một số thuận lợi (hội nhập, đầu tư khu vực tư nhân và FDI, cải thiện môi trường kinh doanh) thì nền kinh tế còn đối mặt với thách thức từ </w:t>
      </w:r>
      <w:r w:rsidR="001E2444">
        <w:rPr>
          <w:i/>
          <w:sz w:val="26"/>
          <w:szCs w:val="26"/>
          <w:lang w:val="de-DE"/>
        </w:rPr>
        <w:t>môi trường kinh tế thế giới và khó khăn của một số khu vực kinh tế trong nước.</w:t>
      </w:r>
    </w:p>
    <w:p w:rsidR="001E2444" w:rsidRDefault="001E2444" w:rsidP="00907DF7">
      <w:pPr>
        <w:pStyle w:val="Footer"/>
        <w:numPr>
          <w:ilvl w:val="0"/>
          <w:numId w:val="13"/>
        </w:numPr>
        <w:spacing w:before="120" w:line="360" w:lineRule="auto"/>
        <w:ind w:left="851" w:hanging="567"/>
        <w:rPr>
          <w:i/>
          <w:sz w:val="26"/>
          <w:szCs w:val="26"/>
          <w:lang w:val="de-DE"/>
        </w:rPr>
      </w:pPr>
      <w:r>
        <w:rPr>
          <w:i/>
          <w:sz w:val="26"/>
          <w:szCs w:val="26"/>
          <w:lang w:val="de-DE"/>
        </w:rPr>
        <w:t xml:space="preserve">Lạm phát thấp và ổn định. Tỷ giá giảm nhẹ trong tháng đầu năm do cầu ngoại tệ giảm (yếu tố mùa vụ và chính sách lãi suất ngoại tệ) trong khi cung ngoại tệ khá tốt (kiều hối và giải ngân đầu tư). </w:t>
      </w:r>
    </w:p>
    <w:p w:rsidR="001E2444" w:rsidRDefault="001E2444" w:rsidP="00907DF7">
      <w:pPr>
        <w:pStyle w:val="Footer"/>
        <w:numPr>
          <w:ilvl w:val="0"/>
          <w:numId w:val="13"/>
        </w:numPr>
        <w:spacing w:before="120" w:line="360" w:lineRule="auto"/>
        <w:ind w:left="851" w:hanging="567"/>
        <w:rPr>
          <w:i/>
          <w:sz w:val="26"/>
          <w:szCs w:val="26"/>
          <w:lang w:val="de-DE"/>
        </w:rPr>
      </w:pPr>
      <w:r>
        <w:rPr>
          <w:i/>
          <w:sz w:val="26"/>
          <w:szCs w:val="26"/>
          <w:lang w:val="de-DE"/>
        </w:rPr>
        <w:t>Khu vực ngân hàng ổn định, tín dụng tăng khá, thanh khoản tốt, hiệu quả kinh do</w:t>
      </w:r>
      <w:r w:rsidR="00601255">
        <w:rPr>
          <w:i/>
          <w:sz w:val="26"/>
          <w:szCs w:val="26"/>
          <w:lang w:val="de-DE"/>
        </w:rPr>
        <w:t xml:space="preserve">anh phục hồi nhẹ với 2014. </w:t>
      </w:r>
    </w:p>
    <w:p w:rsidR="006F39AD" w:rsidRPr="00CD2422" w:rsidRDefault="001E2444" w:rsidP="00907DF7">
      <w:pPr>
        <w:pStyle w:val="Footer"/>
        <w:numPr>
          <w:ilvl w:val="0"/>
          <w:numId w:val="13"/>
        </w:numPr>
        <w:spacing w:before="120" w:line="360" w:lineRule="auto"/>
        <w:ind w:left="851" w:hanging="567"/>
        <w:rPr>
          <w:i/>
          <w:sz w:val="26"/>
          <w:szCs w:val="26"/>
          <w:lang w:val="de-DE"/>
        </w:rPr>
      </w:pPr>
      <w:r>
        <w:rPr>
          <w:i/>
          <w:sz w:val="26"/>
          <w:szCs w:val="26"/>
          <w:lang w:val="de-DE"/>
        </w:rPr>
        <w:t xml:space="preserve">Thu ngân sách chịu nhiều áp lực do giá dầu giảm. </w:t>
      </w:r>
    </w:p>
    <w:p w:rsidR="00F7112F" w:rsidRPr="00CD2422" w:rsidRDefault="00F7112F" w:rsidP="00BC5190">
      <w:pPr>
        <w:pStyle w:val="Footer"/>
        <w:spacing w:before="120"/>
        <w:ind w:firstLine="0"/>
        <w:rPr>
          <w:i/>
          <w:sz w:val="26"/>
          <w:szCs w:val="26"/>
          <w:lang w:val="de-DE"/>
        </w:rPr>
      </w:pPr>
    </w:p>
    <w:p w:rsidR="00F22114" w:rsidRPr="00CD2422" w:rsidRDefault="00F22114" w:rsidP="00BC5190">
      <w:pPr>
        <w:spacing w:after="200"/>
        <w:ind w:firstLine="0"/>
        <w:jc w:val="left"/>
        <w:rPr>
          <w:b/>
          <w:sz w:val="26"/>
          <w:szCs w:val="26"/>
          <w:lang w:val="de-DE"/>
        </w:rPr>
      </w:pPr>
      <w:r w:rsidRPr="00CD2422">
        <w:rPr>
          <w:b/>
          <w:sz w:val="26"/>
          <w:szCs w:val="26"/>
          <w:lang w:val="de-DE"/>
        </w:rPr>
        <w:br w:type="page"/>
      </w:r>
    </w:p>
    <w:p w:rsidR="005926AC" w:rsidRPr="006C7196" w:rsidRDefault="005926AC" w:rsidP="006C7196">
      <w:pPr>
        <w:pStyle w:val="Footer"/>
        <w:numPr>
          <w:ilvl w:val="0"/>
          <w:numId w:val="12"/>
        </w:numPr>
        <w:tabs>
          <w:tab w:val="left" w:pos="284"/>
          <w:tab w:val="left" w:pos="567"/>
        </w:tabs>
        <w:spacing w:before="120" w:line="312" w:lineRule="auto"/>
        <w:ind w:hanging="1080"/>
        <w:rPr>
          <w:b/>
          <w:sz w:val="26"/>
          <w:szCs w:val="26"/>
        </w:rPr>
      </w:pPr>
      <w:r w:rsidRPr="006C7196">
        <w:rPr>
          <w:b/>
          <w:sz w:val="26"/>
          <w:szCs w:val="26"/>
        </w:rPr>
        <w:lastRenderedPageBreak/>
        <w:t>KINH TẾ THẾ GIỚI</w:t>
      </w:r>
      <w:r w:rsidR="008D2284" w:rsidRPr="006C7196">
        <w:rPr>
          <w:b/>
          <w:sz w:val="26"/>
          <w:szCs w:val="26"/>
        </w:rPr>
        <w:t xml:space="preserve"> </w:t>
      </w:r>
    </w:p>
    <w:p w:rsidR="00A750DC" w:rsidRPr="006C7196" w:rsidRDefault="00A750DC" w:rsidP="006C7196">
      <w:pPr>
        <w:pStyle w:val="Footer"/>
        <w:numPr>
          <w:ilvl w:val="0"/>
          <w:numId w:val="23"/>
        </w:numPr>
        <w:tabs>
          <w:tab w:val="left" w:pos="284"/>
          <w:tab w:val="left" w:pos="567"/>
        </w:tabs>
        <w:spacing w:before="120" w:line="312" w:lineRule="auto"/>
        <w:ind w:left="426" w:hanging="426"/>
        <w:rPr>
          <w:b/>
          <w:sz w:val="26"/>
          <w:szCs w:val="26"/>
        </w:rPr>
      </w:pPr>
      <w:r w:rsidRPr="006C7196">
        <w:rPr>
          <w:b/>
          <w:sz w:val="26"/>
          <w:szCs w:val="26"/>
        </w:rPr>
        <w:t>Tăng trưởng kinh tế</w:t>
      </w:r>
    </w:p>
    <w:p w:rsidR="00BC5190" w:rsidRPr="006C7196" w:rsidRDefault="00CA50F0" w:rsidP="006C7196">
      <w:pPr>
        <w:spacing w:before="120" w:line="312" w:lineRule="auto"/>
        <w:rPr>
          <w:sz w:val="26"/>
          <w:szCs w:val="26"/>
          <w:lang w:val="de-DE"/>
        </w:rPr>
      </w:pPr>
      <w:r>
        <w:rPr>
          <w:sz w:val="26"/>
          <w:szCs w:val="26"/>
        </w:rPr>
        <w:t xml:space="preserve">Ngay trong những ngày đầu năm </w:t>
      </w:r>
      <w:r>
        <w:rPr>
          <w:sz w:val="26"/>
          <w:szCs w:val="26"/>
          <w:lang w:val="de-DE"/>
        </w:rPr>
        <w:t xml:space="preserve">2016, </w:t>
      </w:r>
      <w:r w:rsidR="005B733A" w:rsidRPr="006C7196">
        <w:rPr>
          <w:sz w:val="26"/>
          <w:szCs w:val="26"/>
          <w:lang w:val="de-DE"/>
        </w:rPr>
        <w:t>IMF</w:t>
      </w:r>
      <w:r w:rsidR="005B733A" w:rsidRPr="006C7196">
        <w:rPr>
          <w:rStyle w:val="FootnoteReference"/>
          <w:sz w:val="26"/>
          <w:szCs w:val="26"/>
          <w:lang w:val="de-DE"/>
        </w:rPr>
        <w:footnoteReference w:id="1"/>
      </w:r>
      <w:r w:rsidR="005B733A" w:rsidRPr="006C7196">
        <w:rPr>
          <w:sz w:val="26"/>
          <w:szCs w:val="26"/>
          <w:lang w:val="de-DE"/>
        </w:rPr>
        <w:t xml:space="preserve"> và WB</w:t>
      </w:r>
      <w:r w:rsidR="005B733A" w:rsidRPr="006C7196">
        <w:rPr>
          <w:rStyle w:val="FootnoteReference"/>
          <w:sz w:val="26"/>
          <w:szCs w:val="26"/>
          <w:lang w:val="de-DE"/>
        </w:rPr>
        <w:footnoteReference w:id="2"/>
      </w:r>
      <w:r w:rsidR="005B733A" w:rsidRPr="006C7196">
        <w:rPr>
          <w:sz w:val="26"/>
          <w:szCs w:val="26"/>
          <w:lang w:val="de-DE"/>
        </w:rPr>
        <w:t xml:space="preserve"> lần lượt hạ dự báo tăng trưởng kinh tế toàn cầu năm 2016 xuống còn 3,4% và 2,9% giảm so với mức 3,6% và 3,3% trong các báo cáo trước đó</w:t>
      </w:r>
      <w:r w:rsidR="001C1409">
        <w:rPr>
          <w:sz w:val="26"/>
          <w:szCs w:val="26"/>
          <w:lang w:val="de-DE"/>
        </w:rPr>
        <w:t xml:space="preserve"> bởi kết quả tăng trưởng đáng thất vọng và </w:t>
      </w:r>
      <w:r w:rsidR="00CD2422">
        <w:rPr>
          <w:sz w:val="26"/>
          <w:szCs w:val="26"/>
          <w:lang w:val="de-DE"/>
        </w:rPr>
        <w:t>bất ổn địa chính trị gia tăng tại nhiều khu vực và nền kinh tế</w:t>
      </w:r>
      <w:r w:rsidR="00603070" w:rsidRPr="006C7196">
        <w:rPr>
          <w:sz w:val="26"/>
          <w:szCs w:val="26"/>
          <w:lang w:val="de-DE"/>
        </w:rPr>
        <w:t>. Tăng trưởng kinh tế tại các nền kinh tế mới nổi ảm đạm đã kéo mức tăng trưởng toàn cầu sụt giảm</w:t>
      </w:r>
      <w:r w:rsidR="00767386" w:rsidRPr="006C7196">
        <w:rPr>
          <w:sz w:val="26"/>
          <w:szCs w:val="26"/>
          <w:lang w:val="de-DE"/>
        </w:rPr>
        <w:t>; các nền kinh tế mới nổi và khu vực ASEAN-5 được IMF dự báo tăng trưởng lần lượt là 4,3% và 4,8% trong năm nay giảm lần lượt 0,2% và 0,1% so với các dự báo đưa ra trước đó</w:t>
      </w:r>
      <w:r w:rsidR="00603070" w:rsidRPr="006C7196">
        <w:rPr>
          <w:sz w:val="26"/>
          <w:szCs w:val="26"/>
          <w:lang w:val="de-DE"/>
        </w:rPr>
        <w:t xml:space="preserve">. </w:t>
      </w:r>
      <w:r w:rsidR="005B733A" w:rsidRPr="006C7196">
        <w:rPr>
          <w:sz w:val="26"/>
          <w:szCs w:val="26"/>
          <w:lang w:val="de-DE"/>
        </w:rPr>
        <w:t>Hoạt động thương mại toàn cầu cũng được IMF hạ dự báo xuống mức 3,4% (giảm mạnh so với mức 4,1% trong báo cáo trước đó).</w:t>
      </w:r>
    </w:p>
    <w:p w:rsidR="005B733A" w:rsidRPr="006C7196" w:rsidRDefault="00767386" w:rsidP="006C7196">
      <w:pPr>
        <w:spacing w:before="120" w:line="312" w:lineRule="auto"/>
        <w:rPr>
          <w:sz w:val="26"/>
          <w:szCs w:val="26"/>
          <w:lang w:val="de-DE"/>
        </w:rPr>
      </w:pPr>
      <w:r w:rsidRPr="006C7196">
        <w:rPr>
          <w:b/>
          <w:i/>
          <w:sz w:val="26"/>
          <w:szCs w:val="26"/>
          <w:lang w:val="de-DE"/>
        </w:rPr>
        <w:t>Mỹ,</w:t>
      </w:r>
      <w:r w:rsidRPr="006C7196">
        <w:rPr>
          <w:sz w:val="26"/>
          <w:szCs w:val="26"/>
          <w:lang w:val="de-DE"/>
        </w:rPr>
        <w:t xml:space="preserve"> IMF hạ 0,1 điểm % dự báo tăng trưởng nước này </w:t>
      </w:r>
      <w:r w:rsidR="007053CE" w:rsidRPr="006C7196">
        <w:rPr>
          <w:sz w:val="26"/>
          <w:szCs w:val="26"/>
          <w:lang w:val="de-DE"/>
        </w:rPr>
        <w:t>xuống còn 2,1% trong năm 2016; t</w:t>
      </w:r>
      <w:r w:rsidRPr="006C7196">
        <w:rPr>
          <w:sz w:val="26"/>
          <w:szCs w:val="26"/>
          <w:lang w:val="de-DE"/>
        </w:rPr>
        <w:t xml:space="preserve">uy nhiên, </w:t>
      </w:r>
      <w:r w:rsidR="001C1409">
        <w:rPr>
          <w:sz w:val="26"/>
          <w:szCs w:val="26"/>
          <w:lang w:val="de-DE"/>
        </w:rPr>
        <w:t xml:space="preserve">nền kinh tế </w:t>
      </w:r>
      <w:r w:rsidR="007053CE" w:rsidRPr="006C7196">
        <w:rPr>
          <w:sz w:val="26"/>
          <w:szCs w:val="26"/>
          <w:lang w:val="de-DE"/>
        </w:rPr>
        <w:t>nước này cũng</w:t>
      </w:r>
      <w:r w:rsidRPr="006C7196">
        <w:rPr>
          <w:sz w:val="26"/>
          <w:szCs w:val="26"/>
          <w:lang w:val="de-DE"/>
        </w:rPr>
        <w:t xml:space="preserve"> đã đón nhận thêm nhiều dấu hiệu tích cực</w:t>
      </w:r>
      <w:r w:rsidRPr="006C7196">
        <w:rPr>
          <w:rStyle w:val="FootnoteReference"/>
          <w:sz w:val="26"/>
          <w:szCs w:val="26"/>
          <w:lang w:val="de-DE"/>
        </w:rPr>
        <w:footnoteReference w:id="3"/>
      </w:r>
      <w:r w:rsidR="001C1409">
        <w:rPr>
          <w:sz w:val="26"/>
          <w:szCs w:val="26"/>
          <w:lang w:val="de-DE"/>
        </w:rPr>
        <w:t xml:space="preserve"> và vẫn là điểm sáng của tăng trưởng kinh tế toàn cầu</w:t>
      </w:r>
      <w:r w:rsidR="007053CE" w:rsidRPr="006C7196">
        <w:rPr>
          <w:sz w:val="26"/>
          <w:szCs w:val="26"/>
          <w:lang w:val="de-DE"/>
        </w:rPr>
        <w:t xml:space="preserve">. Trong quý 3/2015, </w:t>
      </w:r>
      <w:r w:rsidRPr="006C7196">
        <w:rPr>
          <w:sz w:val="26"/>
          <w:szCs w:val="26"/>
          <w:lang w:val="de-DE"/>
        </w:rPr>
        <w:t xml:space="preserve">GDP  tăng 2%, cao hơn dự báo trước đó; chi tiêu tiêu dùng tăng 3%; xuất khẩu </w:t>
      </w:r>
      <w:r w:rsidR="007053CE" w:rsidRPr="006C7196">
        <w:rPr>
          <w:sz w:val="26"/>
          <w:szCs w:val="26"/>
          <w:lang w:val="de-DE"/>
        </w:rPr>
        <w:t>tăng 0,7%; nhập khẩu tăng 0,9%. Chỉ số PMI t</w:t>
      </w:r>
      <w:r w:rsidR="001C1409">
        <w:rPr>
          <w:sz w:val="26"/>
          <w:szCs w:val="26"/>
          <w:lang w:val="de-DE"/>
        </w:rPr>
        <w:t xml:space="preserve">háng 12 cũng tăng lên 52,8 điểm, </w:t>
      </w:r>
      <w:r w:rsidR="007053CE" w:rsidRPr="006C7196">
        <w:rPr>
          <w:sz w:val="26"/>
          <w:szCs w:val="26"/>
          <w:lang w:val="de-DE"/>
        </w:rPr>
        <w:t>cao hơn tháng trước</w:t>
      </w:r>
      <w:r w:rsidR="001C1409">
        <w:rPr>
          <w:sz w:val="26"/>
          <w:szCs w:val="26"/>
          <w:lang w:val="de-DE"/>
        </w:rPr>
        <w:t xml:space="preserve"> (52,2 điểm)</w:t>
      </w:r>
      <w:r w:rsidR="007053CE" w:rsidRPr="006C7196">
        <w:rPr>
          <w:sz w:val="26"/>
          <w:szCs w:val="26"/>
          <w:lang w:val="de-DE"/>
        </w:rPr>
        <w:t>.</w:t>
      </w:r>
    </w:p>
    <w:p w:rsidR="007053CE" w:rsidRPr="006C7196" w:rsidRDefault="007053CE" w:rsidP="006C7196">
      <w:pPr>
        <w:spacing w:before="120" w:line="312" w:lineRule="auto"/>
        <w:rPr>
          <w:sz w:val="26"/>
          <w:szCs w:val="26"/>
          <w:lang w:val="de-DE"/>
        </w:rPr>
      </w:pPr>
      <w:r w:rsidRPr="006C7196">
        <w:rPr>
          <w:b/>
          <w:i/>
          <w:sz w:val="26"/>
          <w:szCs w:val="26"/>
          <w:lang w:val="de-DE"/>
        </w:rPr>
        <w:t>Châu Âu</w:t>
      </w:r>
      <w:r w:rsidRPr="006C7196">
        <w:rPr>
          <w:sz w:val="26"/>
          <w:szCs w:val="26"/>
          <w:lang w:val="de-DE"/>
        </w:rPr>
        <w:t>, được IMF dự bá</w:t>
      </w:r>
      <w:r w:rsidR="001C1409">
        <w:rPr>
          <w:sz w:val="26"/>
          <w:szCs w:val="26"/>
          <w:lang w:val="de-DE"/>
        </w:rPr>
        <w:t>o tăng trưởng 1,7% trong năm 2016,</w:t>
      </w:r>
      <w:r w:rsidRPr="006C7196">
        <w:rPr>
          <w:sz w:val="26"/>
          <w:szCs w:val="26"/>
          <w:lang w:val="de-DE"/>
        </w:rPr>
        <w:t xml:space="preserve"> tăng 0,1 điểm% so với dự báo trước</w:t>
      </w:r>
      <w:r w:rsidR="001C1409">
        <w:rPr>
          <w:sz w:val="26"/>
          <w:szCs w:val="26"/>
          <w:lang w:val="de-DE"/>
        </w:rPr>
        <w:t>; triển vọng phục hồi kinh tế của khu vực khả quan hơn</w:t>
      </w:r>
      <w:r w:rsidRPr="006C7196">
        <w:rPr>
          <w:sz w:val="26"/>
          <w:szCs w:val="26"/>
          <w:lang w:val="de-DE"/>
        </w:rPr>
        <w:t xml:space="preserve">. Tỷ lệ thất nghiệp giảm còn 10,5% trong tháng 11; chỉ số PMI tháng 12 tăng lên mức 53,2%. Tuy nhiên, khu vực này đang phải đối mặt với nguy cơ giảm phát khi lạm  phát  tháng 12/2015 </w:t>
      </w:r>
      <w:r w:rsidR="001C1409">
        <w:rPr>
          <w:sz w:val="26"/>
          <w:szCs w:val="26"/>
          <w:lang w:val="de-DE"/>
        </w:rPr>
        <w:t>chỉ ở mức</w:t>
      </w:r>
      <w:r w:rsidRPr="006C7196">
        <w:rPr>
          <w:sz w:val="26"/>
          <w:szCs w:val="26"/>
          <w:lang w:val="de-DE"/>
        </w:rPr>
        <w:t xml:space="preserve"> 0,2%</w:t>
      </w:r>
      <w:r w:rsidR="001C1409">
        <w:rPr>
          <w:sz w:val="26"/>
          <w:szCs w:val="26"/>
          <w:lang w:val="de-DE"/>
        </w:rPr>
        <w:t>,</w:t>
      </w:r>
      <w:r w:rsidRPr="006C7196">
        <w:rPr>
          <w:sz w:val="26"/>
          <w:szCs w:val="26"/>
          <w:lang w:val="de-DE"/>
        </w:rPr>
        <w:t xml:space="preserve"> </w:t>
      </w:r>
      <w:r w:rsidR="001C1409">
        <w:rPr>
          <w:sz w:val="26"/>
          <w:szCs w:val="26"/>
          <w:lang w:val="de-DE"/>
        </w:rPr>
        <w:t>thấp hơn nhiều so với mục tiêu</w:t>
      </w:r>
      <w:r w:rsidRPr="006C7196">
        <w:rPr>
          <w:sz w:val="26"/>
          <w:szCs w:val="26"/>
          <w:lang w:val="de-DE"/>
        </w:rPr>
        <w:t xml:space="preserve"> 2% đặt ra trước đó. </w:t>
      </w:r>
    </w:p>
    <w:p w:rsidR="005B733A" w:rsidRPr="0072362A" w:rsidRDefault="00A75AAD" w:rsidP="006C7196">
      <w:pPr>
        <w:spacing w:before="120" w:line="312" w:lineRule="auto"/>
        <w:rPr>
          <w:sz w:val="26"/>
          <w:szCs w:val="26"/>
          <w:lang w:val="de-DE"/>
        </w:rPr>
      </w:pPr>
      <w:r w:rsidRPr="0072362A">
        <w:rPr>
          <w:b/>
          <w:i/>
          <w:sz w:val="26"/>
          <w:szCs w:val="26"/>
          <w:lang w:val="de-DE"/>
        </w:rPr>
        <w:t>Nhật Bản,</w:t>
      </w:r>
      <w:r w:rsidRPr="006C7196">
        <w:rPr>
          <w:sz w:val="26"/>
          <w:szCs w:val="26"/>
          <w:lang w:val="de-DE"/>
        </w:rPr>
        <w:t xml:space="preserve"> </w:t>
      </w:r>
      <w:r w:rsidR="009E60B2">
        <w:rPr>
          <w:sz w:val="26"/>
          <w:szCs w:val="26"/>
          <w:lang w:val="de-DE"/>
        </w:rPr>
        <w:t>mặc dù còn nhiều khó khă</w:t>
      </w:r>
      <w:r w:rsidR="00D1291E">
        <w:rPr>
          <w:sz w:val="26"/>
          <w:szCs w:val="26"/>
          <w:lang w:val="de-DE"/>
        </w:rPr>
        <w:t>n trong năm 2015, IMF</w:t>
      </w:r>
      <w:r w:rsidR="00A14D12">
        <w:rPr>
          <w:sz w:val="26"/>
          <w:szCs w:val="26"/>
          <w:lang w:val="de-DE"/>
        </w:rPr>
        <w:t xml:space="preserve"> vẫn</w:t>
      </w:r>
      <w:r w:rsidR="00D1291E">
        <w:rPr>
          <w:sz w:val="26"/>
          <w:szCs w:val="26"/>
          <w:lang w:val="de-DE"/>
        </w:rPr>
        <w:t xml:space="preserve"> dự báo nước </w:t>
      </w:r>
      <w:r w:rsidR="00D1291E" w:rsidRPr="0072362A">
        <w:rPr>
          <w:sz w:val="26"/>
          <w:szCs w:val="26"/>
          <w:lang w:val="de-DE"/>
        </w:rPr>
        <w:t xml:space="preserve">này sẽ tăng trưởng 1% trong năm 2016 khi các chính sách nới lỏng tiền tệ </w:t>
      </w:r>
      <w:r w:rsidR="00A14D12">
        <w:rPr>
          <w:sz w:val="26"/>
          <w:szCs w:val="26"/>
          <w:lang w:val="de-DE"/>
        </w:rPr>
        <w:t xml:space="preserve">và chi tiêu công </w:t>
      </w:r>
      <w:r w:rsidR="00D1291E" w:rsidRPr="0072362A">
        <w:rPr>
          <w:sz w:val="26"/>
          <w:szCs w:val="26"/>
          <w:lang w:val="de-DE"/>
        </w:rPr>
        <w:t>phát huy tác dụng.</w:t>
      </w:r>
      <w:r w:rsidR="0072362A" w:rsidRPr="0072362A">
        <w:rPr>
          <w:sz w:val="26"/>
          <w:szCs w:val="26"/>
          <w:lang w:val="de-DE"/>
        </w:rPr>
        <w:t xml:space="preserve"> Ngoài chương trình mua tài sản khoảng 3.000 tỷ yen mỗi năm như hiện nay, BOJ sẽ xây dựng một chương trình mới, dự kiến triển khai vào tháng 4/2016, nhằm tăng quy mô quỹ mua tài sản (trong đó có cổ phiếu và trái phiếu) thêm khoảng 300 tỷ yen (tức 2,5 tỷ USD) mỗi năm.</w:t>
      </w:r>
      <w:r w:rsidR="0072362A" w:rsidRPr="0072362A">
        <w:rPr>
          <w:rStyle w:val="apple-converted-space"/>
          <w:sz w:val="22"/>
          <w:szCs w:val="22"/>
          <w:lang w:val="de-DE"/>
        </w:rPr>
        <w:t> </w:t>
      </w:r>
    </w:p>
    <w:p w:rsidR="00BC5190" w:rsidRPr="006C7196" w:rsidRDefault="00802DC1" w:rsidP="006C7196">
      <w:pPr>
        <w:spacing w:before="120" w:line="312" w:lineRule="auto"/>
        <w:rPr>
          <w:sz w:val="26"/>
          <w:szCs w:val="26"/>
          <w:lang w:val="de-DE"/>
        </w:rPr>
      </w:pPr>
      <w:r w:rsidRPr="006C7196">
        <w:rPr>
          <w:b/>
          <w:i/>
          <w:sz w:val="26"/>
          <w:szCs w:val="26"/>
          <w:lang w:val="de-DE"/>
        </w:rPr>
        <w:t>Trung Quốc,</w:t>
      </w:r>
      <w:r w:rsidRPr="006C7196">
        <w:rPr>
          <w:sz w:val="26"/>
          <w:szCs w:val="26"/>
          <w:lang w:val="de-DE"/>
        </w:rPr>
        <w:t xml:space="preserve"> </w:t>
      </w:r>
      <w:r w:rsidR="00DB6452" w:rsidRPr="006C7196">
        <w:rPr>
          <w:sz w:val="26"/>
          <w:szCs w:val="26"/>
          <w:lang w:val="de-DE"/>
        </w:rPr>
        <w:t xml:space="preserve">tăng trưởng kinh tế trong năm 2015 xấp xỉ 7%, thấp nhất trong vòng </w:t>
      </w:r>
      <w:r w:rsidR="00A14D12">
        <w:rPr>
          <w:sz w:val="26"/>
          <w:szCs w:val="26"/>
          <w:lang w:val="de-DE"/>
        </w:rPr>
        <w:t>25 năm</w:t>
      </w:r>
      <w:r w:rsidR="00DB6452" w:rsidRPr="006C7196">
        <w:rPr>
          <w:sz w:val="26"/>
          <w:szCs w:val="26"/>
          <w:lang w:val="de-DE"/>
        </w:rPr>
        <w:t xml:space="preserve"> qua, đồng thời dự báo sẽ tiếp tục đi xuống trong năm 2016 với tốc độ tăng trưởng 6,3%</w:t>
      </w:r>
      <w:r w:rsidR="00DB6452" w:rsidRPr="006C7196">
        <w:rPr>
          <w:sz w:val="26"/>
          <w:szCs w:val="26"/>
          <w:vertAlign w:val="superscript"/>
          <w:lang w:val="de-DE"/>
        </w:rPr>
        <w:t>1</w:t>
      </w:r>
      <w:r w:rsidR="009E60B2">
        <w:rPr>
          <w:sz w:val="26"/>
          <w:szCs w:val="26"/>
          <w:lang w:val="de-DE"/>
        </w:rPr>
        <w:t>.</w:t>
      </w:r>
      <w:r w:rsidR="0091176A" w:rsidRPr="006C7196">
        <w:rPr>
          <w:sz w:val="26"/>
          <w:szCs w:val="26"/>
          <w:lang w:val="de-DE"/>
        </w:rPr>
        <w:t xml:space="preserve"> </w:t>
      </w:r>
      <w:r w:rsidR="009E60B2">
        <w:rPr>
          <w:sz w:val="26"/>
          <w:szCs w:val="26"/>
          <w:lang w:val="de-DE"/>
        </w:rPr>
        <w:t xml:space="preserve">Trong quý 4, sản lượng công nghiệp chỉ tăng 5,9%; </w:t>
      </w:r>
      <w:r w:rsidR="009E60B2" w:rsidRPr="009E60B2">
        <w:rPr>
          <w:sz w:val="26"/>
          <w:szCs w:val="26"/>
          <w:lang w:val="de-DE"/>
        </w:rPr>
        <w:t>ngành bán lẻ tăng 11,1% và đầu tư tài sản cố định tăng 10% - thấp nhất kể từ năm 2000</w:t>
      </w:r>
      <w:r w:rsidR="009E60B2">
        <w:rPr>
          <w:sz w:val="26"/>
          <w:szCs w:val="26"/>
          <w:lang w:val="de-DE"/>
        </w:rPr>
        <w:t xml:space="preserve">. </w:t>
      </w:r>
      <w:r w:rsidR="0091176A" w:rsidRPr="006C7196">
        <w:rPr>
          <w:sz w:val="26"/>
          <w:szCs w:val="26"/>
          <w:lang w:val="de-DE"/>
        </w:rPr>
        <w:t>C</w:t>
      </w:r>
      <w:r w:rsidR="00B92413" w:rsidRPr="006C7196">
        <w:rPr>
          <w:color w:val="000000"/>
          <w:sz w:val="26"/>
          <w:szCs w:val="26"/>
          <w:lang w:val="de-DE"/>
        </w:rPr>
        <w:t xml:space="preserve">hỉ số giá sản xuất </w:t>
      </w:r>
      <w:r w:rsidR="0091176A" w:rsidRPr="006C7196">
        <w:rPr>
          <w:color w:val="000000"/>
          <w:sz w:val="26"/>
          <w:szCs w:val="26"/>
          <w:lang w:val="de-DE"/>
        </w:rPr>
        <w:t>tháng 11</w:t>
      </w:r>
      <w:r w:rsidR="00B92413" w:rsidRPr="006C7196">
        <w:rPr>
          <w:color w:val="000000"/>
          <w:sz w:val="26"/>
          <w:szCs w:val="26"/>
          <w:lang w:val="de-DE"/>
        </w:rPr>
        <w:t xml:space="preserve"> giảm gần 6%, đánh dấu 45 tháng giảm liên tiếp , một phần do sự sụt giảm của các hoạt </w:t>
      </w:r>
      <w:r w:rsidR="00B92413" w:rsidRPr="006C7196">
        <w:rPr>
          <w:color w:val="000000"/>
          <w:sz w:val="26"/>
          <w:szCs w:val="26"/>
          <w:lang w:val="de-DE"/>
        </w:rPr>
        <w:lastRenderedPageBreak/>
        <w:t>động sản xuất và nhu cầu ảm đạm.</w:t>
      </w:r>
      <w:r w:rsidR="00603070" w:rsidRPr="006C7196">
        <w:rPr>
          <w:color w:val="000000"/>
          <w:sz w:val="26"/>
          <w:szCs w:val="26"/>
          <w:lang w:val="de-DE"/>
        </w:rPr>
        <w:t xml:space="preserve"> </w:t>
      </w:r>
      <w:r w:rsidR="0091176A" w:rsidRPr="006C7196">
        <w:rPr>
          <w:color w:val="000000"/>
          <w:sz w:val="26"/>
          <w:szCs w:val="26"/>
          <w:lang w:val="de-DE"/>
        </w:rPr>
        <w:t xml:space="preserve">Chỉ số PMI tháng 12 cũng </w:t>
      </w:r>
      <w:r w:rsidR="00A14D12">
        <w:rPr>
          <w:color w:val="000000"/>
          <w:sz w:val="26"/>
          <w:szCs w:val="26"/>
          <w:lang w:val="de-DE"/>
        </w:rPr>
        <w:t>xuống dưới 50 điểm, chỉ còn 48,2 điểm</w:t>
      </w:r>
      <w:r w:rsidR="0091176A" w:rsidRPr="006C7196">
        <w:rPr>
          <w:color w:val="000000"/>
          <w:sz w:val="26"/>
          <w:szCs w:val="26"/>
          <w:lang w:val="de-DE"/>
        </w:rPr>
        <w:t xml:space="preserve">. </w:t>
      </w:r>
    </w:p>
    <w:p w:rsidR="00833E66" w:rsidRPr="006C7196" w:rsidRDefault="00833E66" w:rsidP="006C7196">
      <w:pPr>
        <w:spacing w:before="120" w:line="312" w:lineRule="auto"/>
        <w:rPr>
          <w:sz w:val="26"/>
          <w:szCs w:val="26"/>
          <w:lang w:val="de-DE"/>
        </w:rPr>
      </w:pPr>
      <w:r w:rsidRPr="006C7196">
        <w:rPr>
          <w:b/>
          <w:i/>
          <w:sz w:val="26"/>
          <w:szCs w:val="26"/>
          <w:lang w:val="de-DE"/>
        </w:rPr>
        <w:t xml:space="preserve">Chính sách nới lỏng tiền tệ được nhiều quốc gia theo đuổi. </w:t>
      </w:r>
      <w:r w:rsidRPr="006C7196">
        <w:rPr>
          <w:sz w:val="26"/>
          <w:szCs w:val="26"/>
          <w:lang w:val="de-DE"/>
        </w:rPr>
        <w:t>Ngoại trừ FED tăng lãi suất trong thời gian qua sau khi nền kinh tế Mỹ với nhiều dấu hiệu hồi phục khả qu</w:t>
      </w:r>
      <w:r w:rsidR="00815C4D" w:rsidRPr="006C7196">
        <w:rPr>
          <w:sz w:val="26"/>
          <w:szCs w:val="26"/>
          <w:lang w:val="de-DE"/>
        </w:rPr>
        <w:t>an thì r</w:t>
      </w:r>
      <w:r w:rsidRPr="006C7196">
        <w:rPr>
          <w:sz w:val="26"/>
          <w:szCs w:val="26"/>
          <w:lang w:val="de-DE"/>
        </w:rPr>
        <w:t>ất nhiều các quốc gia và khu vực trên thế giới tiếp tục duy trì hoặc nới lỏng chính sách tiền tệ hi</w:t>
      </w:r>
      <w:r w:rsidR="00B92413" w:rsidRPr="006C7196">
        <w:rPr>
          <w:sz w:val="26"/>
          <w:szCs w:val="26"/>
          <w:lang w:val="de-DE"/>
        </w:rPr>
        <w:t xml:space="preserve">ện có nhằm vực dậy tăng trưởng. ECB tiếp tục duy trì chính sách nới lỏng tiền tệ; NHTW Anh tiếp tục giữ nguyên mức lãi suất 0,5%; Hàn Quốc </w:t>
      </w:r>
      <w:r w:rsidR="00815C4D" w:rsidRPr="006C7196">
        <w:rPr>
          <w:sz w:val="26"/>
          <w:szCs w:val="26"/>
          <w:lang w:val="de-DE"/>
        </w:rPr>
        <w:t>giữ</w:t>
      </w:r>
      <w:r w:rsidR="00B92413" w:rsidRPr="006C7196">
        <w:rPr>
          <w:sz w:val="26"/>
          <w:szCs w:val="26"/>
          <w:lang w:val="de-DE"/>
        </w:rPr>
        <w:t xml:space="preserve"> lãi suất thấp kỷ lục 1,5% trong 7 tháng liên tiếp; Nhật Bản mở rộng quy mô chương trình mua tài sản</w:t>
      </w:r>
      <w:r w:rsidR="00B92413" w:rsidRPr="006C7196">
        <w:rPr>
          <w:rStyle w:val="FootnoteReference"/>
          <w:sz w:val="26"/>
          <w:szCs w:val="26"/>
          <w:lang w:val="de-DE"/>
        </w:rPr>
        <w:footnoteReference w:id="4"/>
      </w:r>
      <w:r w:rsidR="00233AF4" w:rsidRPr="006C7196">
        <w:rPr>
          <w:sz w:val="26"/>
          <w:szCs w:val="26"/>
          <w:lang w:val="de-DE"/>
        </w:rPr>
        <w:t>. Ngân hàng trung ương Canada vẫn quyết định tiếp tục giữ lãi suất cơ bản ở mức thấp kỷ lục 0,5%</w:t>
      </w:r>
      <w:r w:rsidR="00815C4D" w:rsidRPr="006C7196">
        <w:rPr>
          <w:sz w:val="26"/>
          <w:szCs w:val="26"/>
          <w:lang w:val="de-DE"/>
        </w:rPr>
        <w:t>. Trung Quốc duy trì chính sách tiền tệ thận trọng và linh hoạt hơn.</w:t>
      </w:r>
    </w:p>
    <w:p w:rsidR="00A75AAD" w:rsidRPr="006C7196" w:rsidRDefault="00A75AAD" w:rsidP="006C7196">
      <w:pPr>
        <w:spacing w:before="120" w:line="312" w:lineRule="auto"/>
        <w:ind w:firstLine="0"/>
        <w:rPr>
          <w:b/>
          <w:sz w:val="26"/>
          <w:szCs w:val="26"/>
          <w:lang w:val="de-DE"/>
        </w:rPr>
      </w:pPr>
      <w:r w:rsidRPr="006C7196">
        <w:rPr>
          <w:b/>
          <w:sz w:val="26"/>
          <w:szCs w:val="26"/>
          <w:lang w:val="de-DE"/>
        </w:rPr>
        <w:t>2. Giá hàng hóa thế giới</w:t>
      </w:r>
    </w:p>
    <w:p w:rsidR="00D30A0A" w:rsidRPr="006C7196" w:rsidRDefault="00A75AAD" w:rsidP="006C7196">
      <w:pPr>
        <w:spacing w:before="120" w:line="312" w:lineRule="auto"/>
        <w:rPr>
          <w:color w:val="000000" w:themeColor="text1"/>
          <w:sz w:val="26"/>
          <w:szCs w:val="26"/>
          <w:lang w:val="de-DE"/>
        </w:rPr>
      </w:pPr>
      <w:r w:rsidRPr="006C7196">
        <w:rPr>
          <w:b/>
          <w:sz w:val="26"/>
          <w:szCs w:val="26"/>
          <w:lang w:val="de-DE"/>
        </w:rPr>
        <w:t xml:space="preserve">Giá dầu </w:t>
      </w:r>
      <w:r w:rsidR="00D30A0A" w:rsidRPr="006C7196">
        <w:rPr>
          <w:sz w:val="26"/>
          <w:szCs w:val="26"/>
          <w:lang w:val="de-DE"/>
        </w:rPr>
        <w:t>giảm</w:t>
      </w:r>
      <w:r w:rsidRPr="006C7196">
        <w:rPr>
          <w:sz w:val="26"/>
          <w:szCs w:val="26"/>
          <w:lang w:val="de-DE"/>
        </w:rPr>
        <w:t xml:space="preserve"> 25% tính từ đầu năm đến nay</w:t>
      </w:r>
      <w:r w:rsidR="00D30A0A" w:rsidRPr="006C7196">
        <w:rPr>
          <w:sz w:val="26"/>
          <w:szCs w:val="26"/>
          <w:lang w:val="de-DE"/>
        </w:rPr>
        <w:t xml:space="preserve">, xuống mức 27 USD/thùng – mức thấp nhất </w:t>
      </w:r>
      <w:r w:rsidR="00D30A0A" w:rsidRPr="006C7196">
        <w:rPr>
          <w:color w:val="000000" w:themeColor="text1"/>
          <w:sz w:val="26"/>
          <w:szCs w:val="26"/>
          <w:lang w:val="de-DE"/>
        </w:rPr>
        <w:t>kể từ năm 2003</w:t>
      </w:r>
      <w:r w:rsidRPr="006C7196">
        <w:rPr>
          <w:color w:val="000000" w:themeColor="text1"/>
          <w:sz w:val="26"/>
          <w:szCs w:val="26"/>
          <w:lang w:val="de-DE"/>
        </w:rPr>
        <w:t xml:space="preserve"> khiến nguồn thu ngân sách từ dầu mỏ bị ảnh hưởng nghiêm trọng, gây áp lực lớn đến cân đối ngân sách các nước xuất khẩu dầu</w:t>
      </w:r>
      <w:r w:rsidRPr="006C7196">
        <w:rPr>
          <w:b/>
          <w:color w:val="000000" w:themeColor="text1"/>
          <w:sz w:val="26"/>
          <w:szCs w:val="26"/>
          <w:lang w:val="de-DE"/>
        </w:rPr>
        <w:t xml:space="preserve">. </w:t>
      </w:r>
      <w:r w:rsidR="00D30A0A" w:rsidRPr="006C7196">
        <w:rPr>
          <w:color w:val="000000" w:themeColor="text1"/>
          <w:sz w:val="26"/>
          <w:szCs w:val="26"/>
          <w:lang w:val="de-DE"/>
        </w:rPr>
        <w:t xml:space="preserve">Tuy nhiên, các nước xuất khẩu dầu lửa </w:t>
      </w:r>
      <w:r w:rsidR="00A14D12">
        <w:rPr>
          <w:color w:val="000000" w:themeColor="text1"/>
          <w:sz w:val="26"/>
          <w:szCs w:val="26"/>
          <w:lang w:val="de-DE"/>
        </w:rPr>
        <w:t xml:space="preserve">cho biết </w:t>
      </w:r>
      <w:r w:rsidR="00D30A0A" w:rsidRPr="006C7196">
        <w:rPr>
          <w:color w:val="000000" w:themeColor="text1"/>
          <w:sz w:val="26"/>
          <w:szCs w:val="26"/>
          <w:lang w:val="de-DE"/>
        </w:rPr>
        <w:t xml:space="preserve">họ </w:t>
      </w:r>
      <w:r w:rsidR="00A14D12">
        <w:rPr>
          <w:color w:val="000000" w:themeColor="text1"/>
          <w:sz w:val="26"/>
          <w:szCs w:val="26"/>
          <w:lang w:val="de-DE"/>
        </w:rPr>
        <w:t xml:space="preserve">sẽ </w:t>
      </w:r>
      <w:r w:rsidR="00D30A0A" w:rsidRPr="006C7196">
        <w:rPr>
          <w:color w:val="000000" w:themeColor="text1"/>
          <w:sz w:val="26"/>
          <w:szCs w:val="26"/>
          <w:lang w:val="de-DE"/>
        </w:rPr>
        <w:t>tiếp tục bơm mạnh dầu ra thị trường. Cơ quan Năng lượng Quốc tế (IEA) cảnh báo thế giới sẽ tiếp tục “ngập trong dầu” trong năm 2016 khi Iran được xuất dầu ra thị trường thế giới.</w:t>
      </w:r>
    </w:p>
    <w:p w:rsidR="00DB7CED" w:rsidRDefault="00DB7CED" w:rsidP="006C7196">
      <w:pPr>
        <w:spacing w:before="120" w:line="312" w:lineRule="auto"/>
        <w:rPr>
          <w:color w:val="000000" w:themeColor="text1"/>
          <w:sz w:val="26"/>
          <w:szCs w:val="26"/>
          <w:lang w:val="de-DE"/>
        </w:rPr>
      </w:pPr>
      <w:r w:rsidRPr="006C7196">
        <w:rPr>
          <w:b/>
          <w:color w:val="000000" w:themeColor="text1"/>
          <w:sz w:val="26"/>
          <w:szCs w:val="26"/>
          <w:lang w:val="de-DE"/>
        </w:rPr>
        <w:t xml:space="preserve">Giá hàng hóa </w:t>
      </w:r>
      <w:r w:rsidRPr="006C7196">
        <w:rPr>
          <w:color w:val="000000" w:themeColor="text1"/>
          <w:sz w:val="26"/>
          <w:szCs w:val="26"/>
          <w:lang w:val="de-DE"/>
        </w:rPr>
        <w:t>cơ bản vẫn tiếp tục xu hướng giảm sâu. Trong tháng 12/2015</w:t>
      </w:r>
      <w:r w:rsidRPr="006C7196">
        <w:rPr>
          <w:rStyle w:val="FootnoteReference"/>
          <w:color w:val="000000" w:themeColor="text1"/>
          <w:sz w:val="26"/>
          <w:szCs w:val="26"/>
          <w:lang w:val="de-DE"/>
        </w:rPr>
        <w:footnoteReference w:id="5"/>
      </w:r>
      <w:r w:rsidRPr="006C7196">
        <w:rPr>
          <w:color w:val="000000" w:themeColor="text1"/>
          <w:sz w:val="26"/>
          <w:szCs w:val="26"/>
          <w:lang w:val="de-DE"/>
        </w:rPr>
        <w:t>, giá năng lượng giảm 13,2% so với tháng trước; giá các mặt hàng nông nghiệp giảm 0,6%; giá thực phẩm giảm 0,7%; nguyên liệu thô giảm 0,6%; kim loại giảm 2,5%.</w:t>
      </w:r>
    </w:p>
    <w:p w:rsidR="00D30A0A" w:rsidRDefault="00D30A0A">
      <w:pPr>
        <w:spacing w:after="200" w:line="276" w:lineRule="auto"/>
        <w:ind w:firstLine="0"/>
        <w:jc w:val="left"/>
        <w:rPr>
          <w:b/>
          <w:sz w:val="26"/>
          <w:szCs w:val="26"/>
          <w:lang w:val="de-DE"/>
        </w:rPr>
      </w:pPr>
      <w:r>
        <w:rPr>
          <w:b/>
          <w:sz w:val="26"/>
          <w:szCs w:val="26"/>
          <w:lang w:val="de-DE"/>
        </w:rPr>
        <w:br w:type="page"/>
      </w:r>
    </w:p>
    <w:p w:rsidR="005926AC" w:rsidRPr="005C6A26" w:rsidRDefault="000110F5" w:rsidP="00BC5190">
      <w:pPr>
        <w:pStyle w:val="Footer"/>
        <w:numPr>
          <w:ilvl w:val="0"/>
          <w:numId w:val="12"/>
        </w:numPr>
        <w:tabs>
          <w:tab w:val="left" w:pos="284"/>
          <w:tab w:val="left" w:pos="567"/>
        </w:tabs>
        <w:ind w:hanging="1080"/>
        <w:rPr>
          <w:b/>
          <w:sz w:val="26"/>
          <w:szCs w:val="26"/>
        </w:rPr>
      </w:pPr>
      <w:r w:rsidRPr="00BF65AB">
        <w:rPr>
          <w:b/>
          <w:sz w:val="26"/>
          <w:szCs w:val="26"/>
          <w:lang w:val="de-DE"/>
        </w:rPr>
        <w:lastRenderedPageBreak/>
        <w:t xml:space="preserve"> </w:t>
      </w:r>
      <w:r w:rsidR="005926AC" w:rsidRPr="005C6A26">
        <w:rPr>
          <w:b/>
          <w:sz w:val="26"/>
          <w:szCs w:val="26"/>
        </w:rPr>
        <w:t>KINH TẾ VIỆT NAM</w:t>
      </w:r>
    </w:p>
    <w:p w:rsidR="00CF408F" w:rsidRDefault="001649AF" w:rsidP="00747462">
      <w:pPr>
        <w:spacing w:before="120"/>
        <w:ind w:firstLine="0"/>
        <w:jc w:val="left"/>
        <w:rPr>
          <w:b/>
          <w:sz w:val="26"/>
          <w:szCs w:val="26"/>
          <w:lang w:val="nl-NL"/>
        </w:rPr>
      </w:pPr>
      <w:r w:rsidRPr="005C6A26">
        <w:rPr>
          <w:b/>
          <w:sz w:val="26"/>
          <w:szCs w:val="26"/>
          <w:lang w:val="nl-NL"/>
        </w:rPr>
        <w:t xml:space="preserve">1. </w:t>
      </w:r>
      <w:r w:rsidR="00170336">
        <w:rPr>
          <w:b/>
          <w:sz w:val="26"/>
          <w:szCs w:val="26"/>
          <w:lang w:val="nl-NL"/>
        </w:rPr>
        <w:t xml:space="preserve">Kinh tế tiếp tục đà tăng trưởng nhưng tốc độ tăng có dấu hiệu chậm hơn </w:t>
      </w:r>
      <w:r w:rsidR="00CF408F">
        <w:rPr>
          <w:b/>
          <w:sz w:val="26"/>
          <w:szCs w:val="26"/>
          <w:lang w:val="nl-NL"/>
        </w:rPr>
        <w:t>2015</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tblPr>
      <w:tblGrid>
        <w:gridCol w:w="5211"/>
        <w:gridCol w:w="4536"/>
      </w:tblGrid>
      <w:tr w:rsidR="001649AF" w:rsidRPr="005C6A26" w:rsidTr="00546FC0">
        <w:trPr>
          <w:trHeight w:val="751"/>
        </w:trPr>
        <w:tc>
          <w:tcPr>
            <w:tcW w:w="5211" w:type="dxa"/>
          </w:tcPr>
          <w:p w:rsidR="00911CA9" w:rsidRDefault="004A3A4D" w:rsidP="00747462">
            <w:pPr>
              <w:spacing w:before="120" w:line="288" w:lineRule="auto"/>
              <w:rPr>
                <w:spacing w:val="4"/>
                <w:sz w:val="26"/>
                <w:szCs w:val="26"/>
                <w:lang w:val="pl-PL"/>
              </w:rPr>
            </w:pPr>
            <w:r w:rsidRPr="004A3A4D">
              <w:rPr>
                <w:i/>
                <w:spacing w:val="4"/>
                <w:sz w:val="26"/>
                <w:szCs w:val="26"/>
                <w:lang w:val="pl-PL"/>
              </w:rPr>
              <w:t>- Tăng trưởng GDP năm 2015 tăng khá nhờ khu vực công nghiệp, đặc biệt là công nghiệp chế biến chế tạo.</w:t>
            </w:r>
            <w:r>
              <w:rPr>
                <w:spacing w:val="4"/>
                <w:sz w:val="26"/>
                <w:szCs w:val="26"/>
                <w:lang w:val="pl-PL"/>
              </w:rPr>
              <w:t xml:space="preserve"> </w:t>
            </w:r>
            <w:r w:rsidR="00752F8C">
              <w:rPr>
                <w:spacing w:val="4"/>
                <w:sz w:val="26"/>
                <w:szCs w:val="26"/>
                <w:lang w:val="pl-PL"/>
              </w:rPr>
              <w:t>T</w:t>
            </w:r>
            <w:r w:rsidR="00752F8C" w:rsidRPr="00752F8C">
              <w:rPr>
                <w:spacing w:val="4"/>
                <w:sz w:val="26"/>
                <w:szCs w:val="26"/>
                <w:lang w:val="pl-PL"/>
              </w:rPr>
              <w:t>ăng trưởng GDP năm 2015 đạt 6,68%, cao hơn nhiều so với mức kế hoạch đầu năm là 6,2%. Tăng trưởng phục hồi có đóng góp của cải thiện về năng suất của nền kinh tế, thể hiện trước hết ở hệ số ICOR giảm chỉ còn 4,62 so với mức 5,2 và  5,6 của năm 2014 và 2013 và 6,4 của thời kỳ 2008 - 2012. Các yếu tố sản xuất khác (vốn và lao động) cũng tiến bộ, giúp nâng cao mức tăng trưởng dài hạn. Hình bên cho thấy xu hướng tăng trưởng dài hạn đã có sự cải thiện kể từ năm 2014.</w:t>
            </w:r>
            <w:r>
              <w:rPr>
                <w:spacing w:val="4"/>
                <w:sz w:val="26"/>
                <w:szCs w:val="26"/>
                <w:lang w:val="pl-PL"/>
              </w:rPr>
              <w:t xml:space="preserve"> </w:t>
            </w:r>
          </w:p>
          <w:p w:rsidR="007C6284" w:rsidRPr="00546FC0" w:rsidRDefault="007C6284" w:rsidP="00546FC0">
            <w:pPr>
              <w:spacing w:line="288" w:lineRule="auto"/>
              <w:rPr>
                <w:b/>
                <w:i/>
                <w:sz w:val="26"/>
                <w:szCs w:val="26"/>
                <w:lang w:val="vi-VN"/>
              </w:rPr>
            </w:pPr>
            <w:r w:rsidRPr="00546FC0">
              <w:rPr>
                <w:b/>
                <w:i/>
                <w:sz w:val="26"/>
                <w:szCs w:val="26"/>
                <w:lang w:val="vi-VN"/>
              </w:rPr>
              <w:t xml:space="preserve">Tuy nhiên, tăng trưởng ngắn hạn (thành phần tăng trưởng do yếu tố chu kì) đã bắt đầu có dấu hiệu </w:t>
            </w:r>
            <w:r w:rsidR="00842633">
              <w:rPr>
                <w:b/>
                <w:i/>
                <w:sz w:val="26"/>
                <w:szCs w:val="26"/>
              </w:rPr>
              <w:t>chậm lại</w:t>
            </w:r>
            <w:bookmarkStart w:id="0" w:name="_GoBack"/>
            <w:bookmarkEnd w:id="0"/>
            <w:r w:rsidRPr="00546FC0">
              <w:rPr>
                <w:b/>
                <w:i/>
                <w:sz w:val="26"/>
                <w:szCs w:val="26"/>
                <w:lang w:val="vi-VN"/>
              </w:rPr>
              <w:t xml:space="preserve"> từ quý 4/2015. </w:t>
            </w:r>
          </w:p>
          <w:p w:rsidR="007C6284" w:rsidRPr="00546FC0" w:rsidRDefault="007C6284" w:rsidP="007C6284">
            <w:pPr>
              <w:spacing w:line="288" w:lineRule="auto"/>
              <w:rPr>
                <w:spacing w:val="4"/>
                <w:sz w:val="26"/>
                <w:szCs w:val="26"/>
                <w:lang w:val="vi-VN"/>
              </w:rPr>
            </w:pPr>
            <w:r w:rsidRPr="00554B1C">
              <w:rPr>
                <w:sz w:val="26"/>
                <w:szCs w:val="26"/>
                <w:lang w:val="vi-VN"/>
              </w:rPr>
              <w:t xml:space="preserve">Do đó, dựa trên phương pháp phân rã tăng trưởng thành tăng trưởng dài hạn và tăng trưởng do yếu tố chu kì, UBGSTCQG dự báo năm 2016 </w:t>
            </w:r>
            <w:r w:rsidRPr="00554B1C">
              <w:rPr>
                <w:i/>
                <w:sz w:val="26"/>
                <w:szCs w:val="26"/>
                <w:lang w:val="vi-VN"/>
              </w:rPr>
              <w:t>mức cải thiện</w:t>
            </w:r>
            <w:r w:rsidRPr="00554B1C">
              <w:rPr>
                <w:sz w:val="26"/>
                <w:szCs w:val="26"/>
                <w:lang w:val="vi-VN"/>
              </w:rPr>
              <w:t xml:space="preserve"> về tăng trưởng sẽ không cao như năm 2015</w:t>
            </w:r>
            <w:r w:rsidR="00546FC0" w:rsidRPr="00546FC0">
              <w:rPr>
                <w:sz w:val="26"/>
                <w:szCs w:val="26"/>
                <w:lang w:val="vi-VN"/>
              </w:rPr>
              <w:t xml:space="preserve">. </w:t>
            </w:r>
          </w:p>
          <w:p w:rsidR="00752F8C" w:rsidRDefault="004A3A4D" w:rsidP="00752F8C">
            <w:pPr>
              <w:spacing w:line="288" w:lineRule="auto"/>
              <w:rPr>
                <w:spacing w:val="4"/>
                <w:sz w:val="26"/>
                <w:szCs w:val="26"/>
                <w:lang w:val="pl-PL"/>
              </w:rPr>
            </w:pPr>
            <w:r>
              <w:rPr>
                <w:spacing w:val="4"/>
                <w:sz w:val="26"/>
                <w:szCs w:val="26"/>
                <w:lang w:val="pl-PL"/>
              </w:rPr>
              <w:t xml:space="preserve">+ </w:t>
            </w:r>
            <w:r w:rsidR="00752F8C" w:rsidRPr="00752F8C">
              <w:rPr>
                <w:spacing w:val="4"/>
                <w:sz w:val="26"/>
                <w:szCs w:val="26"/>
                <w:lang w:val="pl-PL"/>
              </w:rPr>
              <w:t xml:space="preserve">Tăng trưởng (GDP) khu vực công nghiệp và xây dựng năm 2015 ước đạt 9,64%, cao hơn nhiều so với mức 7,14% của năm 2014 và là mức tăng cao nhất trong 5 năm qua; trong khi tăng trưởng của khu vực dịch vụ hầu như không tăng và của khu vực nông - lâm - ngư nghiệp giảm so với 2014 </w:t>
            </w:r>
            <w:r w:rsidR="00752F8C" w:rsidRPr="004127BE">
              <w:rPr>
                <w:spacing w:val="4"/>
                <w:sz w:val="26"/>
                <w:szCs w:val="26"/>
                <w:lang w:val="pl-PL"/>
              </w:rPr>
              <w:t>(giảm từ 3,44% xuống 2,41%).</w:t>
            </w:r>
            <w:r w:rsidR="00752F8C" w:rsidRPr="00752F8C">
              <w:rPr>
                <w:spacing w:val="4"/>
                <w:sz w:val="26"/>
                <w:szCs w:val="26"/>
                <w:lang w:val="pl-PL"/>
              </w:rPr>
              <w:t xml:space="preserve"> Năm 2015, khu vực công nghiệp và xây dựng đóng góp 3,2 điểm phần trăm vào tăng trưởng GDP, trong khi khu vực nông - lâm - ngư nghiệp và dịch vụ lần lượt đóng góp 0,4 và 2,43 điểm</w:t>
            </w:r>
            <w:r w:rsidR="00EC74B7">
              <w:rPr>
                <w:spacing w:val="4"/>
                <w:sz w:val="26"/>
                <w:szCs w:val="26"/>
                <w:lang w:val="pl-PL"/>
              </w:rPr>
              <w:t xml:space="preserve"> %</w:t>
            </w:r>
            <w:r w:rsidR="00752F8C" w:rsidRPr="00752F8C">
              <w:rPr>
                <w:spacing w:val="4"/>
                <w:sz w:val="26"/>
                <w:szCs w:val="26"/>
                <w:lang w:val="pl-PL"/>
              </w:rPr>
              <w:t>.</w:t>
            </w:r>
          </w:p>
          <w:p w:rsidR="00752F8C" w:rsidRDefault="004A3A4D" w:rsidP="00752F8C">
            <w:pPr>
              <w:spacing w:line="288" w:lineRule="auto"/>
              <w:rPr>
                <w:bCs/>
                <w:sz w:val="26"/>
                <w:szCs w:val="26"/>
                <w:lang w:val="de-DE"/>
              </w:rPr>
            </w:pPr>
            <w:r>
              <w:rPr>
                <w:bCs/>
                <w:sz w:val="26"/>
                <w:szCs w:val="26"/>
                <w:lang w:val="de-DE"/>
              </w:rPr>
              <w:lastRenderedPageBreak/>
              <w:t xml:space="preserve">+ </w:t>
            </w:r>
            <w:r w:rsidR="00752F8C" w:rsidRPr="0085718F">
              <w:rPr>
                <w:bCs/>
                <w:sz w:val="26"/>
                <w:szCs w:val="26"/>
                <w:lang w:val="de-DE"/>
              </w:rPr>
              <w:t>Bên cạnh đó, chỉ số PMI</w:t>
            </w:r>
            <w:r w:rsidR="00752F8C" w:rsidRPr="0085718F">
              <w:rPr>
                <w:bCs/>
                <w:sz w:val="26"/>
                <w:szCs w:val="26"/>
                <w:vertAlign w:val="superscript"/>
                <w:lang w:val="de-DE"/>
              </w:rPr>
              <w:footnoteReference w:id="6"/>
            </w:r>
            <w:r w:rsidR="00752F8C" w:rsidRPr="0085718F">
              <w:rPr>
                <w:bCs/>
                <w:sz w:val="26"/>
                <w:szCs w:val="26"/>
                <w:lang w:val="de-DE"/>
              </w:rPr>
              <w:t xml:space="preserve"> bình quân năm 2015 xấp xỉ 52 điểm, tương</w:t>
            </w:r>
            <w:r w:rsidR="00752F8C" w:rsidRPr="005E4074">
              <w:rPr>
                <w:bCs/>
                <w:sz w:val="26"/>
                <w:szCs w:val="26"/>
                <w:lang w:val="de-DE"/>
              </w:rPr>
              <w:t xml:space="preserve"> đương với mức 2014 và cao hơn mức bình quân năm 2013 là 49,7 điểm</w:t>
            </w:r>
            <w:r w:rsidR="00752F8C">
              <w:rPr>
                <w:bCs/>
                <w:sz w:val="26"/>
                <w:szCs w:val="26"/>
                <w:lang w:val="de-DE"/>
              </w:rPr>
              <w:t xml:space="preserve">. </w:t>
            </w:r>
          </w:p>
          <w:p w:rsidR="00752F8C" w:rsidRPr="00752F8C" w:rsidRDefault="004A3A4D" w:rsidP="00752F8C">
            <w:pPr>
              <w:spacing w:line="288" w:lineRule="auto"/>
              <w:rPr>
                <w:spacing w:val="4"/>
                <w:sz w:val="26"/>
                <w:szCs w:val="26"/>
                <w:lang w:val="pl-PL"/>
              </w:rPr>
            </w:pPr>
            <w:r>
              <w:rPr>
                <w:bCs/>
                <w:spacing w:val="4"/>
                <w:sz w:val="26"/>
                <w:szCs w:val="26"/>
                <w:lang w:val="de-DE"/>
              </w:rPr>
              <w:t xml:space="preserve">+ </w:t>
            </w:r>
            <w:r w:rsidR="00752F8C" w:rsidRPr="00587059">
              <w:rPr>
                <w:bCs/>
                <w:spacing w:val="4"/>
                <w:sz w:val="26"/>
                <w:szCs w:val="26"/>
                <w:lang w:val="de-DE"/>
              </w:rPr>
              <w:t xml:space="preserve">Trong công nghiệp, </w:t>
            </w:r>
            <w:r w:rsidR="00752F8C" w:rsidRPr="00E65AB4">
              <w:rPr>
                <w:bCs/>
                <w:spacing w:val="4"/>
                <w:sz w:val="26"/>
                <w:szCs w:val="26"/>
                <w:lang w:val="de-DE"/>
              </w:rPr>
              <w:t>ngành công nghiệp chế biến, chế tạo chuyển biến rất tích cực. Chỉ số IIP của công nghiệp chế biến, chế tạo tăng 10,6% (so với mức 8,7% của 2014); đây cũng là mức tăng cao nhất so với cùng kỳ kể từ năm 2011.</w:t>
            </w:r>
          </w:p>
          <w:p w:rsidR="006F0BC1" w:rsidRDefault="004A3A4D" w:rsidP="004A3A4D">
            <w:pPr>
              <w:spacing w:line="288" w:lineRule="auto"/>
              <w:rPr>
                <w:bCs/>
                <w:spacing w:val="4"/>
                <w:sz w:val="26"/>
                <w:szCs w:val="26"/>
                <w:lang w:val="de-DE"/>
              </w:rPr>
            </w:pPr>
            <w:r w:rsidRPr="004A3A4D">
              <w:rPr>
                <w:bCs/>
                <w:i/>
                <w:spacing w:val="4"/>
                <w:sz w:val="26"/>
                <w:szCs w:val="26"/>
                <w:lang w:val="de-DE"/>
              </w:rPr>
              <w:t>- Tiêu dùng tăng khá, khu vực doanh nghiệp cũng có chuyển biến tích cực.</w:t>
            </w:r>
            <w:r w:rsidRPr="004A3A4D">
              <w:rPr>
                <w:bCs/>
                <w:spacing w:val="4"/>
                <w:sz w:val="26"/>
                <w:szCs w:val="26"/>
                <w:lang w:val="de-DE"/>
              </w:rPr>
              <w:t xml:space="preserve"> </w:t>
            </w:r>
            <w:r w:rsidR="006F0BC1" w:rsidRPr="004A3A4D">
              <w:rPr>
                <w:bCs/>
                <w:spacing w:val="4"/>
                <w:sz w:val="26"/>
                <w:szCs w:val="26"/>
                <w:lang w:val="de-DE"/>
              </w:rPr>
              <w:t xml:space="preserve">Tổng mức bán lẻ hàng hóa và dịch vụ tiêu dùng (đã loại trừ yếu tố giá) tăng </w:t>
            </w:r>
            <w:r>
              <w:rPr>
                <w:bCs/>
                <w:spacing w:val="4"/>
                <w:sz w:val="26"/>
                <w:szCs w:val="26"/>
                <w:lang w:val="de-DE"/>
              </w:rPr>
              <w:t>8,4</w:t>
            </w:r>
            <w:r w:rsidR="006F0BC1" w:rsidRPr="004A3A4D">
              <w:rPr>
                <w:bCs/>
                <w:spacing w:val="4"/>
                <w:sz w:val="26"/>
                <w:szCs w:val="26"/>
                <w:lang w:val="de-DE"/>
              </w:rPr>
              <w:t xml:space="preserve">%, </w:t>
            </w:r>
            <w:r>
              <w:rPr>
                <w:bCs/>
                <w:spacing w:val="4"/>
                <w:sz w:val="26"/>
                <w:szCs w:val="26"/>
                <w:lang w:val="de-DE"/>
              </w:rPr>
              <w:t xml:space="preserve">tăng nhẹ so với cùng kỳ 2014 (8,1%) và </w:t>
            </w:r>
            <w:r w:rsidR="006F0BC1" w:rsidRPr="004A3A4D">
              <w:rPr>
                <w:bCs/>
                <w:spacing w:val="4"/>
                <w:sz w:val="26"/>
                <w:szCs w:val="26"/>
                <w:lang w:val="de-DE"/>
              </w:rPr>
              <w:t>là mức cao nhất trong 5 năm qua. Chỉ số niềm tin tiêu dùng – CCI tháng 12 do ANZ công bố, ở mức 144,8 điểm tăng 9,2 điểm so với cùng kỳ năm 2014 và ở mức cao nhất kể từ đầu năm 2014.</w:t>
            </w:r>
          </w:p>
          <w:p w:rsidR="004A3A4D" w:rsidRPr="006F0BC1" w:rsidRDefault="004A3A4D" w:rsidP="004A3A4D">
            <w:pPr>
              <w:spacing w:before="120" w:line="288" w:lineRule="auto"/>
              <w:rPr>
                <w:spacing w:val="2"/>
                <w:sz w:val="26"/>
                <w:szCs w:val="26"/>
                <w:lang w:val="pl-PL"/>
              </w:rPr>
            </w:pPr>
            <w:r>
              <w:rPr>
                <w:bCs/>
                <w:spacing w:val="4"/>
                <w:sz w:val="26"/>
                <w:szCs w:val="26"/>
                <w:lang w:val="de-DE"/>
              </w:rPr>
              <w:t xml:space="preserve">+ </w:t>
            </w:r>
            <w:r>
              <w:rPr>
                <w:spacing w:val="2"/>
                <w:sz w:val="26"/>
                <w:szCs w:val="26"/>
                <w:lang w:val="pl-PL"/>
              </w:rPr>
              <w:t>D</w:t>
            </w:r>
            <w:r w:rsidRPr="00CE0CA7">
              <w:rPr>
                <w:spacing w:val="2"/>
                <w:sz w:val="26"/>
                <w:szCs w:val="26"/>
                <w:lang w:val="pl-PL"/>
              </w:rPr>
              <w:t xml:space="preserve">oanh nghiệp thành lập mới trong </w:t>
            </w:r>
            <w:r>
              <w:rPr>
                <w:spacing w:val="2"/>
                <w:sz w:val="26"/>
                <w:szCs w:val="26"/>
                <w:lang w:val="pl-PL"/>
              </w:rPr>
              <w:t>năm 2015 tăng 26,6</w:t>
            </w:r>
            <w:r w:rsidRPr="00CE0CA7">
              <w:rPr>
                <w:spacing w:val="2"/>
                <w:sz w:val="26"/>
                <w:szCs w:val="26"/>
                <w:lang w:val="pl-PL"/>
              </w:rPr>
              <w:t>% về lượ</w:t>
            </w:r>
            <w:r>
              <w:rPr>
                <w:spacing w:val="2"/>
                <w:sz w:val="26"/>
                <w:szCs w:val="26"/>
                <w:lang w:val="pl-PL"/>
              </w:rPr>
              <w:t>ng và 39,1</w:t>
            </w:r>
            <w:r w:rsidRPr="00CE0CA7">
              <w:rPr>
                <w:spacing w:val="2"/>
                <w:sz w:val="26"/>
                <w:szCs w:val="26"/>
                <w:lang w:val="pl-PL"/>
              </w:rPr>
              <w:t>% về vốn (so với cùng kỳ 2014). Trong khi đó, số doanh nghiệp giải thể, chấm dứt hoạt động giả</w:t>
            </w:r>
            <w:r>
              <w:rPr>
                <w:spacing w:val="2"/>
                <w:sz w:val="26"/>
                <w:szCs w:val="26"/>
                <w:lang w:val="pl-PL"/>
              </w:rPr>
              <w:t>m 0,4</w:t>
            </w:r>
            <w:r w:rsidRPr="00CE0CA7">
              <w:rPr>
                <w:spacing w:val="2"/>
                <w:sz w:val="26"/>
                <w:szCs w:val="26"/>
                <w:lang w:val="pl-PL"/>
              </w:rPr>
              <w:t xml:space="preserve">% so với cùng kỳ năm 2014. </w:t>
            </w:r>
            <w:r w:rsidRPr="00CE0CA7">
              <w:rPr>
                <w:rFonts w:eastAsiaTheme="minorHAnsi"/>
                <w:i/>
                <w:sz w:val="26"/>
                <w:szCs w:val="26"/>
                <w:lang w:val="nl-NL"/>
              </w:rPr>
              <w:t xml:space="preserve"> </w:t>
            </w:r>
          </w:p>
          <w:p w:rsidR="00997047" w:rsidRPr="001F2985" w:rsidRDefault="00CF408F" w:rsidP="007C6284">
            <w:pPr>
              <w:spacing w:before="120" w:line="288" w:lineRule="auto"/>
              <w:rPr>
                <w:rFonts w:eastAsiaTheme="minorHAnsi"/>
                <w:spacing w:val="2"/>
                <w:sz w:val="26"/>
                <w:szCs w:val="26"/>
                <w:lang w:val="pl-PL"/>
              </w:rPr>
            </w:pPr>
            <w:r w:rsidRPr="00257A62">
              <w:rPr>
                <w:bCs/>
                <w:spacing w:val="4"/>
                <w:sz w:val="26"/>
                <w:szCs w:val="26"/>
                <w:lang w:val="de-DE"/>
              </w:rPr>
              <w:t>- Hoạt động xuất nhập khẩu</w:t>
            </w:r>
            <w:r w:rsidR="00257A62" w:rsidRPr="00257A62">
              <w:rPr>
                <w:bCs/>
                <w:spacing w:val="4"/>
                <w:sz w:val="26"/>
                <w:szCs w:val="26"/>
                <w:lang w:val="de-DE"/>
              </w:rPr>
              <w:t xml:space="preserve"> cũng có diễn biến tích cực, đặc biệt vào nửa cuối năm 2015. </w:t>
            </w:r>
            <w:r w:rsidR="00257A62">
              <w:rPr>
                <w:bCs/>
                <w:spacing w:val="4"/>
                <w:sz w:val="26"/>
                <w:szCs w:val="26"/>
                <w:lang w:val="de-DE"/>
              </w:rPr>
              <w:t xml:space="preserve">Nhập siêu/Tổng kim ngạch xuất khẩu cả năm chỉ ở mức 1,9%, thấp hơn nhiều so với giới hạn 5% theo kế hoạch. </w:t>
            </w:r>
            <w:r w:rsidR="004127BE">
              <w:rPr>
                <w:bCs/>
                <w:spacing w:val="4"/>
                <w:sz w:val="26"/>
                <w:szCs w:val="26"/>
                <w:lang w:val="de-DE"/>
              </w:rPr>
              <w:t xml:space="preserve">Nhập khẩu máy móc thiết bị tăng 22,7% so với cùng kỳ, tăng nhẹ so mới mức tăng 20% của năm 2014. </w:t>
            </w:r>
          </w:p>
        </w:tc>
        <w:tc>
          <w:tcPr>
            <w:tcW w:w="4536" w:type="dxa"/>
          </w:tcPr>
          <w:p w:rsidR="00747462" w:rsidRDefault="00747462" w:rsidP="00752F8C">
            <w:pPr>
              <w:pStyle w:val="Caption"/>
              <w:spacing w:before="0" w:after="0"/>
              <w:rPr>
                <w:rFonts w:ascii="Times New Roman Bold" w:hAnsi="Times New Roman Bold"/>
                <w:spacing w:val="-4"/>
                <w:szCs w:val="24"/>
                <w:lang w:val="pl-PL"/>
              </w:rPr>
            </w:pPr>
          </w:p>
          <w:p w:rsidR="00752F8C" w:rsidRPr="007152AD" w:rsidRDefault="00752F8C" w:rsidP="00752F8C">
            <w:pPr>
              <w:pStyle w:val="Caption"/>
              <w:spacing w:before="0" w:after="0"/>
              <w:rPr>
                <w:rFonts w:ascii="Times New Roman Bold" w:hAnsi="Times New Roman Bold"/>
                <w:spacing w:val="-4"/>
                <w:szCs w:val="24"/>
                <w:lang w:val="pl-PL"/>
              </w:rPr>
            </w:pPr>
            <w:r w:rsidRPr="00E65AB4">
              <w:rPr>
                <w:rFonts w:ascii="Times New Roman Bold" w:hAnsi="Times New Roman Bold"/>
                <w:spacing w:val="-4"/>
                <w:szCs w:val="24"/>
                <w:lang w:val="pl-PL"/>
              </w:rPr>
              <w:t>Hình 1: Tăng trưởng quý 2011-2015, % tăng GDP giá cố định so cùng kỳ</w:t>
            </w:r>
          </w:p>
          <w:p w:rsidR="00752F8C" w:rsidRPr="007152AD" w:rsidRDefault="00752F8C" w:rsidP="00752F8C">
            <w:pPr>
              <w:pStyle w:val="Caption"/>
              <w:spacing w:before="0" w:after="0"/>
              <w:jc w:val="right"/>
              <w:rPr>
                <w:b w:val="0"/>
                <w:i/>
                <w:szCs w:val="24"/>
                <w:lang w:val="pl-PL"/>
              </w:rPr>
            </w:pPr>
            <w:r w:rsidRPr="007152AD">
              <w:rPr>
                <w:b w:val="0"/>
                <w:i/>
                <w:szCs w:val="24"/>
                <w:lang w:val="pl-PL"/>
              </w:rPr>
              <w:t>Đơn vị: %</w:t>
            </w:r>
          </w:p>
          <w:p w:rsidR="00752F8C" w:rsidRDefault="00752F8C" w:rsidP="00752F8C">
            <w:pPr>
              <w:ind w:firstLine="0"/>
              <w:jc w:val="right"/>
              <w:rPr>
                <w:i/>
                <w:sz w:val="20"/>
                <w:szCs w:val="20"/>
              </w:rPr>
            </w:pPr>
            <w:r>
              <w:rPr>
                <w:noProof/>
              </w:rPr>
              <w:drawing>
                <wp:inline distT="0" distB="0" distL="0" distR="0">
                  <wp:extent cx="2733675" cy="1771650"/>
                  <wp:effectExtent l="0" t="0" r="0" b="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2F8C" w:rsidRDefault="00752F8C" w:rsidP="00752F8C">
            <w:pPr>
              <w:ind w:firstLine="0"/>
              <w:jc w:val="right"/>
              <w:rPr>
                <w:sz w:val="24"/>
              </w:rPr>
            </w:pPr>
            <w:r w:rsidRPr="007152AD">
              <w:rPr>
                <w:i/>
                <w:sz w:val="24"/>
              </w:rPr>
              <w:t>Nguồn:</w:t>
            </w:r>
            <w:r w:rsidRPr="007152AD">
              <w:rPr>
                <w:sz w:val="24"/>
              </w:rPr>
              <w:t xml:space="preserve"> UBGSTCQG</w:t>
            </w:r>
          </w:p>
          <w:p w:rsidR="00752F8C" w:rsidRDefault="00752F8C" w:rsidP="004A3A4D">
            <w:pPr>
              <w:pStyle w:val="Caption"/>
              <w:spacing w:before="0" w:after="0"/>
              <w:rPr>
                <w:rFonts w:ascii="Times New Roman Bold" w:hAnsi="Times New Roman Bold"/>
                <w:spacing w:val="-4"/>
                <w:szCs w:val="24"/>
                <w:lang w:val="pl-PL"/>
              </w:rPr>
            </w:pPr>
            <w:r w:rsidRPr="004A3A4D">
              <w:rPr>
                <w:rFonts w:ascii="Times New Roman Bold" w:hAnsi="Times New Roman Bold"/>
                <w:spacing w:val="-4"/>
                <w:szCs w:val="24"/>
                <w:lang w:val="pl-PL"/>
              </w:rPr>
              <w:t>Hình</w:t>
            </w:r>
            <w:r w:rsidR="0086290F">
              <w:rPr>
                <w:rFonts w:ascii="Times New Roman Bold" w:hAnsi="Times New Roman Bold"/>
                <w:spacing w:val="-4"/>
                <w:szCs w:val="24"/>
                <w:lang w:val="pl-PL"/>
              </w:rPr>
              <w:t xml:space="preserve"> 2</w:t>
            </w:r>
            <w:r w:rsidRPr="004A3A4D">
              <w:rPr>
                <w:rFonts w:ascii="Times New Roman Bold" w:hAnsi="Times New Roman Bold"/>
                <w:spacing w:val="-4"/>
                <w:szCs w:val="24"/>
                <w:lang w:val="pl-PL"/>
              </w:rPr>
              <w:t xml:space="preserve">: IIP toàn ngành và ngành công nghiệp chế biến chế tạo </w:t>
            </w:r>
            <w:r w:rsidR="004A3A4D" w:rsidRPr="004A3A4D">
              <w:rPr>
                <w:rFonts w:ascii="Times New Roman Bold" w:hAnsi="Times New Roman Bold"/>
                <w:spacing w:val="-4"/>
                <w:szCs w:val="24"/>
                <w:lang w:val="pl-PL"/>
              </w:rPr>
              <w:t>năm 2015</w:t>
            </w:r>
          </w:p>
          <w:p w:rsidR="004A3A4D" w:rsidRPr="004A3A4D" w:rsidRDefault="004A3A4D" w:rsidP="004A3A4D">
            <w:pPr>
              <w:jc w:val="right"/>
              <w:rPr>
                <w:i/>
                <w:sz w:val="24"/>
                <w:lang w:val="pl-PL"/>
              </w:rPr>
            </w:pPr>
            <w:r w:rsidRPr="004A3A4D">
              <w:rPr>
                <w:i/>
                <w:sz w:val="24"/>
                <w:lang w:val="pl-PL"/>
              </w:rPr>
              <w:t>Đơn vị: %</w:t>
            </w:r>
          </w:p>
          <w:p w:rsidR="00752F8C" w:rsidRPr="007152AD" w:rsidRDefault="00752F8C" w:rsidP="00752F8C">
            <w:pPr>
              <w:ind w:firstLine="0"/>
              <w:jc w:val="right"/>
              <w:rPr>
                <w:sz w:val="24"/>
              </w:rPr>
            </w:pPr>
            <w:r>
              <w:rPr>
                <w:noProof/>
              </w:rPr>
              <w:drawing>
                <wp:inline distT="0" distB="0" distL="0" distR="0">
                  <wp:extent cx="2733675" cy="18192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A98" w:rsidRPr="006F0BC1" w:rsidRDefault="00752F8C" w:rsidP="00BC5190">
            <w:pPr>
              <w:tabs>
                <w:tab w:val="left" w:pos="3060"/>
              </w:tabs>
              <w:spacing w:after="0"/>
              <w:jc w:val="right"/>
              <w:rPr>
                <w:i/>
                <w:sz w:val="24"/>
                <w:lang w:val="pl-PL"/>
              </w:rPr>
            </w:pPr>
            <w:r>
              <w:rPr>
                <w:i/>
                <w:sz w:val="24"/>
                <w:lang w:val="pl-PL"/>
              </w:rPr>
              <w:t xml:space="preserve"> </w:t>
            </w:r>
          </w:p>
          <w:p w:rsidR="006F0BC1" w:rsidRPr="006F0BC1" w:rsidRDefault="004A3A4D" w:rsidP="00BC5190">
            <w:pPr>
              <w:tabs>
                <w:tab w:val="left" w:pos="3060"/>
              </w:tabs>
              <w:spacing w:after="0"/>
              <w:jc w:val="right"/>
              <w:rPr>
                <w:i/>
                <w:sz w:val="24"/>
                <w:lang w:val="pl-PL"/>
              </w:rPr>
            </w:pPr>
            <w:r>
              <w:rPr>
                <w:i/>
                <w:sz w:val="24"/>
                <w:lang w:val="pl-PL"/>
              </w:rPr>
              <w:t xml:space="preserve">Nguồn: </w:t>
            </w:r>
            <w:r w:rsidRPr="004A3A4D">
              <w:rPr>
                <w:sz w:val="24"/>
                <w:lang w:val="pl-PL"/>
              </w:rPr>
              <w:t>TCTK</w:t>
            </w:r>
          </w:p>
          <w:p w:rsidR="006F0BC1" w:rsidRPr="006F0BC1" w:rsidRDefault="006F0BC1" w:rsidP="006F0BC1">
            <w:pPr>
              <w:spacing w:before="120" w:line="288" w:lineRule="auto"/>
              <w:ind w:firstLine="0"/>
              <w:jc w:val="center"/>
              <w:rPr>
                <w:b/>
                <w:sz w:val="24"/>
                <w:szCs w:val="26"/>
                <w:lang w:val="pl-PL"/>
              </w:rPr>
            </w:pPr>
            <w:r w:rsidRPr="006F0BC1">
              <w:rPr>
                <w:b/>
                <w:sz w:val="24"/>
                <w:szCs w:val="26"/>
                <w:lang w:val="pl-PL"/>
              </w:rPr>
              <w:t xml:space="preserve">Hình </w:t>
            </w:r>
            <w:r w:rsidR="0086290F">
              <w:rPr>
                <w:b/>
                <w:sz w:val="24"/>
                <w:szCs w:val="26"/>
                <w:lang w:val="pl-PL"/>
              </w:rPr>
              <w:t>3</w:t>
            </w:r>
            <w:r w:rsidRPr="006F0BC1">
              <w:rPr>
                <w:b/>
                <w:sz w:val="24"/>
                <w:szCs w:val="26"/>
                <w:lang w:val="pl-PL"/>
              </w:rPr>
              <w:t>: Chỉ số niềm tin người tiêu dùng 2014-2015</w:t>
            </w:r>
          </w:p>
          <w:p w:rsidR="006F0BC1" w:rsidRDefault="006F0BC1" w:rsidP="006F0BC1">
            <w:pPr>
              <w:spacing w:before="120" w:line="288" w:lineRule="auto"/>
              <w:ind w:firstLine="0"/>
              <w:jc w:val="right"/>
              <w:rPr>
                <w:sz w:val="24"/>
                <w:szCs w:val="26"/>
                <w:lang w:val="pl-PL"/>
              </w:rPr>
            </w:pPr>
            <w:r w:rsidRPr="006F0BC1">
              <w:rPr>
                <w:noProof/>
                <w:sz w:val="24"/>
              </w:rPr>
              <w:drawing>
                <wp:inline distT="0" distB="0" distL="0" distR="0">
                  <wp:extent cx="2733675" cy="14954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F0BC1">
              <w:rPr>
                <w:i/>
                <w:sz w:val="24"/>
                <w:szCs w:val="26"/>
                <w:lang w:val="pl-PL"/>
              </w:rPr>
              <w:t>Nguồn:</w:t>
            </w:r>
            <w:r w:rsidRPr="006F0BC1">
              <w:rPr>
                <w:sz w:val="24"/>
                <w:szCs w:val="26"/>
                <w:lang w:val="pl-PL"/>
              </w:rPr>
              <w:t xml:space="preserve"> ANZ</w:t>
            </w:r>
          </w:p>
          <w:p w:rsidR="00747462" w:rsidRPr="00747462" w:rsidRDefault="00747462" w:rsidP="00EC74B7">
            <w:pPr>
              <w:spacing w:before="120" w:line="288" w:lineRule="auto"/>
              <w:ind w:firstLine="0"/>
              <w:jc w:val="center"/>
              <w:rPr>
                <w:b/>
                <w:sz w:val="18"/>
                <w:szCs w:val="26"/>
                <w:lang w:val="pl-PL"/>
              </w:rPr>
            </w:pPr>
          </w:p>
          <w:p w:rsidR="006F0BC1" w:rsidRPr="00EC74B7" w:rsidRDefault="004A3A4D" w:rsidP="00EC74B7">
            <w:pPr>
              <w:spacing w:before="120" w:line="288" w:lineRule="auto"/>
              <w:ind w:firstLine="0"/>
              <w:jc w:val="center"/>
              <w:rPr>
                <w:b/>
                <w:sz w:val="24"/>
                <w:lang w:val="pl-PL"/>
              </w:rPr>
            </w:pPr>
            <w:r w:rsidRPr="00EC74B7">
              <w:rPr>
                <w:b/>
                <w:sz w:val="24"/>
                <w:szCs w:val="26"/>
                <w:lang w:val="pl-PL"/>
              </w:rPr>
              <w:t>Hình</w:t>
            </w:r>
            <w:r w:rsidR="0086290F">
              <w:rPr>
                <w:b/>
                <w:sz w:val="24"/>
                <w:szCs w:val="26"/>
                <w:lang w:val="pl-PL"/>
              </w:rPr>
              <w:t xml:space="preserve"> 4</w:t>
            </w:r>
            <w:r w:rsidRPr="00EC74B7">
              <w:rPr>
                <w:b/>
                <w:sz w:val="24"/>
                <w:szCs w:val="26"/>
                <w:lang w:val="pl-PL"/>
              </w:rPr>
              <w:t>: Tổng mức bán lẻ hhdvtd (đã loại trừ yếu tố giá), % so cùng kỳ 2011-2015</w:t>
            </w:r>
          </w:p>
          <w:p w:rsidR="004A3A4D" w:rsidRPr="004A3A4D" w:rsidRDefault="00EC74B7" w:rsidP="006F0BC1">
            <w:pPr>
              <w:tabs>
                <w:tab w:val="left" w:pos="3060"/>
              </w:tabs>
              <w:spacing w:after="0"/>
              <w:ind w:firstLine="0"/>
              <w:rPr>
                <w:sz w:val="24"/>
                <w:lang w:val="pl-PL"/>
              </w:rPr>
            </w:pPr>
            <w:r>
              <w:rPr>
                <w:noProof/>
              </w:rPr>
              <w:drawing>
                <wp:inline distT="0" distB="0" distL="0" distR="0">
                  <wp:extent cx="2743200" cy="13811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3A4D" w:rsidRPr="00EC74B7" w:rsidRDefault="00EC74B7" w:rsidP="00EC74B7">
            <w:pPr>
              <w:ind w:firstLine="0"/>
              <w:jc w:val="right"/>
              <w:rPr>
                <w:sz w:val="24"/>
                <w:lang w:val="pl-PL"/>
              </w:rPr>
            </w:pPr>
            <w:r w:rsidRPr="00EC74B7">
              <w:rPr>
                <w:i/>
                <w:sz w:val="24"/>
                <w:lang w:val="pl-PL"/>
              </w:rPr>
              <w:t>Nguồn:</w:t>
            </w:r>
            <w:r w:rsidRPr="00EC74B7">
              <w:rPr>
                <w:sz w:val="24"/>
                <w:lang w:val="pl-PL"/>
              </w:rPr>
              <w:t xml:space="preserve"> TCTK</w:t>
            </w:r>
          </w:p>
          <w:p w:rsidR="00CD2422" w:rsidRDefault="00CD2422" w:rsidP="006F0BC1">
            <w:pPr>
              <w:ind w:firstLine="0"/>
              <w:jc w:val="center"/>
              <w:rPr>
                <w:b/>
                <w:sz w:val="24"/>
                <w:lang w:val="pl-PL"/>
              </w:rPr>
            </w:pPr>
          </w:p>
          <w:p w:rsidR="00CD2422" w:rsidRDefault="00CD2422" w:rsidP="006F0BC1">
            <w:pPr>
              <w:ind w:firstLine="0"/>
              <w:jc w:val="center"/>
              <w:rPr>
                <w:b/>
                <w:sz w:val="24"/>
                <w:lang w:val="pl-PL"/>
              </w:rPr>
            </w:pPr>
          </w:p>
          <w:p w:rsidR="006F0BC1" w:rsidRPr="006F0BC1" w:rsidRDefault="00EC74B7" w:rsidP="006F0BC1">
            <w:pPr>
              <w:ind w:firstLine="0"/>
              <w:jc w:val="center"/>
              <w:rPr>
                <w:b/>
                <w:sz w:val="24"/>
                <w:lang w:val="pl-PL"/>
              </w:rPr>
            </w:pPr>
            <w:r>
              <w:rPr>
                <w:b/>
                <w:sz w:val="24"/>
                <w:lang w:val="pl-PL"/>
              </w:rPr>
              <w:t>Hình</w:t>
            </w:r>
            <w:r w:rsidR="0086290F">
              <w:rPr>
                <w:b/>
                <w:sz w:val="24"/>
                <w:lang w:val="pl-PL"/>
              </w:rPr>
              <w:t xml:space="preserve"> 5</w:t>
            </w:r>
            <w:r w:rsidR="006F0BC1" w:rsidRPr="006F0BC1">
              <w:rPr>
                <w:b/>
                <w:sz w:val="24"/>
                <w:lang w:val="pl-PL"/>
              </w:rPr>
              <w:t>: Số doanh nghiệp thành lập mới và giải thể</w:t>
            </w:r>
            <w:r>
              <w:rPr>
                <w:b/>
                <w:sz w:val="24"/>
                <w:lang w:val="pl-PL"/>
              </w:rPr>
              <w:t xml:space="preserve"> 2013-2015</w:t>
            </w:r>
          </w:p>
          <w:p w:rsidR="006F0BC1" w:rsidRPr="006F0BC1" w:rsidRDefault="004127BE" w:rsidP="006F0BC1">
            <w:pPr>
              <w:ind w:firstLine="0"/>
              <w:rPr>
                <w:sz w:val="24"/>
              </w:rPr>
            </w:pPr>
            <w:r>
              <w:rPr>
                <w:noProof/>
              </w:rPr>
              <w:drawing>
                <wp:inline distT="0" distB="0" distL="0" distR="0">
                  <wp:extent cx="2743200" cy="1704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0BC1" w:rsidRPr="006F0BC1" w:rsidRDefault="006F0BC1" w:rsidP="00EC74B7">
            <w:pPr>
              <w:ind w:firstLine="0"/>
              <w:jc w:val="right"/>
              <w:rPr>
                <w:sz w:val="24"/>
              </w:rPr>
            </w:pPr>
            <w:r w:rsidRPr="006F0BC1">
              <w:rPr>
                <w:i/>
                <w:sz w:val="24"/>
              </w:rPr>
              <w:t>Nguồn</w:t>
            </w:r>
            <w:r w:rsidRPr="006F0BC1">
              <w:rPr>
                <w:sz w:val="24"/>
              </w:rPr>
              <w:t>: TCTK</w:t>
            </w:r>
          </w:p>
          <w:p w:rsidR="00CD2422" w:rsidRDefault="00CD2422" w:rsidP="004127BE">
            <w:pPr>
              <w:tabs>
                <w:tab w:val="left" w:pos="3060"/>
              </w:tabs>
              <w:spacing w:after="0"/>
              <w:ind w:firstLine="34"/>
              <w:jc w:val="center"/>
              <w:rPr>
                <w:b/>
                <w:sz w:val="24"/>
                <w:lang w:val="pl-PL"/>
              </w:rPr>
            </w:pPr>
          </w:p>
          <w:p w:rsidR="00CD2422" w:rsidRPr="00D705EB" w:rsidRDefault="00CD2422" w:rsidP="00D705EB">
            <w:pPr>
              <w:tabs>
                <w:tab w:val="left" w:pos="3060"/>
              </w:tabs>
              <w:spacing w:after="0"/>
              <w:ind w:firstLine="34"/>
              <w:rPr>
                <w:b/>
                <w:sz w:val="20"/>
                <w:lang w:val="pl-PL"/>
              </w:rPr>
            </w:pPr>
          </w:p>
          <w:p w:rsidR="006F0BC1" w:rsidRPr="004127BE" w:rsidRDefault="004127BE" w:rsidP="004127BE">
            <w:pPr>
              <w:tabs>
                <w:tab w:val="left" w:pos="3060"/>
              </w:tabs>
              <w:spacing w:after="0"/>
              <w:ind w:firstLine="34"/>
              <w:jc w:val="center"/>
              <w:rPr>
                <w:b/>
                <w:sz w:val="24"/>
                <w:lang w:val="pl-PL"/>
              </w:rPr>
            </w:pPr>
            <w:r w:rsidRPr="004127BE">
              <w:rPr>
                <w:b/>
                <w:sz w:val="24"/>
                <w:lang w:val="pl-PL"/>
              </w:rPr>
              <w:t>Hình</w:t>
            </w:r>
            <w:r w:rsidR="0086290F">
              <w:rPr>
                <w:b/>
                <w:sz w:val="24"/>
                <w:lang w:val="pl-PL"/>
              </w:rPr>
              <w:t xml:space="preserve"> 6</w:t>
            </w:r>
            <w:r w:rsidRPr="004127BE">
              <w:rPr>
                <w:b/>
                <w:sz w:val="24"/>
                <w:lang w:val="pl-PL"/>
              </w:rPr>
              <w:t xml:space="preserve">: Nhập khẩu máy móc, thiết bị </w:t>
            </w:r>
            <w:r>
              <w:rPr>
                <w:b/>
                <w:sz w:val="24"/>
                <w:lang w:val="pl-PL"/>
              </w:rPr>
              <w:t xml:space="preserve">giai đoạn </w:t>
            </w:r>
            <w:r w:rsidRPr="004127BE">
              <w:rPr>
                <w:b/>
                <w:sz w:val="24"/>
                <w:lang w:val="pl-PL"/>
              </w:rPr>
              <w:t>2013-2015 (triệu USD)</w:t>
            </w:r>
          </w:p>
          <w:p w:rsidR="004127BE" w:rsidRDefault="004127BE" w:rsidP="006F0BC1">
            <w:pPr>
              <w:tabs>
                <w:tab w:val="left" w:pos="3060"/>
              </w:tabs>
              <w:spacing w:after="0"/>
              <w:ind w:firstLine="34"/>
              <w:jc w:val="right"/>
              <w:rPr>
                <w:sz w:val="24"/>
                <w:lang w:val="pl-PL"/>
              </w:rPr>
            </w:pPr>
            <w:r>
              <w:rPr>
                <w:noProof/>
              </w:rPr>
              <w:drawing>
                <wp:inline distT="0" distB="0" distL="0" distR="0">
                  <wp:extent cx="2705100" cy="13906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27BE" w:rsidRPr="004127BE" w:rsidRDefault="004127BE" w:rsidP="006F0BC1">
            <w:pPr>
              <w:tabs>
                <w:tab w:val="left" w:pos="3060"/>
              </w:tabs>
              <w:spacing w:after="0"/>
              <w:ind w:firstLine="34"/>
              <w:jc w:val="right"/>
              <w:rPr>
                <w:sz w:val="24"/>
                <w:lang w:val="pl-PL"/>
              </w:rPr>
            </w:pPr>
            <w:r w:rsidRPr="004127BE">
              <w:rPr>
                <w:i/>
                <w:sz w:val="24"/>
                <w:lang w:val="pl-PL"/>
              </w:rPr>
              <w:t>Nguồn:</w:t>
            </w:r>
            <w:r>
              <w:rPr>
                <w:sz w:val="24"/>
                <w:lang w:val="pl-PL"/>
              </w:rPr>
              <w:t xml:space="preserve"> TCTK</w:t>
            </w:r>
          </w:p>
        </w:tc>
      </w:tr>
    </w:tbl>
    <w:p w:rsidR="007C6284" w:rsidRPr="00546FC0" w:rsidRDefault="007C6284" w:rsidP="00546FC0">
      <w:pPr>
        <w:spacing w:before="120" w:line="288" w:lineRule="auto"/>
        <w:rPr>
          <w:bCs/>
          <w:spacing w:val="4"/>
          <w:sz w:val="26"/>
          <w:szCs w:val="26"/>
          <w:lang w:val="de-DE"/>
        </w:rPr>
      </w:pPr>
      <w:r w:rsidRPr="00546FC0">
        <w:rPr>
          <w:b/>
          <w:bCs/>
          <w:i/>
          <w:spacing w:val="4"/>
          <w:sz w:val="26"/>
          <w:szCs w:val="26"/>
          <w:lang w:val="de-DE"/>
        </w:rPr>
        <w:lastRenderedPageBreak/>
        <w:t>Tóm lại,</w:t>
      </w:r>
      <w:r w:rsidRPr="00546FC0">
        <w:rPr>
          <w:bCs/>
          <w:spacing w:val="4"/>
          <w:sz w:val="26"/>
          <w:szCs w:val="26"/>
          <w:lang w:val="de-DE"/>
        </w:rPr>
        <w:t xml:space="preserve"> năm 2016 tăng trưởng GDP có một số thuận lợi sau: hiệp định thương mại được ký kết, đầu tư khu vực tư nhân và nước ngoài khả quan hơn, môi trường kinh doanh tiếp tục được cải thiện nhờ triển khai các Luật mới ban hành và sửa đổi. </w:t>
      </w:r>
      <w:r w:rsidRPr="00546FC0">
        <w:rPr>
          <w:bCs/>
          <w:spacing w:val="4"/>
          <w:sz w:val="26"/>
          <w:szCs w:val="26"/>
          <w:lang w:val="de-DE"/>
        </w:rPr>
        <w:lastRenderedPageBreak/>
        <w:t>Tuy nhiên, các thách thức đối với tăng trưởng là không nhỏ: xu hướng tăng chậm lại của khu vực nông sản- thủy sản và xuất khẩu nông sản; khu vực doanh nghiệp còn nhiều khó khăn; xuất khẩu của khu vực kinh tế trong nước còn hạn chế</w:t>
      </w:r>
      <w:r w:rsidR="00546FC0" w:rsidRPr="00546FC0">
        <w:rPr>
          <w:bCs/>
          <w:spacing w:val="4"/>
          <w:sz w:val="26"/>
          <w:szCs w:val="26"/>
          <w:lang w:val="de-DE"/>
        </w:rPr>
        <w:t xml:space="preserve">; cổ phần hóa DNNN và tái cơ cấu nền kinh tế còn chậm. </w:t>
      </w:r>
    </w:p>
    <w:p w:rsidR="001649AF" w:rsidRPr="005C6A26" w:rsidRDefault="001649AF" w:rsidP="00BC5190">
      <w:pPr>
        <w:spacing w:before="120"/>
        <w:ind w:firstLine="0"/>
        <w:rPr>
          <w:rFonts w:eastAsiaTheme="minorEastAsia"/>
          <w:b/>
          <w:sz w:val="26"/>
          <w:szCs w:val="26"/>
          <w:lang w:val="de-DE"/>
        </w:rPr>
      </w:pPr>
      <w:r w:rsidRPr="005C6A26">
        <w:rPr>
          <w:rFonts w:eastAsiaTheme="minorEastAsia"/>
          <w:b/>
          <w:sz w:val="26"/>
          <w:szCs w:val="26"/>
          <w:lang w:val="pl-PL"/>
        </w:rPr>
        <w:t>2.</w:t>
      </w:r>
      <w:r w:rsidR="002F011D">
        <w:rPr>
          <w:rFonts w:eastAsia="Calibri"/>
          <w:b/>
          <w:sz w:val="26"/>
          <w:lang w:val="de-DE"/>
        </w:rPr>
        <w:t xml:space="preserve"> Ổn định vĩ mô được duy trì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536"/>
      </w:tblGrid>
      <w:tr w:rsidR="004D73AA" w:rsidRPr="00911CA9" w:rsidTr="005E1A95">
        <w:trPr>
          <w:trHeight w:val="425"/>
        </w:trPr>
        <w:tc>
          <w:tcPr>
            <w:tcW w:w="5211" w:type="dxa"/>
          </w:tcPr>
          <w:p w:rsidR="004127BE" w:rsidRPr="00216E54" w:rsidRDefault="00CF408F" w:rsidP="00216E54">
            <w:pPr>
              <w:spacing w:before="120" w:line="288" w:lineRule="auto"/>
              <w:rPr>
                <w:bCs/>
                <w:spacing w:val="4"/>
                <w:sz w:val="26"/>
                <w:szCs w:val="26"/>
                <w:lang w:val="de-DE"/>
              </w:rPr>
            </w:pPr>
            <w:r w:rsidRPr="00216E54">
              <w:rPr>
                <w:bCs/>
                <w:i/>
                <w:spacing w:val="4"/>
                <w:sz w:val="26"/>
                <w:szCs w:val="26"/>
                <w:lang w:val="de-DE"/>
              </w:rPr>
              <w:t xml:space="preserve">- </w:t>
            </w:r>
            <w:r w:rsidR="004127BE" w:rsidRPr="00216E54">
              <w:rPr>
                <w:bCs/>
                <w:i/>
                <w:spacing w:val="4"/>
                <w:sz w:val="26"/>
                <w:szCs w:val="26"/>
                <w:lang w:val="de-DE"/>
              </w:rPr>
              <w:t>Lạm phát kiểm soát ở mức thấp.</w:t>
            </w:r>
            <w:r w:rsidR="004127BE" w:rsidRPr="00216E54">
              <w:rPr>
                <w:bCs/>
                <w:spacing w:val="4"/>
                <w:sz w:val="26"/>
                <w:szCs w:val="26"/>
                <w:lang w:val="de-DE"/>
              </w:rPr>
              <w:t xml:space="preserve"> </w:t>
            </w:r>
            <w:r w:rsidR="00A5712B" w:rsidRPr="00216E54">
              <w:rPr>
                <w:bCs/>
                <w:spacing w:val="4"/>
                <w:sz w:val="26"/>
                <w:szCs w:val="26"/>
                <w:lang w:val="de-DE"/>
              </w:rPr>
              <w:t>Tháng 1 năm 2016, lạm phát ở mức 0,8% (so cùng kỳ), tăng nhẹ so với tháng trước</w:t>
            </w:r>
            <w:r w:rsidR="00216E54">
              <w:rPr>
                <w:bCs/>
                <w:spacing w:val="4"/>
                <w:sz w:val="26"/>
                <w:szCs w:val="26"/>
                <w:lang w:val="de-DE"/>
              </w:rPr>
              <w:t>. Lạm phát thấp do giá dầu và giá hàng hóa thế giới giảm mạnh. T</w:t>
            </w:r>
            <w:r w:rsidR="00A5712B" w:rsidRPr="00216E54">
              <w:rPr>
                <w:bCs/>
                <w:spacing w:val="4"/>
                <w:sz w:val="26"/>
                <w:szCs w:val="26"/>
                <w:lang w:val="de-DE"/>
              </w:rPr>
              <w:t>uy nhiên, lạm phát cơ bản</w:t>
            </w:r>
            <w:r w:rsidR="00216E54">
              <w:rPr>
                <w:bCs/>
                <w:spacing w:val="4"/>
                <w:sz w:val="26"/>
                <w:szCs w:val="26"/>
                <w:lang w:val="de-DE"/>
              </w:rPr>
              <w:t xml:space="preserve"> cũng duy trì xu hướng</w:t>
            </w:r>
            <w:r w:rsidR="00A5712B" w:rsidRPr="00216E54">
              <w:rPr>
                <w:bCs/>
                <w:spacing w:val="4"/>
                <w:sz w:val="26"/>
                <w:szCs w:val="26"/>
                <w:lang w:val="de-DE"/>
              </w:rPr>
              <w:t xml:space="preserve"> giảm </w:t>
            </w:r>
            <w:r w:rsidR="00216E54">
              <w:rPr>
                <w:bCs/>
                <w:spacing w:val="4"/>
                <w:sz w:val="26"/>
                <w:szCs w:val="26"/>
                <w:lang w:val="de-DE"/>
              </w:rPr>
              <w:t xml:space="preserve">nhẹ kể từ quý 3/2015,  </w:t>
            </w:r>
            <w:r w:rsidR="00A5712B" w:rsidRPr="00216E54">
              <w:rPr>
                <w:bCs/>
                <w:spacing w:val="4"/>
                <w:sz w:val="26"/>
                <w:szCs w:val="26"/>
                <w:lang w:val="de-DE"/>
              </w:rPr>
              <w:t>còn 1,8%</w:t>
            </w:r>
            <w:r w:rsidR="00216E54">
              <w:rPr>
                <w:bCs/>
                <w:spacing w:val="4"/>
                <w:sz w:val="26"/>
                <w:szCs w:val="26"/>
                <w:lang w:val="de-DE"/>
              </w:rPr>
              <w:t xml:space="preserve"> vào tháng 1/2016. </w:t>
            </w:r>
            <w:r w:rsidR="00A5712B" w:rsidRPr="00216E54">
              <w:rPr>
                <w:bCs/>
                <w:spacing w:val="4"/>
                <w:sz w:val="26"/>
                <w:szCs w:val="26"/>
                <w:lang w:val="de-DE"/>
              </w:rPr>
              <w:t xml:space="preserve"> </w:t>
            </w:r>
          </w:p>
          <w:p w:rsidR="00B73CDF" w:rsidRPr="00F05DE7" w:rsidRDefault="004127BE" w:rsidP="00B677E3">
            <w:pPr>
              <w:spacing w:before="120" w:line="288" w:lineRule="auto"/>
              <w:rPr>
                <w:color w:val="222222"/>
                <w:sz w:val="26"/>
                <w:szCs w:val="28"/>
                <w:shd w:val="clear" w:color="auto" w:fill="FFFFFF"/>
                <w:lang w:val="pl-PL"/>
              </w:rPr>
            </w:pPr>
            <w:r w:rsidRPr="00B73CDF">
              <w:rPr>
                <w:i/>
                <w:color w:val="222222"/>
                <w:sz w:val="26"/>
                <w:szCs w:val="28"/>
                <w:shd w:val="clear" w:color="auto" w:fill="FFFFFF"/>
                <w:lang w:val="pl-PL"/>
              </w:rPr>
              <w:t xml:space="preserve"> </w:t>
            </w:r>
            <w:r w:rsidR="00CF408F" w:rsidRPr="00B73CDF">
              <w:rPr>
                <w:bCs/>
                <w:i/>
                <w:spacing w:val="4"/>
                <w:sz w:val="26"/>
                <w:szCs w:val="26"/>
                <w:lang w:val="de-DE"/>
              </w:rPr>
              <w:t>- Thị trường ngoại hối</w:t>
            </w:r>
            <w:r w:rsidR="00216E54" w:rsidRPr="00B73CDF">
              <w:rPr>
                <w:bCs/>
                <w:i/>
                <w:spacing w:val="4"/>
                <w:sz w:val="26"/>
                <w:szCs w:val="26"/>
                <w:lang w:val="de-DE"/>
              </w:rPr>
              <w:t xml:space="preserve"> ổn định.</w:t>
            </w:r>
            <w:r w:rsidR="00216E54" w:rsidRPr="00B73CDF">
              <w:rPr>
                <w:bCs/>
                <w:spacing w:val="4"/>
                <w:sz w:val="26"/>
                <w:szCs w:val="26"/>
                <w:lang w:val="de-DE"/>
              </w:rPr>
              <w:t xml:space="preserve"> </w:t>
            </w:r>
            <w:r w:rsidR="00122538" w:rsidRPr="00B73CDF">
              <w:rPr>
                <w:bCs/>
                <w:spacing w:val="4"/>
                <w:sz w:val="26"/>
                <w:szCs w:val="26"/>
                <w:lang w:val="de-DE"/>
              </w:rPr>
              <w:t>Bước vào năm 2016, NHNN áp dụng chính sách tỷ giá trung tâm</w:t>
            </w:r>
            <w:r w:rsidR="00B73CDF">
              <w:rPr>
                <w:rStyle w:val="FootnoteReference"/>
                <w:bCs/>
                <w:spacing w:val="4"/>
                <w:sz w:val="26"/>
                <w:szCs w:val="26"/>
                <w:lang w:val="de-DE"/>
              </w:rPr>
              <w:footnoteReference w:id="7"/>
            </w:r>
            <w:r w:rsidR="00122538" w:rsidRPr="00B73CDF">
              <w:rPr>
                <w:bCs/>
                <w:spacing w:val="4"/>
                <w:sz w:val="26"/>
                <w:szCs w:val="26"/>
                <w:lang w:val="de-DE"/>
              </w:rPr>
              <w:t xml:space="preserve">, một chính sách tỷ giá linh hoạt nhằm đáp ứng tốt hơn các biến động khó lường của thị trường tiền tệ </w:t>
            </w:r>
            <w:r w:rsidR="00B73CDF" w:rsidRPr="00B73CDF">
              <w:rPr>
                <w:bCs/>
                <w:spacing w:val="4"/>
                <w:sz w:val="26"/>
                <w:szCs w:val="26"/>
                <w:lang w:val="de-DE"/>
              </w:rPr>
              <w:t xml:space="preserve">và thương mại quốc tế năm 2016. </w:t>
            </w:r>
            <w:r w:rsidR="00AC2803">
              <w:rPr>
                <w:bCs/>
                <w:spacing w:val="4"/>
                <w:sz w:val="26"/>
                <w:szCs w:val="26"/>
                <w:lang w:val="de-DE"/>
              </w:rPr>
              <w:t xml:space="preserve">Tỷ giá biến động theo xu hướng giảm nhẹ do nguồn cung khá tốt (như kiều hối), trong khi cầu ngoại tệ nhập khẩu giảm (do yếu tố mùa vụ). Tuy nhiên, áp lực lên tỷ giá trong năm 2016 là khá lớn do khả năng tăng giá của đồng USD khi nền kinh tế Mỹ khởi sắc, trong khi đồng NDT nhiều khả năng tiếp tục phá giá để duy trì xuất khẩu và việc làm của nền kinh tế Trung Quốc. </w:t>
            </w:r>
          </w:p>
        </w:tc>
        <w:tc>
          <w:tcPr>
            <w:tcW w:w="4536" w:type="dxa"/>
          </w:tcPr>
          <w:p w:rsidR="00986529" w:rsidRPr="00216E54" w:rsidRDefault="00216E54" w:rsidP="00216E54">
            <w:pPr>
              <w:tabs>
                <w:tab w:val="left" w:pos="3060"/>
              </w:tabs>
              <w:spacing w:before="120"/>
              <w:ind w:firstLine="9"/>
              <w:jc w:val="center"/>
              <w:rPr>
                <w:b/>
                <w:sz w:val="24"/>
                <w:szCs w:val="26"/>
                <w:lang w:val="pl-PL"/>
              </w:rPr>
            </w:pPr>
            <w:r w:rsidRPr="00216E54">
              <w:rPr>
                <w:b/>
                <w:sz w:val="24"/>
                <w:szCs w:val="26"/>
                <w:lang w:val="pl-PL"/>
              </w:rPr>
              <w:t>Hình</w:t>
            </w:r>
            <w:r w:rsidR="0086290F">
              <w:rPr>
                <w:b/>
                <w:sz w:val="24"/>
                <w:szCs w:val="26"/>
                <w:lang w:val="pl-PL"/>
              </w:rPr>
              <w:t xml:space="preserve"> 7</w:t>
            </w:r>
            <w:r w:rsidRPr="00216E54">
              <w:rPr>
                <w:b/>
                <w:sz w:val="24"/>
                <w:szCs w:val="26"/>
                <w:lang w:val="pl-PL"/>
              </w:rPr>
              <w:t>: Lạm phát và lạm phát cơ bản T1/2014-T1/2015</w:t>
            </w:r>
          </w:p>
          <w:p w:rsidR="00B73CDF" w:rsidRDefault="00216E54" w:rsidP="00C8046E">
            <w:pPr>
              <w:tabs>
                <w:tab w:val="left" w:pos="3060"/>
              </w:tabs>
              <w:spacing w:before="120"/>
              <w:ind w:firstLine="9"/>
              <w:jc w:val="right"/>
              <w:rPr>
                <w:sz w:val="24"/>
                <w:szCs w:val="26"/>
                <w:lang w:val="pl-PL"/>
              </w:rPr>
            </w:pPr>
            <w:r>
              <w:rPr>
                <w:noProof/>
              </w:rPr>
              <w:drawing>
                <wp:inline distT="0" distB="0" distL="0" distR="0">
                  <wp:extent cx="2590800" cy="17621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E54" w:rsidRDefault="00B73CDF" w:rsidP="00B73CDF">
            <w:pPr>
              <w:jc w:val="right"/>
              <w:rPr>
                <w:sz w:val="24"/>
                <w:szCs w:val="26"/>
                <w:lang w:val="pl-PL"/>
              </w:rPr>
            </w:pPr>
            <w:r w:rsidRPr="00B73CDF">
              <w:rPr>
                <w:i/>
                <w:sz w:val="24"/>
                <w:szCs w:val="26"/>
                <w:lang w:val="pl-PL"/>
              </w:rPr>
              <w:t>Nguồn:</w:t>
            </w:r>
            <w:r>
              <w:rPr>
                <w:sz w:val="24"/>
                <w:szCs w:val="26"/>
                <w:lang w:val="pl-PL"/>
              </w:rPr>
              <w:t xml:space="preserve"> TCTK &amp; UBGSTCQG</w:t>
            </w:r>
          </w:p>
          <w:p w:rsidR="00B73CDF" w:rsidRPr="00B73CDF" w:rsidRDefault="00B73CDF" w:rsidP="00B73CDF">
            <w:pPr>
              <w:ind w:firstLine="0"/>
              <w:jc w:val="center"/>
              <w:rPr>
                <w:b/>
                <w:sz w:val="24"/>
                <w:szCs w:val="26"/>
                <w:lang w:val="pl-PL"/>
              </w:rPr>
            </w:pPr>
            <w:r w:rsidRPr="00B73CDF">
              <w:rPr>
                <w:b/>
                <w:sz w:val="24"/>
                <w:szCs w:val="26"/>
                <w:lang w:val="pl-PL"/>
              </w:rPr>
              <w:t>Hình</w:t>
            </w:r>
            <w:r w:rsidR="0086290F">
              <w:rPr>
                <w:b/>
                <w:sz w:val="24"/>
                <w:szCs w:val="26"/>
                <w:lang w:val="pl-PL"/>
              </w:rPr>
              <w:t xml:space="preserve"> 8</w:t>
            </w:r>
            <w:r w:rsidRPr="00B73CDF">
              <w:rPr>
                <w:b/>
                <w:sz w:val="24"/>
                <w:szCs w:val="26"/>
                <w:lang w:val="pl-PL"/>
              </w:rPr>
              <w:t xml:space="preserve">: Tỷ giá </w:t>
            </w:r>
            <w:r>
              <w:rPr>
                <w:b/>
                <w:sz w:val="24"/>
                <w:szCs w:val="26"/>
                <w:lang w:val="pl-PL"/>
              </w:rPr>
              <w:t>bình quân liên ngân hàng và tỷ giá chính thức</w:t>
            </w:r>
          </w:p>
          <w:p w:rsidR="00B73CDF" w:rsidRPr="00B73CDF" w:rsidRDefault="00546FC0" w:rsidP="00B73CDF">
            <w:pPr>
              <w:ind w:firstLine="0"/>
              <w:jc w:val="right"/>
              <w:rPr>
                <w:sz w:val="24"/>
                <w:szCs w:val="26"/>
                <w:lang w:val="pl-PL"/>
              </w:rPr>
            </w:pPr>
            <w:r>
              <w:object w:dxaOrig="708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32pt" o:ole="">
                  <v:imagedata r:id="rId15" o:title=""/>
                </v:shape>
                <o:OLEObject Type="Embed" ProgID="PBrush" ShapeID="_x0000_i1025" DrawAspect="Content" ObjectID="_1516973375" r:id="rId16"/>
              </w:object>
            </w:r>
            <w:r w:rsidR="00B73CDF" w:rsidRPr="00B73CDF">
              <w:rPr>
                <w:i/>
                <w:sz w:val="24"/>
              </w:rPr>
              <w:t>Nguồn:</w:t>
            </w:r>
            <w:r w:rsidR="00B73CDF" w:rsidRPr="00B73CDF">
              <w:rPr>
                <w:sz w:val="24"/>
              </w:rPr>
              <w:t xml:space="preserve"> BVSC</w:t>
            </w:r>
          </w:p>
        </w:tc>
      </w:tr>
    </w:tbl>
    <w:p w:rsidR="00D83BE6" w:rsidRPr="005C6A26" w:rsidRDefault="00CF408F" w:rsidP="00BC5190">
      <w:pPr>
        <w:spacing w:before="120"/>
        <w:ind w:firstLine="0"/>
        <w:rPr>
          <w:b/>
          <w:sz w:val="26"/>
          <w:szCs w:val="26"/>
          <w:lang w:val="sv-SE"/>
        </w:rPr>
      </w:pPr>
      <w:r>
        <w:rPr>
          <w:b/>
          <w:sz w:val="26"/>
          <w:szCs w:val="26"/>
          <w:lang w:val="sv-SE"/>
        </w:rPr>
        <w:t>3</w:t>
      </w:r>
      <w:r w:rsidR="00D83BE6" w:rsidRPr="005C6A26">
        <w:rPr>
          <w:b/>
          <w:sz w:val="26"/>
          <w:szCs w:val="26"/>
          <w:lang w:val="sv-SE"/>
        </w:rPr>
        <w:t xml:space="preserve">. </w:t>
      </w:r>
      <w:r w:rsidR="00303A5A">
        <w:rPr>
          <w:b/>
          <w:sz w:val="26"/>
          <w:szCs w:val="26"/>
          <w:lang w:val="sv-SE"/>
        </w:rPr>
        <w:t>Hệ thống tài chính ổn định</w:t>
      </w:r>
      <w:r w:rsidR="00392E13">
        <w:rPr>
          <w:b/>
          <w:sz w:val="26"/>
          <w:szCs w:val="26"/>
          <w:lang w:val="sv-SE"/>
        </w:rPr>
        <w:t xml:space="preserve"> </w:t>
      </w:r>
    </w:p>
    <w:p w:rsidR="00CF408F" w:rsidRPr="00B677E3" w:rsidRDefault="00AC2803" w:rsidP="00CF408F">
      <w:pPr>
        <w:spacing w:before="120"/>
        <w:ind w:firstLine="0"/>
        <w:rPr>
          <w:b/>
          <w:i/>
          <w:sz w:val="26"/>
          <w:szCs w:val="26"/>
          <w:lang w:val="pl-PL"/>
        </w:rPr>
      </w:pPr>
      <w:r w:rsidRPr="00B677E3">
        <w:rPr>
          <w:b/>
          <w:i/>
          <w:sz w:val="24"/>
          <w:lang w:val="pl-PL"/>
        </w:rPr>
        <w:t xml:space="preserve">3.1. </w:t>
      </w:r>
      <w:r w:rsidR="00CF408F" w:rsidRPr="00B677E3">
        <w:rPr>
          <w:b/>
          <w:i/>
          <w:sz w:val="26"/>
          <w:szCs w:val="26"/>
          <w:lang w:val="pl-PL"/>
        </w:rPr>
        <w:t>Khu vực ngân hàng</w:t>
      </w:r>
      <w:r w:rsidR="00443966">
        <w:rPr>
          <w:b/>
          <w:i/>
          <w:sz w:val="26"/>
          <w:szCs w:val="26"/>
          <w:lang w:val="pl-PL"/>
        </w:rPr>
        <w:t xml:space="preserve"> ổn định </w:t>
      </w:r>
    </w:p>
    <w:p w:rsidR="00AC2803" w:rsidRDefault="00AB30E7" w:rsidP="00AB30E7">
      <w:pPr>
        <w:spacing w:before="120" w:line="288" w:lineRule="auto"/>
        <w:rPr>
          <w:bCs/>
          <w:spacing w:val="4"/>
          <w:sz w:val="26"/>
          <w:szCs w:val="26"/>
          <w:lang w:val="de-DE"/>
        </w:rPr>
      </w:pPr>
      <w:r>
        <w:rPr>
          <w:bCs/>
          <w:i/>
          <w:spacing w:val="4"/>
          <w:sz w:val="26"/>
          <w:szCs w:val="26"/>
          <w:lang w:val="de-DE"/>
        </w:rPr>
        <w:t xml:space="preserve">- </w:t>
      </w:r>
      <w:r w:rsidR="00610468">
        <w:rPr>
          <w:bCs/>
          <w:i/>
          <w:spacing w:val="4"/>
          <w:sz w:val="26"/>
          <w:szCs w:val="26"/>
          <w:lang w:val="de-DE"/>
        </w:rPr>
        <w:t>Tín dụng tăng khá, cơ cấu tín dụng chuyển động theo hướng tích cực</w:t>
      </w:r>
      <w:r w:rsidR="00B677E3" w:rsidRPr="00AB30E7">
        <w:rPr>
          <w:bCs/>
          <w:i/>
          <w:spacing w:val="4"/>
          <w:sz w:val="26"/>
          <w:szCs w:val="26"/>
          <w:lang w:val="de-DE"/>
        </w:rPr>
        <w:t>.</w:t>
      </w:r>
      <w:r w:rsidR="00B677E3" w:rsidRPr="00AB30E7">
        <w:rPr>
          <w:bCs/>
          <w:spacing w:val="4"/>
          <w:sz w:val="26"/>
          <w:szCs w:val="26"/>
          <w:lang w:val="de-DE"/>
        </w:rPr>
        <w:t xml:space="preserve"> Cả năm 2015, tín dụng tăng 18%</w:t>
      </w:r>
      <w:r w:rsidRPr="00AB30E7">
        <w:rPr>
          <w:bCs/>
          <w:spacing w:val="4"/>
          <w:sz w:val="26"/>
          <w:szCs w:val="26"/>
          <w:lang w:val="de-DE"/>
        </w:rPr>
        <w:t xml:space="preserve"> (nếu tính cả TPDN thì tăng trưởng tín dụng ở mức 19,3%), cao hơn nhiều so với kế hoạch đầu năm (13</w:t>
      </w:r>
      <w:r w:rsidR="00747462">
        <w:rPr>
          <w:bCs/>
          <w:spacing w:val="4"/>
          <w:sz w:val="26"/>
          <w:szCs w:val="26"/>
          <w:lang w:val="de-DE"/>
        </w:rPr>
        <w:t>%</w:t>
      </w:r>
      <w:r w:rsidRPr="00AB30E7">
        <w:rPr>
          <w:bCs/>
          <w:spacing w:val="4"/>
          <w:sz w:val="26"/>
          <w:szCs w:val="26"/>
          <w:lang w:val="de-DE"/>
        </w:rPr>
        <w:t>-15%). T</w:t>
      </w:r>
      <w:r w:rsidR="00B677E3" w:rsidRPr="00AB30E7">
        <w:rPr>
          <w:bCs/>
          <w:spacing w:val="4"/>
          <w:sz w:val="26"/>
          <w:szCs w:val="26"/>
          <w:lang w:val="de-DE"/>
        </w:rPr>
        <w:t xml:space="preserve">rong đó tín dụng trung và dài hạn tăng </w:t>
      </w:r>
      <w:r w:rsidRPr="00AB30E7">
        <w:rPr>
          <w:bCs/>
          <w:spacing w:val="4"/>
          <w:sz w:val="26"/>
          <w:szCs w:val="26"/>
          <w:lang w:val="de-DE"/>
        </w:rPr>
        <w:t>31,4%, cao hơn nhiều so với tă</w:t>
      </w:r>
      <w:r w:rsidR="00747462">
        <w:rPr>
          <w:bCs/>
          <w:spacing w:val="4"/>
          <w:sz w:val="26"/>
          <w:szCs w:val="26"/>
          <w:lang w:val="de-DE"/>
        </w:rPr>
        <w:t>ng trưởng tín dụng ngắn hạn (7</w:t>
      </w:r>
      <w:r w:rsidRPr="00AB30E7">
        <w:rPr>
          <w:bCs/>
          <w:spacing w:val="4"/>
          <w:sz w:val="26"/>
          <w:szCs w:val="26"/>
          <w:lang w:val="de-DE"/>
        </w:rPr>
        <w:t xml:space="preserve">%). Trong bối cảnh khu vực doanh nghiệp tái cấu trúc mạnh mẽ sau giai đoạn khủng hoảng, </w:t>
      </w:r>
      <w:r>
        <w:rPr>
          <w:bCs/>
          <w:spacing w:val="4"/>
          <w:sz w:val="26"/>
          <w:szCs w:val="26"/>
          <w:lang w:val="de-DE"/>
        </w:rPr>
        <w:t xml:space="preserve">cầu đối với nguồn vốn trung và dài hạn tăng cao để đáp ứng yêu cầu đầu tư dài hạn và đổi mới </w:t>
      </w:r>
      <w:r>
        <w:rPr>
          <w:bCs/>
          <w:spacing w:val="4"/>
          <w:sz w:val="26"/>
          <w:szCs w:val="26"/>
          <w:lang w:val="de-DE"/>
        </w:rPr>
        <w:lastRenderedPageBreak/>
        <w:t>công nghệ.</w:t>
      </w:r>
      <w:r w:rsidR="00443966">
        <w:rPr>
          <w:bCs/>
          <w:spacing w:val="4"/>
          <w:sz w:val="26"/>
          <w:szCs w:val="26"/>
          <w:lang w:val="de-DE"/>
        </w:rPr>
        <w:t xml:space="preserve"> </w:t>
      </w:r>
      <w:r>
        <w:rPr>
          <w:bCs/>
          <w:spacing w:val="4"/>
          <w:sz w:val="26"/>
          <w:szCs w:val="26"/>
          <w:lang w:val="de-DE"/>
        </w:rPr>
        <w:t xml:space="preserve">Chính sách lãi suất chênh lệch giữa đồng USD và VND đã phát huy tác dụng, tăng trưởng tín dụng ngoại tệ cả năm giảm -12,9% so với cùng kỳ 2014. </w:t>
      </w:r>
    </w:p>
    <w:p w:rsidR="00443966" w:rsidRDefault="00443966" w:rsidP="00AB30E7">
      <w:pPr>
        <w:spacing w:before="120" w:line="288" w:lineRule="auto"/>
        <w:rPr>
          <w:bCs/>
          <w:spacing w:val="4"/>
          <w:sz w:val="26"/>
          <w:szCs w:val="26"/>
          <w:lang w:val="de-DE"/>
        </w:rPr>
      </w:pPr>
      <w:r w:rsidRPr="00443966">
        <w:rPr>
          <w:bCs/>
          <w:i/>
          <w:spacing w:val="4"/>
          <w:sz w:val="26"/>
          <w:szCs w:val="26"/>
          <w:lang w:val="de-DE"/>
        </w:rPr>
        <w:t>- Thanh khoản hệ thống ngân hàng tốt,</w:t>
      </w:r>
      <w:r>
        <w:rPr>
          <w:bCs/>
          <w:spacing w:val="4"/>
          <w:sz w:val="26"/>
          <w:szCs w:val="26"/>
          <w:lang w:val="de-DE"/>
        </w:rPr>
        <w:t xml:space="preserve"> </w:t>
      </w:r>
      <w:r w:rsidR="00610468" w:rsidRPr="00610468">
        <w:rPr>
          <w:bCs/>
          <w:i/>
          <w:spacing w:val="4"/>
          <w:sz w:val="26"/>
          <w:szCs w:val="26"/>
          <w:lang w:val="de-DE"/>
        </w:rPr>
        <w:t>hiệu quả kinh doanh phục hồi nhẹ.</w:t>
      </w:r>
      <w:r w:rsidR="00610468">
        <w:rPr>
          <w:bCs/>
          <w:spacing w:val="4"/>
          <w:sz w:val="26"/>
          <w:szCs w:val="26"/>
          <w:lang w:val="de-DE"/>
        </w:rPr>
        <w:t xml:space="preserve"> T</w:t>
      </w:r>
      <w:r>
        <w:rPr>
          <w:bCs/>
          <w:spacing w:val="4"/>
          <w:sz w:val="26"/>
          <w:szCs w:val="26"/>
          <w:lang w:val="de-DE"/>
        </w:rPr>
        <w:t xml:space="preserve">ỷ lệ LDR </w:t>
      </w:r>
      <w:r w:rsidR="00CD2422">
        <w:rPr>
          <w:bCs/>
          <w:spacing w:val="4"/>
          <w:sz w:val="26"/>
          <w:szCs w:val="26"/>
          <w:lang w:val="de-DE"/>
        </w:rPr>
        <w:t xml:space="preserve">của toàn hệt thống </w:t>
      </w:r>
      <w:r>
        <w:rPr>
          <w:bCs/>
          <w:spacing w:val="4"/>
          <w:sz w:val="26"/>
          <w:szCs w:val="26"/>
          <w:lang w:val="de-DE"/>
        </w:rPr>
        <w:t xml:space="preserve">ở mức 80,9% (mức an toàn cao về thanh khoản). </w:t>
      </w:r>
      <w:r w:rsidR="00610468">
        <w:rPr>
          <w:bCs/>
          <w:spacing w:val="4"/>
          <w:sz w:val="26"/>
          <w:szCs w:val="26"/>
          <w:lang w:val="de-DE"/>
        </w:rPr>
        <w:t xml:space="preserve">Thanh khoản đối với VND và ngoại tệ lần lượt ở mức 83,5% và 64,1%, ở giới hạn an toàn thanh khoản. Hiệu quả kinh doanh tuy còn thấp (do trích lập DPRR) nhưng đã phục hồi nhẹ so với năm 2014. </w:t>
      </w:r>
    </w:p>
    <w:p w:rsidR="00610468" w:rsidRPr="00610468" w:rsidRDefault="00610468" w:rsidP="00610468">
      <w:pPr>
        <w:spacing w:before="120" w:line="288" w:lineRule="auto"/>
        <w:ind w:firstLine="0"/>
        <w:jc w:val="center"/>
        <w:rPr>
          <w:b/>
          <w:bCs/>
          <w:spacing w:val="4"/>
          <w:sz w:val="26"/>
          <w:szCs w:val="26"/>
          <w:lang w:val="de-DE"/>
        </w:rPr>
      </w:pPr>
      <w:r w:rsidRPr="00610468">
        <w:rPr>
          <w:b/>
          <w:bCs/>
          <w:spacing w:val="4"/>
          <w:sz w:val="26"/>
          <w:szCs w:val="26"/>
          <w:lang w:val="de-DE"/>
        </w:rPr>
        <w:t>Bảng 1: Khả năng sinh lời của các TCTD 2013-2015</w:t>
      </w:r>
    </w:p>
    <w:tbl>
      <w:tblPr>
        <w:tblW w:w="733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710"/>
        <w:gridCol w:w="1654"/>
        <w:gridCol w:w="1739"/>
      </w:tblGrid>
      <w:tr w:rsidR="00610468" w:rsidRPr="00610468" w:rsidTr="00610468">
        <w:trPr>
          <w:trHeight w:val="356"/>
          <w:jc w:val="center"/>
        </w:trPr>
        <w:tc>
          <w:tcPr>
            <w:tcW w:w="2228" w:type="dxa"/>
            <w:shd w:val="clear" w:color="000000" w:fill="FFFFFF"/>
            <w:vAlign w:val="center"/>
            <w:hideMark/>
          </w:tcPr>
          <w:p w:rsidR="00610468" w:rsidRPr="00610468" w:rsidRDefault="00610468" w:rsidP="00CD2422">
            <w:pPr>
              <w:spacing w:after="0"/>
              <w:ind w:firstLine="0"/>
              <w:jc w:val="center"/>
              <w:rPr>
                <w:b/>
                <w:bCs/>
                <w:sz w:val="24"/>
              </w:rPr>
            </w:pPr>
            <w:r w:rsidRPr="00610468">
              <w:rPr>
                <w:b/>
                <w:bCs/>
                <w:sz w:val="24"/>
              </w:rPr>
              <w:t>Chỉ tiêu</w:t>
            </w:r>
            <w:r w:rsidRPr="00610468">
              <w:rPr>
                <w:i/>
                <w:iCs/>
                <w:sz w:val="24"/>
              </w:rPr>
              <w:t xml:space="preserve"> (đơn vị %)</w:t>
            </w:r>
          </w:p>
        </w:tc>
        <w:tc>
          <w:tcPr>
            <w:tcW w:w="1710" w:type="dxa"/>
            <w:shd w:val="clear" w:color="000000" w:fill="FFFFFF"/>
            <w:vAlign w:val="center"/>
            <w:hideMark/>
          </w:tcPr>
          <w:p w:rsidR="00610468" w:rsidRPr="00610468" w:rsidRDefault="00610468" w:rsidP="00610468">
            <w:pPr>
              <w:spacing w:after="0"/>
              <w:ind w:firstLine="0"/>
              <w:jc w:val="center"/>
              <w:rPr>
                <w:b/>
                <w:bCs/>
                <w:sz w:val="22"/>
              </w:rPr>
            </w:pPr>
            <w:r w:rsidRPr="00610468">
              <w:rPr>
                <w:b/>
                <w:bCs/>
                <w:sz w:val="22"/>
                <w:szCs w:val="22"/>
              </w:rPr>
              <w:t>2013</w:t>
            </w:r>
          </w:p>
        </w:tc>
        <w:tc>
          <w:tcPr>
            <w:tcW w:w="1654" w:type="dxa"/>
            <w:shd w:val="clear" w:color="000000" w:fill="FFFFFF"/>
            <w:vAlign w:val="center"/>
            <w:hideMark/>
          </w:tcPr>
          <w:p w:rsidR="00610468" w:rsidRPr="00610468" w:rsidRDefault="00610468" w:rsidP="00610468">
            <w:pPr>
              <w:spacing w:after="0"/>
              <w:ind w:firstLine="0"/>
              <w:jc w:val="center"/>
              <w:rPr>
                <w:b/>
                <w:bCs/>
                <w:sz w:val="22"/>
              </w:rPr>
            </w:pPr>
            <w:r w:rsidRPr="00610468">
              <w:rPr>
                <w:b/>
                <w:bCs/>
                <w:sz w:val="22"/>
                <w:szCs w:val="22"/>
              </w:rPr>
              <w:t>2014</w:t>
            </w:r>
          </w:p>
        </w:tc>
        <w:tc>
          <w:tcPr>
            <w:tcW w:w="1739" w:type="dxa"/>
            <w:shd w:val="clear" w:color="auto" w:fill="auto"/>
            <w:vAlign w:val="center"/>
            <w:hideMark/>
          </w:tcPr>
          <w:p w:rsidR="00610468" w:rsidRPr="00610468" w:rsidRDefault="00610468" w:rsidP="00610468">
            <w:pPr>
              <w:spacing w:after="0"/>
              <w:ind w:firstLine="0"/>
              <w:jc w:val="center"/>
              <w:rPr>
                <w:b/>
                <w:bCs/>
                <w:sz w:val="22"/>
              </w:rPr>
            </w:pPr>
            <w:r w:rsidRPr="00610468">
              <w:rPr>
                <w:b/>
                <w:bCs/>
                <w:sz w:val="22"/>
                <w:szCs w:val="22"/>
              </w:rPr>
              <w:t>2015</w:t>
            </w:r>
          </w:p>
        </w:tc>
      </w:tr>
      <w:tr w:rsidR="00610468" w:rsidRPr="00610468" w:rsidTr="00610468">
        <w:trPr>
          <w:trHeight w:val="340"/>
          <w:jc w:val="center"/>
        </w:trPr>
        <w:tc>
          <w:tcPr>
            <w:tcW w:w="2228" w:type="dxa"/>
            <w:shd w:val="clear" w:color="000000" w:fill="FFFFFF"/>
            <w:vAlign w:val="bottom"/>
            <w:hideMark/>
          </w:tcPr>
          <w:p w:rsidR="00610468" w:rsidRPr="00610468" w:rsidRDefault="00610468" w:rsidP="00CD2422">
            <w:pPr>
              <w:spacing w:after="0"/>
              <w:ind w:firstLine="0"/>
              <w:jc w:val="center"/>
              <w:rPr>
                <w:sz w:val="22"/>
              </w:rPr>
            </w:pPr>
            <w:r w:rsidRPr="00610468">
              <w:rPr>
                <w:sz w:val="22"/>
                <w:szCs w:val="22"/>
              </w:rPr>
              <w:t>NIM</w:t>
            </w:r>
          </w:p>
        </w:tc>
        <w:tc>
          <w:tcPr>
            <w:tcW w:w="1710"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2.80%</w:t>
            </w:r>
          </w:p>
        </w:tc>
        <w:tc>
          <w:tcPr>
            <w:tcW w:w="1654"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2.70%</w:t>
            </w:r>
          </w:p>
        </w:tc>
        <w:tc>
          <w:tcPr>
            <w:tcW w:w="1739"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2.74%</w:t>
            </w:r>
          </w:p>
        </w:tc>
      </w:tr>
      <w:tr w:rsidR="00610468" w:rsidRPr="00610468" w:rsidTr="00610468">
        <w:trPr>
          <w:trHeight w:val="340"/>
          <w:jc w:val="center"/>
        </w:trPr>
        <w:tc>
          <w:tcPr>
            <w:tcW w:w="2228" w:type="dxa"/>
            <w:shd w:val="clear" w:color="000000" w:fill="FFFFFF"/>
            <w:vAlign w:val="bottom"/>
            <w:hideMark/>
          </w:tcPr>
          <w:p w:rsidR="00610468" w:rsidRPr="00610468" w:rsidRDefault="00610468" w:rsidP="00CD2422">
            <w:pPr>
              <w:spacing w:after="0"/>
              <w:ind w:firstLine="0"/>
              <w:jc w:val="center"/>
              <w:rPr>
                <w:sz w:val="22"/>
              </w:rPr>
            </w:pPr>
            <w:r w:rsidRPr="00610468">
              <w:rPr>
                <w:sz w:val="22"/>
                <w:szCs w:val="22"/>
              </w:rPr>
              <w:t>ROE</w:t>
            </w:r>
          </w:p>
        </w:tc>
        <w:tc>
          <w:tcPr>
            <w:tcW w:w="1710"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6.4%</w:t>
            </w:r>
          </w:p>
        </w:tc>
        <w:tc>
          <w:tcPr>
            <w:tcW w:w="1654"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4.6%</w:t>
            </w:r>
          </w:p>
        </w:tc>
        <w:tc>
          <w:tcPr>
            <w:tcW w:w="1739"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6.4%</w:t>
            </w:r>
          </w:p>
        </w:tc>
      </w:tr>
      <w:tr w:rsidR="00610468" w:rsidRPr="00610468" w:rsidTr="00610468">
        <w:trPr>
          <w:trHeight w:val="340"/>
          <w:jc w:val="center"/>
        </w:trPr>
        <w:tc>
          <w:tcPr>
            <w:tcW w:w="2228" w:type="dxa"/>
            <w:shd w:val="clear" w:color="000000" w:fill="FFFFFF"/>
            <w:vAlign w:val="bottom"/>
            <w:hideMark/>
          </w:tcPr>
          <w:p w:rsidR="00610468" w:rsidRPr="00610468" w:rsidRDefault="00610468" w:rsidP="00CD2422">
            <w:pPr>
              <w:spacing w:after="0"/>
              <w:ind w:firstLine="0"/>
              <w:jc w:val="center"/>
              <w:rPr>
                <w:sz w:val="22"/>
              </w:rPr>
            </w:pPr>
            <w:r w:rsidRPr="00610468">
              <w:rPr>
                <w:sz w:val="22"/>
                <w:szCs w:val="22"/>
              </w:rPr>
              <w:t>ROA</w:t>
            </w:r>
          </w:p>
        </w:tc>
        <w:tc>
          <w:tcPr>
            <w:tcW w:w="1710"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0.6%</w:t>
            </w:r>
          </w:p>
        </w:tc>
        <w:tc>
          <w:tcPr>
            <w:tcW w:w="1654"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0.4%</w:t>
            </w:r>
          </w:p>
        </w:tc>
        <w:tc>
          <w:tcPr>
            <w:tcW w:w="1739" w:type="dxa"/>
            <w:shd w:val="clear" w:color="000000" w:fill="FFFFFF"/>
            <w:noWrap/>
            <w:vAlign w:val="bottom"/>
            <w:hideMark/>
          </w:tcPr>
          <w:p w:rsidR="00610468" w:rsidRPr="00610468" w:rsidRDefault="00610468" w:rsidP="00CD2422">
            <w:pPr>
              <w:spacing w:after="0"/>
              <w:ind w:firstLine="0"/>
              <w:jc w:val="center"/>
              <w:rPr>
                <w:color w:val="000000"/>
                <w:sz w:val="22"/>
              </w:rPr>
            </w:pPr>
            <w:r w:rsidRPr="00610468">
              <w:rPr>
                <w:color w:val="000000"/>
                <w:sz w:val="22"/>
                <w:szCs w:val="22"/>
              </w:rPr>
              <w:t>0.5%</w:t>
            </w:r>
          </w:p>
        </w:tc>
      </w:tr>
    </w:tbl>
    <w:p w:rsidR="00610468" w:rsidRPr="00610468" w:rsidRDefault="00610468" w:rsidP="00610468">
      <w:pPr>
        <w:spacing w:before="120" w:line="288" w:lineRule="auto"/>
        <w:jc w:val="right"/>
        <w:rPr>
          <w:bCs/>
          <w:spacing w:val="4"/>
          <w:sz w:val="24"/>
          <w:szCs w:val="26"/>
          <w:lang w:val="de-DE"/>
        </w:rPr>
      </w:pPr>
      <w:r w:rsidRPr="00610468">
        <w:rPr>
          <w:bCs/>
          <w:i/>
          <w:spacing w:val="4"/>
          <w:sz w:val="24"/>
          <w:szCs w:val="26"/>
          <w:lang w:val="de-DE"/>
        </w:rPr>
        <w:t>Nguồn:</w:t>
      </w:r>
      <w:r w:rsidRPr="00610468">
        <w:rPr>
          <w:bCs/>
          <w:spacing w:val="4"/>
          <w:sz w:val="24"/>
          <w:szCs w:val="26"/>
          <w:lang w:val="de-DE"/>
        </w:rPr>
        <w:t xml:space="preserve"> UBGSTCQG</w:t>
      </w:r>
    </w:p>
    <w:p w:rsidR="00CF408F" w:rsidRDefault="00AB30E7" w:rsidP="00CF408F">
      <w:pPr>
        <w:spacing w:before="120"/>
        <w:ind w:firstLine="0"/>
        <w:rPr>
          <w:b/>
          <w:i/>
          <w:sz w:val="26"/>
          <w:szCs w:val="26"/>
          <w:lang w:val="pl-PL"/>
        </w:rPr>
      </w:pPr>
      <w:r w:rsidRPr="00443966">
        <w:rPr>
          <w:b/>
          <w:i/>
          <w:sz w:val="26"/>
          <w:szCs w:val="26"/>
          <w:lang w:val="pl-PL"/>
        </w:rPr>
        <w:t xml:space="preserve">3.2. </w:t>
      </w:r>
      <w:r w:rsidR="00CF408F" w:rsidRPr="00443966">
        <w:rPr>
          <w:b/>
          <w:i/>
          <w:sz w:val="26"/>
          <w:szCs w:val="26"/>
          <w:lang w:val="pl-PL"/>
        </w:rPr>
        <w:t xml:space="preserve"> Thị trường chứng khoán</w:t>
      </w:r>
    </w:p>
    <w:p w:rsidR="004341FB" w:rsidRDefault="004341FB" w:rsidP="004341FB">
      <w:pPr>
        <w:spacing w:before="120" w:line="288" w:lineRule="auto"/>
        <w:rPr>
          <w:bCs/>
          <w:spacing w:val="4"/>
          <w:sz w:val="26"/>
          <w:szCs w:val="26"/>
          <w:lang w:val="de-DE"/>
        </w:rPr>
      </w:pPr>
      <w:r w:rsidRPr="004341FB">
        <w:rPr>
          <w:bCs/>
          <w:spacing w:val="4"/>
          <w:sz w:val="26"/>
          <w:szCs w:val="26"/>
          <w:lang w:val="de-DE"/>
        </w:rPr>
        <w:t>Kể từ đầu năm thị trường cổ phiếu trong nước biến động tương đối mạnh do chịu tác động tâm lý từ sự sụt giảm liên tục của các thị trường chứng khoán quốc tế cùng với giá dầu thô xuống dưới mức 30 USD/thùng. Ngày 25/1 chỉ số VN Index là 542,4 điểm, giảm 6,3% so với cuối năm 2015 trong khi HNX Index giảm 4,5%. Ngoài ra, nhà đầu tư nước ngoài đã bán ròng hơn 870 tỷ đồng (39 triệu USD) cổ phiếu niêm yết từ đầu năm đến 25/1/2016 tạo áp lực giảm giá lên thị trường chứng khoán. Tuy nhiên, việc bán ròng của nhà đầu tư nước ngoài không đồng nghĩa với rút vốn ra khỏi Việt Nam. Nhà đầu tư nước ngoài sẽ mua ròng trở lại khi thị trường tài chính quốc tế bình ổn trong bối cảnh nền kinh tế và các doanh nghiệp Việt Nam vẫn duy trì được đà tăng trưởng ổn định.</w:t>
      </w:r>
    </w:p>
    <w:p w:rsidR="004341FB" w:rsidRPr="006A3DDF" w:rsidRDefault="004341FB" w:rsidP="00DB0749">
      <w:pPr>
        <w:spacing w:before="120" w:line="340" w:lineRule="exact"/>
        <w:ind w:firstLine="0"/>
        <w:jc w:val="center"/>
        <w:rPr>
          <w:b/>
          <w:sz w:val="26"/>
          <w:szCs w:val="26"/>
          <w:lang w:val="sv-SE"/>
        </w:rPr>
      </w:pPr>
      <w:r>
        <w:rPr>
          <w:b/>
          <w:sz w:val="26"/>
          <w:szCs w:val="26"/>
          <w:lang w:val="de-DE"/>
        </w:rPr>
        <w:t xml:space="preserve">Hình 9: </w:t>
      </w:r>
      <w:r w:rsidRPr="006A3DDF">
        <w:rPr>
          <w:b/>
          <w:sz w:val="26"/>
          <w:szCs w:val="26"/>
          <w:lang w:val="sv-SE"/>
        </w:rPr>
        <w:t>Mua/bán ròng của khối ngoại trên thị trường cổ phiếu niêm yết theo tháng</w:t>
      </w:r>
    </w:p>
    <w:tbl>
      <w:tblPr>
        <w:tblW w:w="0" w:type="auto"/>
        <w:tblLook w:val="04A0"/>
      </w:tblPr>
      <w:tblGrid>
        <w:gridCol w:w="9571"/>
      </w:tblGrid>
      <w:tr w:rsidR="004341FB" w:rsidRPr="00805E5D" w:rsidTr="004F28E4">
        <w:tc>
          <w:tcPr>
            <w:tcW w:w="1030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4341FB" w:rsidRPr="00805E5D" w:rsidTr="004F28E4">
              <w:tc>
                <w:tcPr>
                  <w:tcW w:w="9498" w:type="dxa"/>
                </w:tcPr>
                <w:p w:rsidR="004341FB" w:rsidRPr="00C229E2" w:rsidRDefault="004341FB" w:rsidP="004341FB">
                  <w:pPr>
                    <w:tabs>
                      <w:tab w:val="left" w:pos="2160"/>
                    </w:tabs>
                    <w:spacing w:before="120"/>
                    <w:ind w:firstLine="59"/>
                    <w:jc w:val="right"/>
                    <w:rPr>
                      <w:i/>
                    </w:rPr>
                  </w:pPr>
                  <w:r w:rsidRPr="006A3DDF">
                    <w:rPr>
                      <w:i/>
                      <w:lang w:val="sv-SE"/>
                    </w:rPr>
                    <w:t xml:space="preserve">                                                                                          </w:t>
                  </w:r>
                  <w:r w:rsidRPr="004341FB">
                    <w:rPr>
                      <w:i/>
                      <w:sz w:val="24"/>
                    </w:rPr>
                    <w:t>Đơn vị: tỷ đồng</w:t>
                  </w:r>
                </w:p>
              </w:tc>
            </w:tr>
            <w:tr w:rsidR="004341FB" w:rsidRPr="00805E5D" w:rsidTr="004F28E4">
              <w:tc>
                <w:tcPr>
                  <w:tcW w:w="9498" w:type="dxa"/>
                </w:tcPr>
                <w:p w:rsidR="004341FB" w:rsidRPr="00805E5D" w:rsidRDefault="004341FB" w:rsidP="00DB0749">
                  <w:pPr>
                    <w:spacing w:before="120"/>
                    <w:ind w:firstLine="0"/>
                    <w:jc w:val="center"/>
                    <w:rPr>
                      <w:b/>
                    </w:rPr>
                  </w:pPr>
                  <w:r w:rsidRPr="00C229E2">
                    <w:rPr>
                      <w:b/>
                      <w:noProof/>
                    </w:rPr>
                    <w:drawing>
                      <wp:inline distT="0" distB="0" distL="0" distR="0">
                        <wp:extent cx="5086350" cy="207645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4341FB" w:rsidRPr="00805E5D" w:rsidRDefault="004341FB" w:rsidP="004F28E4">
            <w:pPr>
              <w:spacing w:after="0"/>
              <w:rPr>
                <w:b/>
                <w:sz w:val="24"/>
              </w:rPr>
            </w:pPr>
          </w:p>
        </w:tc>
      </w:tr>
    </w:tbl>
    <w:p w:rsidR="004341FB" w:rsidRPr="004341FB" w:rsidRDefault="004341FB" w:rsidP="004341FB">
      <w:pPr>
        <w:spacing w:before="120"/>
        <w:ind w:firstLine="684"/>
        <w:jc w:val="right"/>
        <w:rPr>
          <w:i/>
          <w:sz w:val="24"/>
        </w:rPr>
      </w:pPr>
      <w:r w:rsidRPr="004341FB">
        <w:rPr>
          <w:i/>
          <w:sz w:val="24"/>
        </w:rPr>
        <w:t xml:space="preserve">                                                                    Nguồn: </w:t>
      </w:r>
      <w:r w:rsidRPr="004341FB">
        <w:rPr>
          <w:sz w:val="24"/>
        </w:rPr>
        <w:t>HNX, HSX</w:t>
      </w:r>
    </w:p>
    <w:p w:rsidR="00740564" w:rsidRPr="00CF408F" w:rsidRDefault="004D35FC" w:rsidP="00CF408F">
      <w:pPr>
        <w:spacing w:before="120"/>
        <w:ind w:firstLine="0"/>
        <w:rPr>
          <w:b/>
          <w:sz w:val="24"/>
          <w:lang w:val="pl-PL"/>
        </w:rPr>
      </w:pPr>
      <w:r w:rsidRPr="00CF408F">
        <w:rPr>
          <w:b/>
          <w:sz w:val="24"/>
          <w:lang w:val="pl-PL"/>
        </w:rPr>
        <w:lastRenderedPageBreak/>
        <w:t xml:space="preserve">4. </w:t>
      </w:r>
      <w:r w:rsidR="00122538">
        <w:rPr>
          <w:b/>
          <w:sz w:val="24"/>
          <w:lang w:val="pl-PL"/>
        </w:rPr>
        <w:t xml:space="preserve"> Nhiều áp lực đối với t</w:t>
      </w:r>
      <w:r w:rsidRPr="00CF408F">
        <w:rPr>
          <w:b/>
          <w:sz w:val="24"/>
          <w:lang w:val="pl-PL"/>
        </w:rPr>
        <w:t xml:space="preserve">hu – </w:t>
      </w:r>
      <w:r w:rsidR="00122538">
        <w:rPr>
          <w:b/>
          <w:sz w:val="24"/>
          <w:lang w:val="pl-PL"/>
        </w:rPr>
        <w:t>c</w:t>
      </w:r>
      <w:r w:rsidR="005E1A95">
        <w:rPr>
          <w:b/>
          <w:sz w:val="24"/>
          <w:lang w:val="pl-PL"/>
        </w:rPr>
        <w:t>hi ngân sách</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802DC1" w:rsidRPr="00C8046E" w:rsidTr="0033363C">
        <w:tc>
          <w:tcPr>
            <w:tcW w:w="5211" w:type="dxa"/>
          </w:tcPr>
          <w:p w:rsidR="00802DC1" w:rsidRPr="00C8046E" w:rsidRDefault="00802DC1" w:rsidP="00CF408F">
            <w:pPr>
              <w:tabs>
                <w:tab w:val="left" w:pos="900"/>
              </w:tabs>
              <w:spacing w:before="120" w:line="312" w:lineRule="auto"/>
              <w:ind w:firstLine="709"/>
              <w:rPr>
                <w:sz w:val="26"/>
                <w:szCs w:val="26"/>
                <w:lang w:val="vi-VN"/>
              </w:rPr>
            </w:pPr>
            <w:r w:rsidRPr="00C8046E">
              <w:rPr>
                <w:b/>
                <w:i/>
                <w:sz w:val="26"/>
                <w:szCs w:val="26"/>
                <w:lang w:val="vi-VN"/>
              </w:rPr>
              <w:t xml:space="preserve">- Thu ngân sách nhà nước từ dầu tiếp tục khó khăn. </w:t>
            </w:r>
            <w:r w:rsidRPr="00C8046E">
              <w:rPr>
                <w:sz w:val="26"/>
                <w:szCs w:val="26"/>
                <w:lang w:val="vi-VN"/>
              </w:rPr>
              <w:t>Tính 15 ngày đầu năm 2016, thu từ dầu thô đạt 1,8 nghìn tỷ đồng, giảm 48,6% so với cùng kỳ 2015. Do độ trễ trong thanh toán, giá dầu của Việt Nam bình quân tháng 1/2016 ở mức 40 USD/thùng, tuy nhiên việc giá dầu tiếp tục giảm sâu, xuống dưới 30 USD/thùng và dự báo có thể xuống thấp hơn nữa đã và đang tạo áp lực lên thu từ dầu thô ngay từ những ngày đầu năm. Dự kiến, với giá dầu xây dựng dự toán 60 USD/thùng, nhiều khả năng thu ngân sách từ dầu năm 2016 cũng sẽ không đạt dự toán như năm 2015.</w:t>
            </w:r>
          </w:p>
          <w:p w:rsidR="00802DC1" w:rsidRPr="00C8046E" w:rsidRDefault="00802DC1" w:rsidP="00A152BC">
            <w:pPr>
              <w:tabs>
                <w:tab w:val="left" w:pos="1190"/>
              </w:tabs>
              <w:spacing w:before="120" w:line="312" w:lineRule="auto"/>
              <w:rPr>
                <w:sz w:val="26"/>
                <w:szCs w:val="26"/>
                <w:lang w:val="vi-VN"/>
              </w:rPr>
            </w:pPr>
            <w:r w:rsidRPr="00C8046E">
              <w:rPr>
                <w:b/>
                <w:i/>
                <w:sz w:val="26"/>
                <w:szCs w:val="26"/>
                <w:lang w:val="vi-VN"/>
              </w:rPr>
              <w:t xml:space="preserve">- Mức tăng chi ngân sách thấp so với cùng kỳ năm trước. </w:t>
            </w:r>
            <w:r w:rsidRPr="00C8046E">
              <w:rPr>
                <w:sz w:val="26"/>
                <w:szCs w:val="26"/>
                <w:lang w:val="vi-VN"/>
              </w:rPr>
              <w:t>Chi ngân sách đến 1</w:t>
            </w:r>
            <w:r w:rsidRPr="00C8046E">
              <w:rPr>
                <w:spacing w:val="-2"/>
                <w:sz w:val="26"/>
                <w:szCs w:val="26"/>
                <w:lang w:val="vi-VN"/>
              </w:rPr>
              <w:t xml:space="preserve">5/1 đạt 3,7% dự toán, tăng 11,1% so cùng kỳ (cùng kỳ </w:t>
            </w:r>
            <w:r w:rsidRPr="00C8046E">
              <w:rPr>
                <w:sz w:val="26"/>
                <w:szCs w:val="26"/>
                <w:lang w:val="vi-VN"/>
              </w:rPr>
              <w:t xml:space="preserve">2015 tăng mạnh 43,7%). Trong đó, chi thường xuyên tăng 10,7% (cùng kỳ 2015 tăng 24%); chi trả nợ tăng 9% (cùng kỳ 2015 tăng 21,6%); chi đầu tư phát triển tăng 14,7% (cùng kỳ 2015 tăng 43%). </w:t>
            </w:r>
          </w:p>
        </w:tc>
        <w:tc>
          <w:tcPr>
            <w:tcW w:w="4536" w:type="dxa"/>
          </w:tcPr>
          <w:p w:rsidR="00A152BC" w:rsidRPr="00C8046E" w:rsidRDefault="00A152BC" w:rsidP="00A152BC">
            <w:pPr>
              <w:pStyle w:val="NormalWeb"/>
              <w:shd w:val="clear" w:color="auto" w:fill="FFFFFF"/>
              <w:spacing w:before="120" w:beforeAutospacing="0" w:after="120" w:afterAutospacing="0" w:line="312" w:lineRule="auto"/>
              <w:textAlignment w:val="baseline"/>
              <w:rPr>
                <w:b/>
                <w:sz w:val="24"/>
                <w:szCs w:val="26"/>
                <w:lang w:val="vi-VN"/>
              </w:rPr>
            </w:pPr>
          </w:p>
          <w:p w:rsidR="00A152BC" w:rsidRPr="00C8046E" w:rsidRDefault="00A152BC" w:rsidP="00A152BC">
            <w:pPr>
              <w:pStyle w:val="NormalWeb"/>
              <w:shd w:val="clear" w:color="auto" w:fill="FFFFFF"/>
              <w:spacing w:before="120" w:beforeAutospacing="0" w:after="120" w:afterAutospacing="0" w:line="312" w:lineRule="auto"/>
              <w:textAlignment w:val="baseline"/>
              <w:rPr>
                <w:b/>
                <w:sz w:val="24"/>
                <w:szCs w:val="26"/>
                <w:lang w:val="vi-VN"/>
              </w:rPr>
            </w:pPr>
          </w:p>
          <w:p w:rsidR="00802DC1" w:rsidRPr="00C8046E" w:rsidRDefault="00802DC1" w:rsidP="0033363C">
            <w:pPr>
              <w:pStyle w:val="NormalWeb"/>
              <w:shd w:val="clear" w:color="auto" w:fill="FFFFFF"/>
              <w:spacing w:before="120" w:beforeAutospacing="0" w:after="120" w:afterAutospacing="0" w:line="312" w:lineRule="auto"/>
              <w:jc w:val="center"/>
              <w:textAlignment w:val="baseline"/>
              <w:rPr>
                <w:rFonts w:ascii="Times New Roman Bold" w:hAnsi="Times New Roman Bold"/>
                <w:b/>
                <w:spacing w:val="2"/>
                <w:sz w:val="24"/>
                <w:szCs w:val="26"/>
                <w:lang w:val="vi-VN"/>
              </w:rPr>
            </w:pPr>
            <w:r w:rsidRPr="00C8046E">
              <w:rPr>
                <w:rFonts w:ascii="Times New Roman Bold" w:hAnsi="Times New Roman Bold"/>
                <w:b/>
                <w:spacing w:val="2"/>
                <w:sz w:val="24"/>
                <w:szCs w:val="26"/>
                <w:lang w:val="vi-VN"/>
              </w:rPr>
              <w:t>Hình</w:t>
            </w:r>
            <w:r w:rsidR="0033363C" w:rsidRPr="00C8046E">
              <w:rPr>
                <w:rFonts w:ascii="Times New Roman Bold" w:hAnsi="Times New Roman Bold"/>
                <w:b/>
                <w:spacing w:val="2"/>
                <w:sz w:val="24"/>
                <w:szCs w:val="26"/>
                <w:lang w:val="vi-VN"/>
              </w:rPr>
              <w:t xml:space="preserve"> </w:t>
            </w:r>
            <w:r w:rsidR="00DB0749" w:rsidRPr="00C8046E">
              <w:rPr>
                <w:rFonts w:ascii="Times New Roman Bold" w:hAnsi="Times New Roman Bold"/>
                <w:b/>
                <w:spacing w:val="2"/>
                <w:sz w:val="24"/>
                <w:szCs w:val="26"/>
                <w:lang w:val="vi-VN"/>
              </w:rPr>
              <w:t>10</w:t>
            </w:r>
            <w:r w:rsidRPr="00C8046E">
              <w:rPr>
                <w:rFonts w:ascii="Times New Roman Bold" w:hAnsi="Times New Roman Bold"/>
                <w:b/>
                <w:spacing w:val="2"/>
                <w:sz w:val="24"/>
                <w:szCs w:val="26"/>
                <w:lang w:val="vi-VN"/>
              </w:rPr>
              <w:t>: Thu NSNN lũy kế đến 15/01/2016, %</w:t>
            </w:r>
          </w:p>
          <w:p w:rsidR="00802DC1" w:rsidRPr="00C8046E" w:rsidRDefault="00802DC1" w:rsidP="00A152BC">
            <w:pPr>
              <w:tabs>
                <w:tab w:val="left" w:pos="1190"/>
              </w:tabs>
              <w:spacing w:before="120" w:line="312" w:lineRule="auto"/>
              <w:ind w:firstLine="0"/>
              <w:jc w:val="center"/>
              <w:rPr>
                <w:sz w:val="24"/>
                <w:szCs w:val="26"/>
                <w:lang w:val="vi-VN"/>
              </w:rPr>
            </w:pPr>
            <w:r w:rsidRPr="00C8046E">
              <w:rPr>
                <w:noProof/>
                <w:sz w:val="24"/>
                <w:szCs w:val="26"/>
              </w:rPr>
              <w:drawing>
                <wp:inline distT="0" distB="0" distL="0" distR="0">
                  <wp:extent cx="2600325" cy="23336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2DC1" w:rsidRPr="00C8046E" w:rsidRDefault="00802DC1" w:rsidP="00A152BC">
            <w:pPr>
              <w:tabs>
                <w:tab w:val="left" w:pos="1190"/>
              </w:tabs>
              <w:spacing w:before="120" w:line="312" w:lineRule="auto"/>
              <w:ind w:firstLine="426"/>
              <w:jc w:val="right"/>
              <w:rPr>
                <w:i/>
                <w:sz w:val="24"/>
                <w:szCs w:val="26"/>
                <w:lang w:val="vi-VN"/>
              </w:rPr>
            </w:pPr>
            <w:r w:rsidRPr="00C8046E">
              <w:rPr>
                <w:i/>
                <w:sz w:val="24"/>
                <w:szCs w:val="26"/>
                <w:lang w:val="vi-VN"/>
              </w:rPr>
              <w:t xml:space="preserve">Nguồn: </w:t>
            </w:r>
            <w:r w:rsidRPr="00C8046E">
              <w:rPr>
                <w:sz w:val="24"/>
                <w:szCs w:val="26"/>
                <w:lang w:val="vi-VN"/>
              </w:rPr>
              <w:t xml:space="preserve">BTC, </w:t>
            </w:r>
            <w:r w:rsidR="00A8472C" w:rsidRPr="00C8046E">
              <w:rPr>
                <w:sz w:val="24"/>
                <w:szCs w:val="26"/>
                <w:lang w:val="vi-VN"/>
              </w:rPr>
              <w:t>UBGSTCQG</w:t>
            </w:r>
            <w:r w:rsidRPr="00C8046E">
              <w:rPr>
                <w:sz w:val="24"/>
                <w:szCs w:val="26"/>
                <w:lang w:val="vi-VN"/>
              </w:rPr>
              <w:t xml:space="preserve"> tính toán</w:t>
            </w:r>
          </w:p>
          <w:p w:rsidR="00802DC1" w:rsidRPr="00C8046E" w:rsidRDefault="00802DC1" w:rsidP="00A152BC">
            <w:pPr>
              <w:tabs>
                <w:tab w:val="left" w:pos="900"/>
              </w:tabs>
              <w:spacing w:before="120" w:line="312" w:lineRule="auto"/>
              <w:ind w:firstLine="0"/>
              <w:rPr>
                <w:sz w:val="24"/>
                <w:szCs w:val="26"/>
                <w:lang w:val="vi-VN"/>
              </w:rPr>
            </w:pPr>
          </w:p>
        </w:tc>
      </w:tr>
    </w:tbl>
    <w:p w:rsidR="0074084A" w:rsidRPr="005C6A26" w:rsidRDefault="00556FC1" w:rsidP="00BC5190">
      <w:pPr>
        <w:spacing w:before="240" w:after="100"/>
        <w:ind w:left="3261" w:firstLine="0"/>
        <w:jc w:val="right"/>
        <w:rPr>
          <w:b/>
          <w:sz w:val="26"/>
          <w:szCs w:val="26"/>
          <w:lang w:val="nl-NL"/>
        </w:rPr>
      </w:pPr>
      <w:r w:rsidRPr="005C6A26">
        <w:rPr>
          <w:b/>
          <w:sz w:val="26"/>
          <w:szCs w:val="26"/>
          <w:lang w:val="nl-NL"/>
        </w:rPr>
        <w:t>ỦY</w:t>
      </w:r>
      <w:r w:rsidR="00B50EE3" w:rsidRPr="005C6A26">
        <w:rPr>
          <w:b/>
          <w:sz w:val="26"/>
          <w:szCs w:val="26"/>
          <w:lang w:val="nl-NL"/>
        </w:rPr>
        <w:t xml:space="preserve"> BAN GIÁM SÁT TÀI </w:t>
      </w:r>
      <w:r w:rsidR="00F727DF" w:rsidRPr="005C6A26">
        <w:rPr>
          <w:b/>
          <w:sz w:val="26"/>
          <w:szCs w:val="26"/>
          <w:lang w:val="nl-NL"/>
        </w:rPr>
        <w:t>CHÍNH QUỐC GIA</w:t>
      </w:r>
    </w:p>
    <w:p w:rsidR="00BC5190" w:rsidRPr="005C6A26" w:rsidRDefault="00BC5190">
      <w:pPr>
        <w:spacing w:before="240" w:after="100"/>
        <w:ind w:left="3261" w:firstLine="0"/>
        <w:jc w:val="right"/>
        <w:rPr>
          <w:b/>
          <w:sz w:val="26"/>
          <w:szCs w:val="26"/>
          <w:lang w:val="nl-NL"/>
        </w:rPr>
      </w:pPr>
    </w:p>
    <w:sectPr w:rsidR="00BC5190" w:rsidRPr="005C6A26" w:rsidSect="001235C7">
      <w:footerReference w:type="default" r:id="rId19"/>
      <w:pgSz w:w="11907" w:h="16839" w:code="9"/>
      <w:pgMar w:top="1134" w:right="1134" w:bottom="851" w:left="1418" w:header="680"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E6" w:rsidRDefault="000F0EE6" w:rsidP="00D118DD">
      <w:pPr>
        <w:spacing w:after="0"/>
      </w:pPr>
      <w:r>
        <w:separator/>
      </w:r>
    </w:p>
  </w:endnote>
  <w:endnote w:type="continuationSeparator" w:id="0">
    <w:p w:rsidR="000F0EE6" w:rsidRDefault="000F0EE6"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864055"/>
      <w:docPartObj>
        <w:docPartGallery w:val="Page Numbers (Bottom of Page)"/>
        <w:docPartUnique/>
      </w:docPartObj>
    </w:sdtPr>
    <w:sdtEndPr>
      <w:rPr>
        <w:noProof/>
      </w:rPr>
    </w:sdtEndPr>
    <w:sdtContent>
      <w:p w:rsidR="007C6284" w:rsidRDefault="002C45B7">
        <w:pPr>
          <w:pStyle w:val="Footer"/>
          <w:jc w:val="right"/>
        </w:pPr>
        <w:r>
          <w:fldChar w:fldCharType="begin"/>
        </w:r>
        <w:r w:rsidR="007C6284">
          <w:instrText xml:space="preserve"> PAGE   \* MERGEFORMAT </w:instrText>
        </w:r>
        <w:r>
          <w:fldChar w:fldCharType="separate"/>
        </w:r>
        <w:r w:rsidR="00601255">
          <w:rPr>
            <w:noProof/>
          </w:rPr>
          <w:t>1</w:t>
        </w:r>
        <w:r>
          <w:rPr>
            <w:noProof/>
          </w:rPr>
          <w:fldChar w:fldCharType="end"/>
        </w:r>
      </w:p>
    </w:sdtContent>
  </w:sdt>
  <w:p w:rsidR="007C6284" w:rsidRDefault="007C6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E6" w:rsidRDefault="000F0EE6" w:rsidP="00D118DD">
      <w:pPr>
        <w:spacing w:after="0"/>
      </w:pPr>
      <w:r>
        <w:separator/>
      </w:r>
    </w:p>
  </w:footnote>
  <w:footnote w:type="continuationSeparator" w:id="0">
    <w:p w:rsidR="000F0EE6" w:rsidRDefault="000F0EE6" w:rsidP="00D118DD">
      <w:pPr>
        <w:spacing w:after="0"/>
      </w:pPr>
      <w:r>
        <w:continuationSeparator/>
      </w:r>
    </w:p>
  </w:footnote>
  <w:footnote w:id="1">
    <w:p w:rsidR="007C6284" w:rsidRPr="00815C4D" w:rsidRDefault="007C6284" w:rsidP="00233AF4">
      <w:pPr>
        <w:pStyle w:val="FootnoteText"/>
        <w:spacing w:after="0"/>
        <w:ind w:firstLine="0"/>
      </w:pPr>
      <w:r w:rsidRPr="00815C4D">
        <w:rPr>
          <w:rStyle w:val="FootnoteReference"/>
        </w:rPr>
        <w:footnoteRef/>
      </w:r>
      <w:r w:rsidRPr="00815C4D">
        <w:t xml:space="preserve"> B</w:t>
      </w:r>
      <w:r w:rsidRPr="00815C4D">
        <w:rPr>
          <w:color w:val="000000"/>
        </w:rPr>
        <w:t>áo cáo Triển vọng Kinh tế Toàn cầu, tháng 1/2016 của IMF.</w:t>
      </w:r>
    </w:p>
  </w:footnote>
  <w:footnote w:id="2">
    <w:p w:rsidR="007C6284" w:rsidRPr="00815C4D" w:rsidRDefault="007C6284" w:rsidP="00233AF4">
      <w:pPr>
        <w:pStyle w:val="FootnoteText"/>
        <w:spacing w:after="0"/>
        <w:ind w:firstLine="0"/>
      </w:pPr>
      <w:r w:rsidRPr="00815C4D">
        <w:rPr>
          <w:rStyle w:val="FootnoteReference"/>
        </w:rPr>
        <w:footnoteRef/>
      </w:r>
      <w:r w:rsidRPr="00815C4D">
        <w:t xml:space="preserve"> B</w:t>
      </w:r>
      <w:r w:rsidRPr="00815C4D">
        <w:rPr>
          <w:color w:val="000000"/>
        </w:rPr>
        <w:t>áo cáo Triển vọng Kinh tế Toàn cầu, tháng 1/2016 của WB.</w:t>
      </w:r>
    </w:p>
  </w:footnote>
  <w:footnote w:id="3">
    <w:p w:rsidR="007C6284" w:rsidRPr="00815C4D" w:rsidRDefault="007C6284" w:rsidP="00815C4D">
      <w:pPr>
        <w:pStyle w:val="FootnoteText"/>
        <w:spacing w:after="0"/>
        <w:ind w:firstLine="0"/>
      </w:pPr>
      <w:r w:rsidRPr="00815C4D">
        <w:rPr>
          <w:rStyle w:val="FootnoteReference"/>
        </w:rPr>
        <w:footnoteRef/>
      </w:r>
      <w:r w:rsidRPr="00815C4D">
        <w:t xml:space="preserve"> Nguồn: Số liệu của Bộ Thương mại Mỹ</w:t>
      </w:r>
    </w:p>
  </w:footnote>
  <w:footnote w:id="4">
    <w:p w:rsidR="007C6284" w:rsidRPr="009E60B2" w:rsidRDefault="007C6284" w:rsidP="009E60B2">
      <w:pPr>
        <w:pStyle w:val="FootnoteText"/>
        <w:spacing w:after="0"/>
        <w:ind w:firstLine="0"/>
      </w:pPr>
      <w:r w:rsidRPr="009E60B2">
        <w:rPr>
          <w:rStyle w:val="FootnoteReference"/>
        </w:rPr>
        <w:footnoteRef/>
      </w:r>
      <w:r w:rsidRPr="009E60B2">
        <w:t xml:space="preserve"> Ngoài chương trình mua tài sản khoảng 3.000 tỷ yen mỗi năm như hiện nay, BOJ sẽ xây dựng một chương trình mới, dự kiến triển khai vào tháng 4/2016, nhằm tăng quy mô quỹ mua tài sản (trong đó có cổ phiếu và trái phiếu) thêm khoảng 300 tỷ yen (tức 2,5 tỷ USD) mỗi năm.</w:t>
      </w:r>
      <w:r w:rsidRPr="009E60B2">
        <w:rPr>
          <w:rStyle w:val="apple-converted-space"/>
        </w:rPr>
        <w:t> </w:t>
      </w:r>
    </w:p>
  </w:footnote>
  <w:footnote w:id="5">
    <w:p w:rsidR="007C6284" w:rsidRDefault="007C6284" w:rsidP="009E60B2">
      <w:pPr>
        <w:pStyle w:val="FootnoteText"/>
        <w:spacing w:after="0"/>
        <w:ind w:firstLine="0"/>
      </w:pPr>
      <w:r w:rsidRPr="009E60B2">
        <w:rPr>
          <w:rStyle w:val="FootnoteReference"/>
        </w:rPr>
        <w:footnoteRef/>
      </w:r>
      <w:r w:rsidRPr="009E60B2">
        <w:t xml:space="preserve"> Ngồn: World Bank Commodity Price Data – Tháng 1/2016</w:t>
      </w:r>
    </w:p>
  </w:footnote>
  <w:footnote w:id="6">
    <w:p w:rsidR="007C6284" w:rsidRPr="007A6A26" w:rsidRDefault="007C6284" w:rsidP="00752F8C">
      <w:pPr>
        <w:pStyle w:val="FootnoteText"/>
        <w:spacing w:after="0"/>
        <w:ind w:firstLine="0"/>
        <w:rPr>
          <w:lang w:val="nl-NL"/>
        </w:rPr>
      </w:pPr>
      <w:r w:rsidRPr="007A6A26">
        <w:rPr>
          <w:rStyle w:val="FootnoteReference"/>
        </w:rPr>
        <w:footnoteRef/>
      </w:r>
      <w:r w:rsidRPr="007A6A26">
        <w:rPr>
          <w:lang w:val="nl-NL"/>
        </w:rPr>
        <w:t xml:space="preserve"> </w:t>
      </w:r>
      <w:r>
        <w:rPr>
          <w:lang w:val="nl-NL"/>
        </w:rPr>
        <w:t xml:space="preserve">Chỉ số </w:t>
      </w:r>
      <w:r w:rsidRPr="007A6A26">
        <w:rPr>
          <w:lang w:val="nl-NL"/>
        </w:rPr>
        <w:t>PMI của HSBC là một chỉ số tổng hợp được xây dựng để đánh giá khái quát về hoạt động trong ngành sản xuất. Kết quả chỉ số PMI dưới 50 cho thấy nền kinh tế sản xuất giảm sút; trên 50 có nghĩa là phát triển; bằng 50 là không có sự thay đổi. Mức chênh lệch so với 50 càng lớn thì tốc độ thay đổi mà chỉ số báo hiệu sẽ càng lớn.</w:t>
      </w:r>
    </w:p>
  </w:footnote>
  <w:footnote w:id="7">
    <w:p w:rsidR="007C6284" w:rsidRPr="00C8046E" w:rsidRDefault="007C6284" w:rsidP="00B73CDF">
      <w:pPr>
        <w:pStyle w:val="FootnoteText"/>
        <w:ind w:firstLine="0"/>
        <w:rPr>
          <w:spacing w:val="-2"/>
          <w:lang w:val="nl-NL"/>
        </w:rPr>
      </w:pPr>
      <w:r w:rsidRPr="00C8046E">
        <w:rPr>
          <w:rStyle w:val="FootnoteReference"/>
          <w:spacing w:val="-2"/>
        </w:rPr>
        <w:footnoteRef/>
      </w:r>
      <w:r w:rsidRPr="00C8046E">
        <w:rPr>
          <w:spacing w:val="-2"/>
          <w:lang w:val="nl-NL"/>
        </w:rPr>
        <w:t xml:space="preserve"> </w:t>
      </w:r>
      <w:r w:rsidRPr="00C8046E">
        <w:rPr>
          <w:bCs/>
          <w:color w:val="000000"/>
          <w:spacing w:val="-2"/>
          <w:shd w:val="clear" w:color="auto" w:fill="FFFFFF"/>
          <w:lang w:val="nl-NL"/>
        </w:rPr>
        <w:t>Tỷ giá trung tâm được coi là tỷ giá chính thức vào giờ chốt giao dịch cuối ngày trước đó cộng với một biên độ nhất định do NHNN quyết định dựa trên các yếu tố diễn biến thị trường, và được lấy làm tỷ giá giao dịch của ngày hôm sau.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05A13"/>
    <w:multiLevelType w:val="hybridMultilevel"/>
    <w:tmpl w:val="B51472A4"/>
    <w:lvl w:ilvl="0" w:tplc="5D7E394E">
      <w:numFmt w:val="bullet"/>
      <w:suff w:val="space"/>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72B85"/>
    <w:multiLevelType w:val="hybridMultilevel"/>
    <w:tmpl w:val="5AAE4BEC"/>
    <w:lvl w:ilvl="0" w:tplc="16C2825A">
      <w:start w:val="4"/>
      <w:numFmt w:val="bullet"/>
      <w:lvlText w:val="-"/>
      <w:lvlJc w:val="left"/>
      <w:pPr>
        <w:ind w:left="878" w:hanging="360"/>
      </w:pPr>
      <w:rPr>
        <w:rFonts w:ascii="Times New Roman" w:eastAsia="Times New Roman"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937348D"/>
    <w:multiLevelType w:val="hybridMultilevel"/>
    <w:tmpl w:val="1CDEE584"/>
    <w:lvl w:ilvl="0" w:tplc="D232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8F7A12"/>
    <w:multiLevelType w:val="hybridMultilevel"/>
    <w:tmpl w:val="CF988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0A2758"/>
    <w:multiLevelType w:val="hybridMultilevel"/>
    <w:tmpl w:val="C79C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9"/>
  </w:num>
  <w:num w:numId="2">
    <w:abstractNumId w:val="2"/>
  </w:num>
  <w:num w:numId="3">
    <w:abstractNumId w:val="12"/>
  </w:num>
  <w:num w:numId="4">
    <w:abstractNumId w:val="14"/>
  </w:num>
  <w:num w:numId="5">
    <w:abstractNumId w:val="1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7"/>
  </w:num>
  <w:num w:numId="11">
    <w:abstractNumId w:val="21"/>
  </w:num>
  <w:num w:numId="12">
    <w:abstractNumId w:val="13"/>
  </w:num>
  <w:num w:numId="13">
    <w:abstractNumId w:val="17"/>
  </w:num>
  <w:num w:numId="14">
    <w:abstractNumId w:val="15"/>
  </w:num>
  <w:num w:numId="15">
    <w:abstractNumId w:val="10"/>
  </w:num>
  <w:num w:numId="16">
    <w:abstractNumId w:val="6"/>
  </w:num>
  <w:num w:numId="17">
    <w:abstractNumId w:val="18"/>
  </w:num>
  <w:num w:numId="18">
    <w:abstractNumId w:val="0"/>
  </w:num>
  <w:num w:numId="19">
    <w:abstractNumId w:val="5"/>
  </w:num>
  <w:num w:numId="20">
    <w:abstractNumId w:val="4"/>
  </w:num>
  <w:num w:numId="21">
    <w:abstractNumId w:val="11"/>
  </w:num>
  <w:num w:numId="22">
    <w:abstractNumId w:val="3"/>
  </w:num>
  <w:num w:numId="2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568A8"/>
    <w:rsid w:val="0000033C"/>
    <w:rsid w:val="00001412"/>
    <w:rsid w:val="00002F77"/>
    <w:rsid w:val="000046D3"/>
    <w:rsid w:val="00005E87"/>
    <w:rsid w:val="00007C23"/>
    <w:rsid w:val="000110F5"/>
    <w:rsid w:val="00011110"/>
    <w:rsid w:val="00017A11"/>
    <w:rsid w:val="00021644"/>
    <w:rsid w:val="000224EE"/>
    <w:rsid w:val="000249A6"/>
    <w:rsid w:val="0002600D"/>
    <w:rsid w:val="00032512"/>
    <w:rsid w:val="00033F45"/>
    <w:rsid w:val="00035AA5"/>
    <w:rsid w:val="00037E92"/>
    <w:rsid w:val="00042CB7"/>
    <w:rsid w:val="00052186"/>
    <w:rsid w:val="000538CB"/>
    <w:rsid w:val="000548E2"/>
    <w:rsid w:val="0005492F"/>
    <w:rsid w:val="00056602"/>
    <w:rsid w:val="00062ABC"/>
    <w:rsid w:val="00063004"/>
    <w:rsid w:val="00063C47"/>
    <w:rsid w:val="00064D4D"/>
    <w:rsid w:val="00065C96"/>
    <w:rsid w:val="0006628C"/>
    <w:rsid w:val="000678C1"/>
    <w:rsid w:val="000736C6"/>
    <w:rsid w:val="00084A2C"/>
    <w:rsid w:val="00086600"/>
    <w:rsid w:val="000869A0"/>
    <w:rsid w:val="00090AB5"/>
    <w:rsid w:val="000925E8"/>
    <w:rsid w:val="00094B26"/>
    <w:rsid w:val="00094FF4"/>
    <w:rsid w:val="000A128B"/>
    <w:rsid w:val="000A14B5"/>
    <w:rsid w:val="000A1E64"/>
    <w:rsid w:val="000A28B1"/>
    <w:rsid w:val="000A3176"/>
    <w:rsid w:val="000A5F0B"/>
    <w:rsid w:val="000A68F9"/>
    <w:rsid w:val="000A6915"/>
    <w:rsid w:val="000B04BB"/>
    <w:rsid w:val="000B1CE1"/>
    <w:rsid w:val="000B2C62"/>
    <w:rsid w:val="000B4126"/>
    <w:rsid w:val="000B6A00"/>
    <w:rsid w:val="000B7767"/>
    <w:rsid w:val="000C0801"/>
    <w:rsid w:val="000C1A39"/>
    <w:rsid w:val="000C42F1"/>
    <w:rsid w:val="000C4973"/>
    <w:rsid w:val="000D25AC"/>
    <w:rsid w:val="000D2B9E"/>
    <w:rsid w:val="000D30BA"/>
    <w:rsid w:val="000E07D8"/>
    <w:rsid w:val="000E2357"/>
    <w:rsid w:val="000E5231"/>
    <w:rsid w:val="000E5F9F"/>
    <w:rsid w:val="000F05F6"/>
    <w:rsid w:val="000F06A7"/>
    <w:rsid w:val="000F0EE6"/>
    <w:rsid w:val="000F410A"/>
    <w:rsid w:val="000F60E5"/>
    <w:rsid w:val="000F72F5"/>
    <w:rsid w:val="00101003"/>
    <w:rsid w:val="0010140C"/>
    <w:rsid w:val="00101CF5"/>
    <w:rsid w:val="001054A8"/>
    <w:rsid w:val="00106FC0"/>
    <w:rsid w:val="00110E5A"/>
    <w:rsid w:val="00111984"/>
    <w:rsid w:val="00111DDC"/>
    <w:rsid w:val="0011247E"/>
    <w:rsid w:val="001142F2"/>
    <w:rsid w:val="001147E5"/>
    <w:rsid w:val="00115FBB"/>
    <w:rsid w:val="00122538"/>
    <w:rsid w:val="001235C7"/>
    <w:rsid w:val="001252E6"/>
    <w:rsid w:val="001259AF"/>
    <w:rsid w:val="001265AA"/>
    <w:rsid w:val="001276F4"/>
    <w:rsid w:val="00127CAD"/>
    <w:rsid w:val="001317D1"/>
    <w:rsid w:val="00134926"/>
    <w:rsid w:val="0013796B"/>
    <w:rsid w:val="00141D44"/>
    <w:rsid w:val="0014213A"/>
    <w:rsid w:val="00143C7C"/>
    <w:rsid w:val="00144805"/>
    <w:rsid w:val="001462B2"/>
    <w:rsid w:val="00146641"/>
    <w:rsid w:val="0014761C"/>
    <w:rsid w:val="00153B23"/>
    <w:rsid w:val="001565EB"/>
    <w:rsid w:val="001579F5"/>
    <w:rsid w:val="00157FB2"/>
    <w:rsid w:val="001614CB"/>
    <w:rsid w:val="001649AF"/>
    <w:rsid w:val="00170336"/>
    <w:rsid w:val="00171CC5"/>
    <w:rsid w:val="001731AA"/>
    <w:rsid w:val="00173BB2"/>
    <w:rsid w:val="00173D20"/>
    <w:rsid w:val="00175957"/>
    <w:rsid w:val="00176441"/>
    <w:rsid w:val="00177A78"/>
    <w:rsid w:val="0018161F"/>
    <w:rsid w:val="001845CB"/>
    <w:rsid w:val="00184820"/>
    <w:rsid w:val="00190977"/>
    <w:rsid w:val="0019231B"/>
    <w:rsid w:val="00192970"/>
    <w:rsid w:val="00193CBE"/>
    <w:rsid w:val="00196181"/>
    <w:rsid w:val="00196CB2"/>
    <w:rsid w:val="00196D7D"/>
    <w:rsid w:val="001979A1"/>
    <w:rsid w:val="001A012B"/>
    <w:rsid w:val="001A0C18"/>
    <w:rsid w:val="001A6068"/>
    <w:rsid w:val="001A76D3"/>
    <w:rsid w:val="001B1A80"/>
    <w:rsid w:val="001B28A5"/>
    <w:rsid w:val="001B47DD"/>
    <w:rsid w:val="001B559D"/>
    <w:rsid w:val="001B7E3F"/>
    <w:rsid w:val="001C1409"/>
    <w:rsid w:val="001C1FA8"/>
    <w:rsid w:val="001C6854"/>
    <w:rsid w:val="001C72BD"/>
    <w:rsid w:val="001D0788"/>
    <w:rsid w:val="001D18CD"/>
    <w:rsid w:val="001D2545"/>
    <w:rsid w:val="001D3061"/>
    <w:rsid w:val="001E0EA6"/>
    <w:rsid w:val="001E16D6"/>
    <w:rsid w:val="001E2444"/>
    <w:rsid w:val="001E2BF7"/>
    <w:rsid w:val="001E3DAE"/>
    <w:rsid w:val="001E71E4"/>
    <w:rsid w:val="001F0569"/>
    <w:rsid w:val="001F0601"/>
    <w:rsid w:val="001F2985"/>
    <w:rsid w:val="001F3DAC"/>
    <w:rsid w:val="001F5975"/>
    <w:rsid w:val="001F5D90"/>
    <w:rsid w:val="001F61B2"/>
    <w:rsid w:val="00201875"/>
    <w:rsid w:val="00202A47"/>
    <w:rsid w:val="00204B48"/>
    <w:rsid w:val="00204E3E"/>
    <w:rsid w:val="00213CFA"/>
    <w:rsid w:val="00214077"/>
    <w:rsid w:val="002146F1"/>
    <w:rsid w:val="00216E54"/>
    <w:rsid w:val="002259C1"/>
    <w:rsid w:val="00225D35"/>
    <w:rsid w:val="00226419"/>
    <w:rsid w:val="00231056"/>
    <w:rsid w:val="00231175"/>
    <w:rsid w:val="002337D5"/>
    <w:rsid w:val="00233AF4"/>
    <w:rsid w:val="002341B2"/>
    <w:rsid w:val="00236A55"/>
    <w:rsid w:val="00237E19"/>
    <w:rsid w:val="00241E0A"/>
    <w:rsid w:val="00242345"/>
    <w:rsid w:val="002428CA"/>
    <w:rsid w:val="002430E3"/>
    <w:rsid w:val="00247882"/>
    <w:rsid w:val="0025372E"/>
    <w:rsid w:val="002564C5"/>
    <w:rsid w:val="00256502"/>
    <w:rsid w:val="00257A62"/>
    <w:rsid w:val="0026087C"/>
    <w:rsid w:val="002613A6"/>
    <w:rsid w:val="00261D75"/>
    <w:rsid w:val="002733EC"/>
    <w:rsid w:val="002735A9"/>
    <w:rsid w:val="00275768"/>
    <w:rsid w:val="00276122"/>
    <w:rsid w:val="00282397"/>
    <w:rsid w:val="0028248C"/>
    <w:rsid w:val="00284FAE"/>
    <w:rsid w:val="00285CD5"/>
    <w:rsid w:val="00285EE2"/>
    <w:rsid w:val="00286BD3"/>
    <w:rsid w:val="00287750"/>
    <w:rsid w:val="0029089E"/>
    <w:rsid w:val="00290FEB"/>
    <w:rsid w:val="00291563"/>
    <w:rsid w:val="00291F7A"/>
    <w:rsid w:val="00294B7A"/>
    <w:rsid w:val="002955C3"/>
    <w:rsid w:val="002970CD"/>
    <w:rsid w:val="002A476C"/>
    <w:rsid w:val="002B0217"/>
    <w:rsid w:val="002B08DB"/>
    <w:rsid w:val="002B2A96"/>
    <w:rsid w:val="002B4A98"/>
    <w:rsid w:val="002B797F"/>
    <w:rsid w:val="002C45B7"/>
    <w:rsid w:val="002C45C1"/>
    <w:rsid w:val="002C4D15"/>
    <w:rsid w:val="002C536B"/>
    <w:rsid w:val="002C63CA"/>
    <w:rsid w:val="002D1C9D"/>
    <w:rsid w:val="002D367E"/>
    <w:rsid w:val="002D4218"/>
    <w:rsid w:val="002D5A89"/>
    <w:rsid w:val="002E0C42"/>
    <w:rsid w:val="002E1377"/>
    <w:rsid w:val="002E4615"/>
    <w:rsid w:val="002E73FE"/>
    <w:rsid w:val="002F011D"/>
    <w:rsid w:val="002F0CA1"/>
    <w:rsid w:val="002F2A1A"/>
    <w:rsid w:val="002F35C7"/>
    <w:rsid w:val="0030243F"/>
    <w:rsid w:val="00303A5A"/>
    <w:rsid w:val="00304D2C"/>
    <w:rsid w:val="00305819"/>
    <w:rsid w:val="003059FB"/>
    <w:rsid w:val="00307583"/>
    <w:rsid w:val="00310281"/>
    <w:rsid w:val="00311209"/>
    <w:rsid w:val="00312C9C"/>
    <w:rsid w:val="00314962"/>
    <w:rsid w:val="00317B09"/>
    <w:rsid w:val="0032142F"/>
    <w:rsid w:val="0032289A"/>
    <w:rsid w:val="0032464F"/>
    <w:rsid w:val="00325466"/>
    <w:rsid w:val="003266B2"/>
    <w:rsid w:val="00326CE4"/>
    <w:rsid w:val="0032799B"/>
    <w:rsid w:val="0033363C"/>
    <w:rsid w:val="00336F0A"/>
    <w:rsid w:val="003415F7"/>
    <w:rsid w:val="00342980"/>
    <w:rsid w:val="00343B4B"/>
    <w:rsid w:val="00345A1B"/>
    <w:rsid w:val="00346F4E"/>
    <w:rsid w:val="00350EEB"/>
    <w:rsid w:val="00355F36"/>
    <w:rsid w:val="003568A8"/>
    <w:rsid w:val="00360B7B"/>
    <w:rsid w:val="003619A8"/>
    <w:rsid w:val="00362041"/>
    <w:rsid w:val="00366846"/>
    <w:rsid w:val="00366AB3"/>
    <w:rsid w:val="0037234F"/>
    <w:rsid w:val="0038143F"/>
    <w:rsid w:val="00381651"/>
    <w:rsid w:val="00382AF5"/>
    <w:rsid w:val="00385A31"/>
    <w:rsid w:val="00386E01"/>
    <w:rsid w:val="00387FCF"/>
    <w:rsid w:val="00390388"/>
    <w:rsid w:val="00391B29"/>
    <w:rsid w:val="00392E13"/>
    <w:rsid w:val="0039604C"/>
    <w:rsid w:val="003A0BC1"/>
    <w:rsid w:val="003A215B"/>
    <w:rsid w:val="003A236F"/>
    <w:rsid w:val="003A2CE2"/>
    <w:rsid w:val="003A420F"/>
    <w:rsid w:val="003A4632"/>
    <w:rsid w:val="003B048A"/>
    <w:rsid w:val="003B0C2A"/>
    <w:rsid w:val="003B3BFE"/>
    <w:rsid w:val="003B6BA9"/>
    <w:rsid w:val="003B7C4C"/>
    <w:rsid w:val="003C12DF"/>
    <w:rsid w:val="003C1625"/>
    <w:rsid w:val="003C51A1"/>
    <w:rsid w:val="003C5B34"/>
    <w:rsid w:val="003D11A8"/>
    <w:rsid w:val="003D1B2E"/>
    <w:rsid w:val="003D5437"/>
    <w:rsid w:val="003E3BFB"/>
    <w:rsid w:val="003E3D0D"/>
    <w:rsid w:val="003E49CF"/>
    <w:rsid w:val="003F060A"/>
    <w:rsid w:val="003F21EA"/>
    <w:rsid w:val="003F2F3F"/>
    <w:rsid w:val="003F71B7"/>
    <w:rsid w:val="003F7929"/>
    <w:rsid w:val="0040109F"/>
    <w:rsid w:val="004016E4"/>
    <w:rsid w:val="00404E08"/>
    <w:rsid w:val="004127BE"/>
    <w:rsid w:val="004141B8"/>
    <w:rsid w:val="00416374"/>
    <w:rsid w:val="00417C2F"/>
    <w:rsid w:val="0042069B"/>
    <w:rsid w:val="00421929"/>
    <w:rsid w:val="00421A94"/>
    <w:rsid w:val="004319BD"/>
    <w:rsid w:val="00431E26"/>
    <w:rsid w:val="0043252D"/>
    <w:rsid w:val="004341FB"/>
    <w:rsid w:val="004349B4"/>
    <w:rsid w:val="0043558E"/>
    <w:rsid w:val="004356F1"/>
    <w:rsid w:val="00436415"/>
    <w:rsid w:val="00443966"/>
    <w:rsid w:val="0044530A"/>
    <w:rsid w:val="00447347"/>
    <w:rsid w:val="00450424"/>
    <w:rsid w:val="004519A0"/>
    <w:rsid w:val="00452C74"/>
    <w:rsid w:val="00454ADF"/>
    <w:rsid w:val="004555DB"/>
    <w:rsid w:val="00455E76"/>
    <w:rsid w:val="004579F9"/>
    <w:rsid w:val="00464F00"/>
    <w:rsid w:val="004657E1"/>
    <w:rsid w:val="00465DEA"/>
    <w:rsid w:val="0046639B"/>
    <w:rsid w:val="004764E7"/>
    <w:rsid w:val="004766D0"/>
    <w:rsid w:val="00481069"/>
    <w:rsid w:val="00485730"/>
    <w:rsid w:val="00491047"/>
    <w:rsid w:val="004912FD"/>
    <w:rsid w:val="00491FA3"/>
    <w:rsid w:val="004949A7"/>
    <w:rsid w:val="00495AC7"/>
    <w:rsid w:val="00497550"/>
    <w:rsid w:val="004A0B82"/>
    <w:rsid w:val="004A100C"/>
    <w:rsid w:val="004A1EAF"/>
    <w:rsid w:val="004A3A4D"/>
    <w:rsid w:val="004A3C3F"/>
    <w:rsid w:val="004A3C55"/>
    <w:rsid w:val="004A4006"/>
    <w:rsid w:val="004A48E9"/>
    <w:rsid w:val="004A7B00"/>
    <w:rsid w:val="004B3623"/>
    <w:rsid w:val="004B5889"/>
    <w:rsid w:val="004C5E33"/>
    <w:rsid w:val="004D35FC"/>
    <w:rsid w:val="004D40F8"/>
    <w:rsid w:val="004D73AA"/>
    <w:rsid w:val="004D7A81"/>
    <w:rsid w:val="004E1D4C"/>
    <w:rsid w:val="004E3275"/>
    <w:rsid w:val="004E4098"/>
    <w:rsid w:val="004E42C0"/>
    <w:rsid w:val="004E467E"/>
    <w:rsid w:val="004E4EAD"/>
    <w:rsid w:val="004F56DE"/>
    <w:rsid w:val="004F6476"/>
    <w:rsid w:val="004F6D6C"/>
    <w:rsid w:val="00500AB3"/>
    <w:rsid w:val="00502461"/>
    <w:rsid w:val="005042F7"/>
    <w:rsid w:val="00505DE0"/>
    <w:rsid w:val="005069A0"/>
    <w:rsid w:val="00507A44"/>
    <w:rsid w:val="0051012B"/>
    <w:rsid w:val="005113BB"/>
    <w:rsid w:val="00511E00"/>
    <w:rsid w:val="00512F47"/>
    <w:rsid w:val="00524517"/>
    <w:rsid w:val="0052616E"/>
    <w:rsid w:val="00530746"/>
    <w:rsid w:val="00530FEC"/>
    <w:rsid w:val="00532AF5"/>
    <w:rsid w:val="00532B73"/>
    <w:rsid w:val="00533A26"/>
    <w:rsid w:val="00533D6C"/>
    <w:rsid w:val="00537637"/>
    <w:rsid w:val="00542C8A"/>
    <w:rsid w:val="00543B2C"/>
    <w:rsid w:val="00546FC0"/>
    <w:rsid w:val="00547EF8"/>
    <w:rsid w:val="00550560"/>
    <w:rsid w:val="00552931"/>
    <w:rsid w:val="0055433C"/>
    <w:rsid w:val="00554DF9"/>
    <w:rsid w:val="00556FC1"/>
    <w:rsid w:val="00560B0C"/>
    <w:rsid w:val="005620E8"/>
    <w:rsid w:val="00562652"/>
    <w:rsid w:val="005647F4"/>
    <w:rsid w:val="00565B5B"/>
    <w:rsid w:val="005722EF"/>
    <w:rsid w:val="00572A98"/>
    <w:rsid w:val="0057396C"/>
    <w:rsid w:val="005753C5"/>
    <w:rsid w:val="00580305"/>
    <w:rsid w:val="00581714"/>
    <w:rsid w:val="005865D6"/>
    <w:rsid w:val="00586880"/>
    <w:rsid w:val="00590491"/>
    <w:rsid w:val="0059186F"/>
    <w:rsid w:val="005918CA"/>
    <w:rsid w:val="00591BE2"/>
    <w:rsid w:val="005926AC"/>
    <w:rsid w:val="00592B70"/>
    <w:rsid w:val="00594113"/>
    <w:rsid w:val="00596219"/>
    <w:rsid w:val="005A082C"/>
    <w:rsid w:val="005A2414"/>
    <w:rsid w:val="005A3DE1"/>
    <w:rsid w:val="005A7274"/>
    <w:rsid w:val="005B0169"/>
    <w:rsid w:val="005B0398"/>
    <w:rsid w:val="005B1C4C"/>
    <w:rsid w:val="005B21D6"/>
    <w:rsid w:val="005B242A"/>
    <w:rsid w:val="005B2719"/>
    <w:rsid w:val="005B733A"/>
    <w:rsid w:val="005C1694"/>
    <w:rsid w:val="005C1C7F"/>
    <w:rsid w:val="005C2F87"/>
    <w:rsid w:val="005C4A93"/>
    <w:rsid w:val="005C4AFF"/>
    <w:rsid w:val="005C50B2"/>
    <w:rsid w:val="005C530B"/>
    <w:rsid w:val="005C56CD"/>
    <w:rsid w:val="005C6828"/>
    <w:rsid w:val="005C6A26"/>
    <w:rsid w:val="005C7947"/>
    <w:rsid w:val="005C7EEB"/>
    <w:rsid w:val="005D10AD"/>
    <w:rsid w:val="005D123A"/>
    <w:rsid w:val="005D3425"/>
    <w:rsid w:val="005D47FB"/>
    <w:rsid w:val="005D571F"/>
    <w:rsid w:val="005D5A84"/>
    <w:rsid w:val="005D67D9"/>
    <w:rsid w:val="005E1A95"/>
    <w:rsid w:val="005E3540"/>
    <w:rsid w:val="005E4E00"/>
    <w:rsid w:val="005E56D3"/>
    <w:rsid w:val="005E6FDC"/>
    <w:rsid w:val="005F1801"/>
    <w:rsid w:val="005F2AC9"/>
    <w:rsid w:val="006005A4"/>
    <w:rsid w:val="00601255"/>
    <w:rsid w:val="00603070"/>
    <w:rsid w:val="00604F4F"/>
    <w:rsid w:val="00604F9C"/>
    <w:rsid w:val="00606235"/>
    <w:rsid w:val="006100DD"/>
    <w:rsid w:val="00610468"/>
    <w:rsid w:val="006104B2"/>
    <w:rsid w:val="006108F7"/>
    <w:rsid w:val="006120CC"/>
    <w:rsid w:val="00612AF4"/>
    <w:rsid w:val="00615B56"/>
    <w:rsid w:val="006160AA"/>
    <w:rsid w:val="00616A66"/>
    <w:rsid w:val="00617378"/>
    <w:rsid w:val="0062075C"/>
    <w:rsid w:val="00625148"/>
    <w:rsid w:val="00630B6C"/>
    <w:rsid w:val="00630C1B"/>
    <w:rsid w:val="00630C4B"/>
    <w:rsid w:val="00634C49"/>
    <w:rsid w:val="00637453"/>
    <w:rsid w:val="006411E8"/>
    <w:rsid w:val="0064120E"/>
    <w:rsid w:val="00641965"/>
    <w:rsid w:val="00642D78"/>
    <w:rsid w:val="006456EA"/>
    <w:rsid w:val="00645E58"/>
    <w:rsid w:val="00647263"/>
    <w:rsid w:val="006479BD"/>
    <w:rsid w:val="006539E4"/>
    <w:rsid w:val="00653A12"/>
    <w:rsid w:val="006565D2"/>
    <w:rsid w:val="00661EC7"/>
    <w:rsid w:val="00662787"/>
    <w:rsid w:val="00662F6A"/>
    <w:rsid w:val="006630C1"/>
    <w:rsid w:val="0066529C"/>
    <w:rsid w:val="0066567D"/>
    <w:rsid w:val="00670C85"/>
    <w:rsid w:val="0067429C"/>
    <w:rsid w:val="006758E0"/>
    <w:rsid w:val="00677373"/>
    <w:rsid w:val="00682A9B"/>
    <w:rsid w:val="00682CBE"/>
    <w:rsid w:val="00684B1A"/>
    <w:rsid w:val="00684F8C"/>
    <w:rsid w:val="00685EEA"/>
    <w:rsid w:val="006900C6"/>
    <w:rsid w:val="0069174B"/>
    <w:rsid w:val="00691E0B"/>
    <w:rsid w:val="006A0460"/>
    <w:rsid w:val="006A159C"/>
    <w:rsid w:val="006A191D"/>
    <w:rsid w:val="006A2CF1"/>
    <w:rsid w:val="006B2EA7"/>
    <w:rsid w:val="006B4D53"/>
    <w:rsid w:val="006B68F5"/>
    <w:rsid w:val="006B6AB1"/>
    <w:rsid w:val="006B7CA7"/>
    <w:rsid w:val="006C166B"/>
    <w:rsid w:val="006C2EA6"/>
    <w:rsid w:val="006C415E"/>
    <w:rsid w:val="006C47F8"/>
    <w:rsid w:val="006C4E1A"/>
    <w:rsid w:val="006C4F21"/>
    <w:rsid w:val="006C4F50"/>
    <w:rsid w:val="006C6556"/>
    <w:rsid w:val="006C7196"/>
    <w:rsid w:val="006D2212"/>
    <w:rsid w:val="006D35E9"/>
    <w:rsid w:val="006D4AF0"/>
    <w:rsid w:val="006D7ED0"/>
    <w:rsid w:val="006E6B83"/>
    <w:rsid w:val="006E7B0E"/>
    <w:rsid w:val="006F0BC1"/>
    <w:rsid w:val="006F35D0"/>
    <w:rsid w:val="006F35F8"/>
    <w:rsid w:val="006F39AD"/>
    <w:rsid w:val="006F3E40"/>
    <w:rsid w:val="006F56BA"/>
    <w:rsid w:val="006F6D85"/>
    <w:rsid w:val="00702735"/>
    <w:rsid w:val="007037A9"/>
    <w:rsid w:val="007053CE"/>
    <w:rsid w:val="00705A43"/>
    <w:rsid w:val="00706DDE"/>
    <w:rsid w:val="00707816"/>
    <w:rsid w:val="00710010"/>
    <w:rsid w:val="00710E74"/>
    <w:rsid w:val="007131D0"/>
    <w:rsid w:val="00713B57"/>
    <w:rsid w:val="00716B58"/>
    <w:rsid w:val="00717037"/>
    <w:rsid w:val="0072035D"/>
    <w:rsid w:val="00720AD1"/>
    <w:rsid w:val="00720CCB"/>
    <w:rsid w:val="0072135E"/>
    <w:rsid w:val="00722665"/>
    <w:rsid w:val="0072362A"/>
    <w:rsid w:val="00723C3D"/>
    <w:rsid w:val="00735DBF"/>
    <w:rsid w:val="00736A90"/>
    <w:rsid w:val="00737E19"/>
    <w:rsid w:val="00740564"/>
    <w:rsid w:val="0074084A"/>
    <w:rsid w:val="00742B2D"/>
    <w:rsid w:val="00743371"/>
    <w:rsid w:val="00745B1B"/>
    <w:rsid w:val="00747462"/>
    <w:rsid w:val="00750E5B"/>
    <w:rsid w:val="00751D89"/>
    <w:rsid w:val="00752639"/>
    <w:rsid w:val="00752F21"/>
    <w:rsid w:val="00752F8C"/>
    <w:rsid w:val="007530BC"/>
    <w:rsid w:val="00754E36"/>
    <w:rsid w:val="00760482"/>
    <w:rsid w:val="007640B0"/>
    <w:rsid w:val="00767386"/>
    <w:rsid w:val="00770D3B"/>
    <w:rsid w:val="00772E0C"/>
    <w:rsid w:val="00774D4C"/>
    <w:rsid w:val="00775BA5"/>
    <w:rsid w:val="00783FCC"/>
    <w:rsid w:val="00786882"/>
    <w:rsid w:val="00786C4A"/>
    <w:rsid w:val="00792839"/>
    <w:rsid w:val="00792A3D"/>
    <w:rsid w:val="00793C8A"/>
    <w:rsid w:val="00796EE2"/>
    <w:rsid w:val="007A24F0"/>
    <w:rsid w:val="007A2FD2"/>
    <w:rsid w:val="007A4BA0"/>
    <w:rsid w:val="007B121F"/>
    <w:rsid w:val="007B2C63"/>
    <w:rsid w:val="007B2EA0"/>
    <w:rsid w:val="007B39AA"/>
    <w:rsid w:val="007B53D2"/>
    <w:rsid w:val="007B550E"/>
    <w:rsid w:val="007C52FC"/>
    <w:rsid w:val="007C6284"/>
    <w:rsid w:val="007C63A4"/>
    <w:rsid w:val="007C7402"/>
    <w:rsid w:val="007C755A"/>
    <w:rsid w:val="007C7664"/>
    <w:rsid w:val="007C7CA8"/>
    <w:rsid w:val="007D3722"/>
    <w:rsid w:val="007D4069"/>
    <w:rsid w:val="007E047E"/>
    <w:rsid w:val="007E14EE"/>
    <w:rsid w:val="007E31A1"/>
    <w:rsid w:val="007E3795"/>
    <w:rsid w:val="007E3935"/>
    <w:rsid w:val="007E4093"/>
    <w:rsid w:val="007E4E39"/>
    <w:rsid w:val="007E7CCE"/>
    <w:rsid w:val="007F06E5"/>
    <w:rsid w:val="007F07D1"/>
    <w:rsid w:val="007F6CC4"/>
    <w:rsid w:val="007F7D7A"/>
    <w:rsid w:val="0080027F"/>
    <w:rsid w:val="00800306"/>
    <w:rsid w:val="00802DC1"/>
    <w:rsid w:val="00806378"/>
    <w:rsid w:val="00806F06"/>
    <w:rsid w:val="00810830"/>
    <w:rsid w:val="00811D4F"/>
    <w:rsid w:val="00811FAE"/>
    <w:rsid w:val="00813978"/>
    <w:rsid w:val="00814192"/>
    <w:rsid w:val="00815C4D"/>
    <w:rsid w:val="00816276"/>
    <w:rsid w:val="00816FF0"/>
    <w:rsid w:val="008172FB"/>
    <w:rsid w:val="008201DB"/>
    <w:rsid w:val="00820B53"/>
    <w:rsid w:val="00821384"/>
    <w:rsid w:val="00823999"/>
    <w:rsid w:val="008273E9"/>
    <w:rsid w:val="0082770E"/>
    <w:rsid w:val="008318ED"/>
    <w:rsid w:val="00832922"/>
    <w:rsid w:val="00833DEB"/>
    <w:rsid w:val="00833E66"/>
    <w:rsid w:val="00834C3B"/>
    <w:rsid w:val="00836F43"/>
    <w:rsid w:val="00842633"/>
    <w:rsid w:val="00845DC8"/>
    <w:rsid w:val="00845E32"/>
    <w:rsid w:val="00846819"/>
    <w:rsid w:val="008472B7"/>
    <w:rsid w:val="00850545"/>
    <w:rsid w:val="0085275E"/>
    <w:rsid w:val="00861088"/>
    <w:rsid w:val="0086290F"/>
    <w:rsid w:val="00862A96"/>
    <w:rsid w:val="00866DCD"/>
    <w:rsid w:val="00870B87"/>
    <w:rsid w:val="00876F2F"/>
    <w:rsid w:val="00877FB0"/>
    <w:rsid w:val="0088188B"/>
    <w:rsid w:val="0088487E"/>
    <w:rsid w:val="00885F02"/>
    <w:rsid w:val="008862B9"/>
    <w:rsid w:val="00886CB2"/>
    <w:rsid w:val="00892F51"/>
    <w:rsid w:val="0089304A"/>
    <w:rsid w:val="00894153"/>
    <w:rsid w:val="008A1E4C"/>
    <w:rsid w:val="008A30C5"/>
    <w:rsid w:val="008A6C90"/>
    <w:rsid w:val="008B10C1"/>
    <w:rsid w:val="008B20A5"/>
    <w:rsid w:val="008B4C95"/>
    <w:rsid w:val="008B54E3"/>
    <w:rsid w:val="008B5F76"/>
    <w:rsid w:val="008B6B85"/>
    <w:rsid w:val="008C1975"/>
    <w:rsid w:val="008C4B1A"/>
    <w:rsid w:val="008C5BC0"/>
    <w:rsid w:val="008C7433"/>
    <w:rsid w:val="008D086D"/>
    <w:rsid w:val="008D0F13"/>
    <w:rsid w:val="008D1489"/>
    <w:rsid w:val="008D2284"/>
    <w:rsid w:val="008D56AC"/>
    <w:rsid w:val="008D6984"/>
    <w:rsid w:val="008D6DCB"/>
    <w:rsid w:val="008E3164"/>
    <w:rsid w:val="008E5730"/>
    <w:rsid w:val="008E774C"/>
    <w:rsid w:val="008F1E6A"/>
    <w:rsid w:val="008F337E"/>
    <w:rsid w:val="008F3E64"/>
    <w:rsid w:val="008F6570"/>
    <w:rsid w:val="00900767"/>
    <w:rsid w:val="009029FC"/>
    <w:rsid w:val="00903ABC"/>
    <w:rsid w:val="0090443D"/>
    <w:rsid w:val="00904C44"/>
    <w:rsid w:val="00905577"/>
    <w:rsid w:val="0090681E"/>
    <w:rsid w:val="00907DF7"/>
    <w:rsid w:val="00910F80"/>
    <w:rsid w:val="0091176A"/>
    <w:rsid w:val="00911CA9"/>
    <w:rsid w:val="009127EF"/>
    <w:rsid w:val="00913690"/>
    <w:rsid w:val="0091407F"/>
    <w:rsid w:val="009170C0"/>
    <w:rsid w:val="00917430"/>
    <w:rsid w:val="00920135"/>
    <w:rsid w:val="00920CDF"/>
    <w:rsid w:val="00923576"/>
    <w:rsid w:val="00933260"/>
    <w:rsid w:val="00933EDB"/>
    <w:rsid w:val="009352D0"/>
    <w:rsid w:val="00936142"/>
    <w:rsid w:val="009405A7"/>
    <w:rsid w:val="00945733"/>
    <w:rsid w:val="009461E3"/>
    <w:rsid w:val="00946906"/>
    <w:rsid w:val="00950EB7"/>
    <w:rsid w:val="00953D43"/>
    <w:rsid w:val="00955EA2"/>
    <w:rsid w:val="0095610C"/>
    <w:rsid w:val="00957281"/>
    <w:rsid w:val="00960AC8"/>
    <w:rsid w:val="00960C6C"/>
    <w:rsid w:val="009625BF"/>
    <w:rsid w:val="00962E9C"/>
    <w:rsid w:val="00964561"/>
    <w:rsid w:val="009704C1"/>
    <w:rsid w:val="009707FF"/>
    <w:rsid w:val="009727F9"/>
    <w:rsid w:val="009760AD"/>
    <w:rsid w:val="00976104"/>
    <w:rsid w:val="00984867"/>
    <w:rsid w:val="009848CF"/>
    <w:rsid w:val="00985217"/>
    <w:rsid w:val="00986529"/>
    <w:rsid w:val="00990A41"/>
    <w:rsid w:val="009923F0"/>
    <w:rsid w:val="00996B22"/>
    <w:rsid w:val="00997047"/>
    <w:rsid w:val="009975BF"/>
    <w:rsid w:val="009A0C76"/>
    <w:rsid w:val="009A0FEE"/>
    <w:rsid w:val="009A12AC"/>
    <w:rsid w:val="009A2504"/>
    <w:rsid w:val="009A3CF3"/>
    <w:rsid w:val="009A4793"/>
    <w:rsid w:val="009A6BF7"/>
    <w:rsid w:val="009A6EAE"/>
    <w:rsid w:val="009A7565"/>
    <w:rsid w:val="009B012C"/>
    <w:rsid w:val="009B0305"/>
    <w:rsid w:val="009B4765"/>
    <w:rsid w:val="009B572C"/>
    <w:rsid w:val="009C1F28"/>
    <w:rsid w:val="009C4274"/>
    <w:rsid w:val="009C5E5D"/>
    <w:rsid w:val="009D4AB4"/>
    <w:rsid w:val="009D6692"/>
    <w:rsid w:val="009D6CD9"/>
    <w:rsid w:val="009D6E43"/>
    <w:rsid w:val="009D77A2"/>
    <w:rsid w:val="009E60B2"/>
    <w:rsid w:val="009E6777"/>
    <w:rsid w:val="009F1DBC"/>
    <w:rsid w:val="009F56E0"/>
    <w:rsid w:val="009F59E0"/>
    <w:rsid w:val="009F6E6D"/>
    <w:rsid w:val="009F7122"/>
    <w:rsid w:val="00A00C49"/>
    <w:rsid w:val="00A013F0"/>
    <w:rsid w:val="00A02F3B"/>
    <w:rsid w:val="00A0381C"/>
    <w:rsid w:val="00A04333"/>
    <w:rsid w:val="00A04389"/>
    <w:rsid w:val="00A07BEC"/>
    <w:rsid w:val="00A1061A"/>
    <w:rsid w:val="00A12166"/>
    <w:rsid w:val="00A128BA"/>
    <w:rsid w:val="00A14D12"/>
    <w:rsid w:val="00A152BC"/>
    <w:rsid w:val="00A15929"/>
    <w:rsid w:val="00A1598F"/>
    <w:rsid w:val="00A16B42"/>
    <w:rsid w:val="00A2483A"/>
    <w:rsid w:val="00A24AB7"/>
    <w:rsid w:val="00A25D18"/>
    <w:rsid w:val="00A25FDC"/>
    <w:rsid w:val="00A30D68"/>
    <w:rsid w:val="00A30DBC"/>
    <w:rsid w:val="00A314F5"/>
    <w:rsid w:val="00A3363B"/>
    <w:rsid w:val="00A3540F"/>
    <w:rsid w:val="00A356C9"/>
    <w:rsid w:val="00A35F94"/>
    <w:rsid w:val="00A37B5B"/>
    <w:rsid w:val="00A453F5"/>
    <w:rsid w:val="00A464C2"/>
    <w:rsid w:val="00A46CEF"/>
    <w:rsid w:val="00A51B7F"/>
    <w:rsid w:val="00A5351E"/>
    <w:rsid w:val="00A5712B"/>
    <w:rsid w:val="00A6138C"/>
    <w:rsid w:val="00A62B95"/>
    <w:rsid w:val="00A671B0"/>
    <w:rsid w:val="00A714F4"/>
    <w:rsid w:val="00A71CBE"/>
    <w:rsid w:val="00A74724"/>
    <w:rsid w:val="00A750DC"/>
    <w:rsid w:val="00A75AAD"/>
    <w:rsid w:val="00A76E15"/>
    <w:rsid w:val="00A7751D"/>
    <w:rsid w:val="00A81741"/>
    <w:rsid w:val="00A82673"/>
    <w:rsid w:val="00A82727"/>
    <w:rsid w:val="00A827C6"/>
    <w:rsid w:val="00A841F9"/>
    <w:rsid w:val="00A84262"/>
    <w:rsid w:val="00A8472C"/>
    <w:rsid w:val="00A87739"/>
    <w:rsid w:val="00A879D7"/>
    <w:rsid w:val="00A9184D"/>
    <w:rsid w:val="00AA0318"/>
    <w:rsid w:val="00AA26F1"/>
    <w:rsid w:val="00AA30CA"/>
    <w:rsid w:val="00AA412D"/>
    <w:rsid w:val="00AA596B"/>
    <w:rsid w:val="00AA6BC8"/>
    <w:rsid w:val="00AB07DE"/>
    <w:rsid w:val="00AB1B77"/>
    <w:rsid w:val="00AB30E7"/>
    <w:rsid w:val="00AC0E9F"/>
    <w:rsid w:val="00AC2803"/>
    <w:rsid w:val="00AC6A63"/>
    <w:rsid w:val="00AC701B"/>
    <w:rsid w:val="00AC7D66"/>
    <w:rsid w:val="00AD00E3"/>
    <w:rsid w:val="00AD48D7"/>
    <w:rsid w:val="00AD5855"/>
    <w:rsid w:val="00AD79E4"/>
    <w:rsid w:val="00AE1534"/>
    <w:rsid w:val="00AE2E1C"/>
    <w:rsid w:val="00AE3677"/>
    <w:rsid w:val="00AE3BB3"/>
    <w:rsid w:val="00AE3DF9"/>
    <w:rsid w:val="00AE4F5D"/>
    <w:rsid w:val="00AE5886"/>
    <w:rsid w:val="00AE7BCD"/>
    <w:rsid w:val="00AF0623"/>
    <w:rsid w:val="00AF0BE5"/>
    <w:rsid w:val="00AF0F20"/>
    <w:rsid w:val="00AF25AA"/>
    <w:rsid w:val="00AF6489"/>
    <w:rsid w:val="00AF7D32"/>
    <w:rsid w:val="00B005FB"/>
    <w:rsid w:val="00B0085B"/>
    <w:rsid w:val="00B022F1"/>
    <w:rsid w:val="00B0278F"/>
    <w:rsid w:val="00B05FD9"/>
    <w:rsid w:val="00B068DB"/>
    <w:rsid w:val="00B06B37"/>
    <w:rsid w:val="00B12873"/>
    <w:rsid w:val="00B1789B"/>
    <w:rsid w:val="00B215CA"/>
    <w:rsid w:val="00B25085"/>
    <w:rsid w:val="00B2659E"/>
    <w:rsid w:val="00B277BD"/>
    <w:rsid w:val="00B305C1"/>
    <w:rsid w:val="00B315D9"/>
    <w:rsid w:val="00B326F2"/>
    <w:rsid w:val="00B33895"/>
    <w:rsid w:val="00B342F0"/>
    <w:rsid w:val="00B35FF2"/>
    <w:rsid w:val="00B36BA4"/>
    <w:rsid w:val="00B37508"/>
    <w:rsid w:val="00B4520D"/>
    <w:rsid w:val="00B47E0A"/>
    <w:rsid w:val="00B50972"/>
    <w:rsid w:val="00B50EE3"/>
    <w:rsid w:val="00B53B62"/>
    <w:rsid w:val="00B53DD2"/>
    <w:rsid w:val="00B54C22"/>
    <w:rsid w:val="00B57A40"/>
    <w:rsid w:val="00B6187B"/>
    <w:rsid w:val="00B6242F"/>
    <w:rsid w:val="00B65862"/>
    <w:rsid w:val="00B66C8D"/>
    <w:rsid w:val="00B6731F"/>
    <w:rsid w:val="00B677D0"/>
    <w:rsid w:val="00B677E3"/>
    <w:rsid w:val="00B67CC4"/>
    <w:rsid w:val="00B71E8D"/>
    <w:rsid w:val="00B7299C"/>
    <w:rsid w:val="00B72EBA"/>
    <w:rsid w:val="00B73CDF"/>
    <w:rsid w:val="00B741F3"/>
    <w:rsid w:val="00B75CA7"/>
    <w:rsid w:val="00B774D7"/>
    <w:rsid w:val="00B839C8"/>
    <w:rsid w:val="00B8515D"/>
    <w:rsid w:val="00B85897"/>
    <w:rsid w:val="00B86979"/>
    <w:rsid w:val="00B86C5E"/>
    <w:rsid w:val="00B91263"/>
    <w:rsid w:val="00B914D7"/>
    <w:rsid w:val="00B92413"/>
    <w:rsid w:val="00B954BA"/>
    <w:rsid w:val="00B964B8"/>
    <w:rsid w:val="00BA00BD"/>
    <w:rsid w:val="00BA08B0"/>
    <w:rsid w:val="00BA1073"/>
    <w:rsid w:val="00BA2285"/>
    <w:rsid w:val="00BA4C72"/>
    <w:rsid w:val="00BA4FFA"/>
    <w:rsid w:val="00BB5D32"/>
    <w:rsid w:val="00BB796F"/>
    <w:rsid w:val="00BC5190"/>
    <w:rsid w:val="00BC60F0"/>
    <w:rsid w:val="00BC6AA2"/>
    <w:rsid w:val="00BC7595"/>
    <w:rsid w:val="00BD16D3"/>
    <w:rsid w:val="00BD3C9A"/>
    <w:rsid w:val="00BD503E"/>
    <w:rsid w:val="00BE495E"/>
    <w:rsid w:val="00BE6922"/>
    <w:rsid w:val="00BE6B86"/>
    <w:rsid w:val="00BF0FC6"/>
    <w:rsid w:val="00BF2203"/>
    <w:rsid w:val="00BF230D"/>
    <w:rsid w:val="00BF2AA7"/>
    <w:rsid w:val="00BF41BA"/>
    <w:rsid w:val="00BF65AB"/>
    <w:rsid w:val="00BF7190"/>
    <w:rsid w:val="00BF7E5A"/>
    <w:rsid w:val="00C018DA"/>
    <w:rsid w:val="00C04F4F"/>
    <w:rsid w:val="00C07326"/>
    <w:rsid w:val="00C07E5F"/>
    <w:rsid w:val="00C14B7F"/>
    <w:rsid w:val="00C155C7"/>
    <w:rsid w:val="00C15C6D"/>
    <w:rsid w:val="00C16501"/>
    <w:rsid w:val="00C16D71"/>
    <w:rsid w:val="00C17233"/>
    <w:rsid w:val="00C176B6"/>
    <w:rsid w:val="00C2006C"/>
    <w:rsid w:val="00C20886"/>
    <w:rsid w:val="00C22E8A"/>
    <w:rsid w:val="00C27741"/>
    <w:rsid w:val="00C27DF9"/>
    <w:rsid w:val="00C309ED"/>
    <w:rsid w:val="00C31673"/>
    <w:rsid w:val="00C31BC3"/>
    <w:rsid w:val="00C33503"/>
    <w:rsid w:val="00C346CD"/>
    <w:rsid w:val="00C35DBA"/>
    <w:rsid w:val="00C36467"/>
    <w:rsid w:val="00C37A95"/>
    <w:rsid w:val="00C37EFE"/>
    <w:rsid w:val="00C4320F"/>
    <w:rsid w:val="00C440AD"/>
    <w:rsid w:val="00C44549"/>
    <w:rsid w:val="00C45BF9"/>
    <w:rsid w:val="00C47CA9"/>
    <w:rsid w:val="00C50ABD"/>
    <w:rsid w:val="00C51781"/>
    <w:rsid w:val="00C5272A"/>
    <w:rsid w:val="00C544CB"/>
    <w:rsid w:val="00C54DAC"/>
    <w:rsid w:val="00C559A6"/>
    <w:rsid w:val="00C5621D"/>
    <w:rsid w:val="00C578C7"/>
    <w:rsid w:val="00C603D6"/>
    <w:rsid w:val="00C61504"/>
    <w:rsid w:val="00C63B30"/>
    <w:rsid w:val="00C67BFF"/>
    <w:rsid w:val="00C719AB"/>
    <w:rsid w:val="00C73300"/>
    <w:rsid w:val="00C7506C"/>
    <w:rsid w:val="00C77E46"/>
    <w:rsid w:val="00C8046E"/>
    <w:rsid w:val="00C903FA"/>
    <w:rsid w:val="00C9154F"/>
    <w:rsid w:val="00C91E93"/>
    <w:rsid w:val="00C92D6B"/>
    <w:rsid w:val="00C94A36"/>
    <w:rsid w:val="00CA0F8F"/>
    <w:rsid w:val="00CA28E1"/>
    <w:rsid w:val="00CA320C"/>
    <w:rsid w:val="00CA4F9E"/>
    <w:rsid w:val="00CA50F0"/>
    <w:rsid w:val="00CA7DA3"/>
    <w:rsid w:val="00CB3F61"/>
    <w:rsid w:val="00CB49B8"/>
    <w:rsid w:val="00CC0254"/>
    <w:rsid w:val="00CC1AD5"/>
    <w:rsid w:val="00CC28DB"/>
    <w:rsid w:val="00CC33A3"/>
    <w:rsid w:val="00CC509C"/>
    <w:rsid w:val="00CC5C73"/>
    <w:rsid w:val="00CC6B1D"/>
    <w:rsid w:val="00CD2422"/>
    <w:rsid w:val="00CD2573"/>
    <w:rsid w:val="00CD661B"/>
    <w:rsid w:val="00CD77D6"/>
    <w:rsid w:val="00CE0CA7"/>
    <w:rsid w:val="00CE1800"/>
    <w:rsid w:val="00CE5473"/>
    <w:rsid w:val="00CE7D66"/>
    <w:rsid w:val="00CE7F93"/>
    <w:rsid w:val="00CF071C"/>
    <w:rsid w:val="00CF3798"/>
    <w:rsid w:val="00CF408F"/>
    <w:rsid w:val="00CF452E"/>
    <w:rsid w:val="00CF4DFF"/>
    <w:rsid w:val="00CF71A5"/>
    <w:rsid w:val="00D004F2"/>
    <w:rsid w:val="00D00972"/>
    <w:rsid w:val="00D00C04"/>
    <w:rsid w:val="00D02579"/>
    <w:rsid w:val="00D03E26"/>
    <w:rsid w:val="00D04102"/>
    <w:rsid w:val="00D103C4"/>
    <w:rsid w:val="00D118DD"/>
    <w:rsid w:val="00D11C9D"/>
    <w:rsid w:val="00D127B0"/>
    <w:rsid w:val="00D1291E"/>
    <w:rsid w:val="00D13B1D"/>
    <w:rsid w:val="00D14FDF"/>
    <w:rsid w:val="00D170BD"/>
    <w:rsid w:val="00D22C67"/>
    <w:rsid w:val="00D23826"/>
    <w:rsid w:val="00D24BF7"/>
    <w:rsid w:val="00D26DCB"/>
    <w:rsid w:val="00D30A0A"/>
    <w:rsid w:val="00D30E1C"/>
    <w:rsid w:val="00D31582"/>
    <w:rsid w:val="00D31964"/>
    <w:rsid w:val="00D32171"/>
    <w:rsid w:val="00D33D42"/>
    <w:rsid w:val="00D356DD"/>
    <w:rsid w:val="00D45B51"/>
    <w:rsid w:val="00D45BB0"/>
    <w:rsid w:val="00D46146"/>
    <w:rsid w:val="00D51580"/>
    <w:rsid w:val="00D62399"/>
    <w:rsid w:val="00D63CF0"/>
    <w:rsid w:val="00D64EA7"/>
    <w:rsid w:val="00D705EB"/>
    <w:rsid w:val="00D707C1"/>
    <w:rsid w:val="00D7348C"/>
    <w:rsid w:val="00D737B2"/>
    <w:rsid w:val="00D748AB"/>
    <w:rsid w:val="00D75922"/>
    <w:rsid w:val="00D75EBE"/>
    <w:rsid w:val="00D75F23"/>
    <w:rsid w:val="00D76B0C"/>
    <w:rsid w:val="00D77705"/>
    <w:rsid w:val="00D80B7B"/>
    <w:rsid w:val="00D80C0C"/>
    <w:rsid w:val="00D825EC"/>
    <w:rsid w:val="00D83BE6"/>
    <w:rsid w:val="00D84198"/>
    <w:rsid w:val="00D86252"/>
    <w:rsid w:val="00D86D9A"/>
    <w:rsid w:val="00D873D5"/>
    <w:rsid w:val="00D90757"/>
    <w:rsid w:val="00D90D46"/>
    <w:rsid w:val="00D91915"/>
    <w:rsid w:val="00D94965"/>
    <w:rsid w:val="00D97202"/>
    <w:rsid w:val="00DA161F"/>
    <w:rsid w:val="00DA3D5B"/>
    <w:rsid w:val="00DA521D"/>
    <w:rsid w:val="00DA5858"/>
    <w:rsid w:val="00DB04F0"/>
    <w:rsid w:val="00DB0749"/>
    <w:rsid w:val="00DB2147"/>
    <w:rsid w:val="00DB6452"/>
    <w:rsid w:val="00DB6A67"/>
    <w:rsid w:val="00DB7CED"/>
    <w:rsid w:val="00DC1743"/>
    <w:rsid w:val="00DC27AB"/>
    <w:rsid w:val="00DC3C64"/>
    <w:rsid w:val="00DC4EB5"/>
    <w:rsid w:val="00DC7107"/>
    <w:rsid w:val="00DD06E2"/>
    <w:rsid w:val="00DD0D5F"/>
    <w:rsid w:val="00DD34D4"/>
    <w:rsid w:val="00DD3A74"/>
    <w:rsid w:val="00DD3AFA"/>
    <w:rsid w:val="00DE03FA"/>
    <w:rsid w:val="00DE131E"/>
    <w:rsid w:val="00DE44CC"/>
    <w:rsid w:val="00DE7790"/>
    <w:rsid w:val="00DF459D"/>
    <w:rsid w:val="00DF48DC"/>
    <w:rsid w:val="00DF4B9A"/>
    <w:rsid w:val="00DF69B5"/>
    <w:rsid w:val="00E008FA"/>
    <w:rsid w:val="00E01B91"/>
    <w:rsid w:val="00E02214"/>
    <w:rsid w:val="00E02357"/>
    <w:rsid w:val="00E028E0"/>
    <w:rsid w:val="00E04DB2"/>
    <w:rsid w:val="00E06B0A"/>
    <w:rsid w:val="00E07C6F"/>
    <w:rsid w:val="00E10E5E"/>
    <w:rsid w:val="00E168F1"/>
    <w:rsid w:val="00E24323"/>
    <w:rsid w:val="00E260B4"/>
    <w:rsid w:val="00E27360"/>
    <w:rsid w:val="00E30319"/>
    <w:rsid w:val="00E31B42"/>
    <w:rsid w:val="00E32DA4"/>
    <w:rsid w:val="00E32ED8"/>
    <w:rsid w:val="00E33EC3"/>
    <w:rsid w:val="00E3406E"/>
    <w:rsid w:val="00E355F4"/>
    <w:rsid w:val="00E35CF2"/>
    <w:rsid w:val="00E3784F"/>
    <w:rsid w:val="00E4060A"/>
    <w:rsid w:val="00E43798"/>
    <w:rsid w:val="00E43BC1"/>
    <w:rsid w:val="00E45EBB"/>
    <w:rsid w:val="00E467E0"/>
    <w:rsid w:val="00E4735C"/>
    <w:rsid w:val="00E55298"/>
    <w:rsid w:val="00E61453"/>
    <w:rsid w:val="00E628C1"/>
    <w:rsid w:val="00E63DC1"/>
    <w:rsid w:val="00E64E51"/>
    <w:rsid w:val="00E668B3"/>
    <w:rsid w:val="00E66906"/>
    <w:rsid w:val="00E715E8"/>
    <w:rsid w:val="00E7593D"/>
    <w:rsid w:val="00E76063"/>
    <w:rsid w:val="00E81F76"/>
    <w:rsid w:val="00E821AD"/>
    <w:rsid w:val="00E84EE8"/>
    <w:rsid w:val="00E852A9"/>
    <w:rsid w:val="00E859CB"/>
    <w:rsid w:val="00E92A70"/>
    <w:rsid w:val="00E93E6B"/>
    <w:rsid w:val="00E93F4C"/>
    <w:rsid w:val="00E942F0"/>
    <w:rsid w:val="00E94722"/>
    <w:rsid w:val="00E95AB5"/>
    <w:rsid w:val="00E96A52"/>
    <w:rsid w:val="00EA0F64"/>
    <w:rsid w:val="00EA16A7"/>
    <w:rsid w:val="00EA1AA6"/>
    <w:rsid w:val="00EA1CB9"/>
    <w:rsid w:val="00EA3F33"/>
    <w:rsid w:val="00EA48CE"/>
    <w:rsid w:val="00EB17E1"/>
    <w:rsid w:val="00EB3480"/>
    <w:rsid w:val="00EB44E6"/>
    <w:rsid w:val="00EB5A4E"/>
    <w:rsid w:val="00EC0901"/>
    <w:rsid w:val="00EC1D11"/>
    <w:rsid w:val="00EC216C"/>
    <w:rsid w:val="00EC22DE"/>
    <w:rsid w:val="00EC276D"/>
    <w:rsid w:val="00EC44B2"/>
    <w:rsid w:val="00EC55C2"/>
    <w:rsid w:val="00EC6E16"/>
    <w:rsid w:val="00EC736A"/>
    <w:rsid w:val="00EC74B7"/>
    <w:rsid w:val="00ED1049"/>
    <w:rsid w:val="00ED1758"/>
    <w:rsid w:val="00ED1FE4"/>
    <w:rsid w:val="00ED3586"/>
    <w:rsid w:val="00EE245F"/>
    <w:rsid w:val="00EE33FC"/>
    <w:rsid w:val="00EE7FD1"/>
    <w:rsid w:val="00EF12F5"/>
    <w:rsid w:val="00EF2C32"/>
    <w:rsid w:val="00F019D2"/>
    <w:rsid w:val="00F05DE7"/>
    <w:rsid w:val="00F05EAF"/>
    <w:rsid w:val="00F064E4"/>
    <w:rsid w:val="00F06A89"/>
    <w:rsid w:val="00F10941"/>
    <w:rsid w:val="00F123F2"/>
    <w:rsid w:val="00F13B8D"/>
    <w:rsid w:val="00F14C57"/>
    <w:rsid w:val="00F15207"/>
    <w:rsid w:val="00F15E8C"/>
    <w:rsid w:val="00F17A2A"/>
    <w:rsid w:val="00F17A73"/>
    <w:rsid w:val="00F20EED"/>
    <w:rsid w:val="00F21768"/>
    <w:rsid w:val="00F2194A"/>
    <w:rsid w:val="00F21AEF"/>
    <w:rsid w:val="00F22114"/>
    <w:rsid w:val="00F31C55"/>
    <w:rsid w:val="00F3525F"/>
    <w:rsid w:val="00F352EE"/>
    <w:rsid w:val="00F361F8"/>
    <w:rsid w:val="00F36E38"/>
    <w:rsid w:val="00F37D6C"/>
    <w:rsid w:val="00F42363"/>
    <w:rsid w:val="00F42D47"/>
    <w:rsid w:val="00F44F97"/>
    <w:rsid w:val="00F45568"/>
    <w:rsid w:val="00F45C7B"/>
    <w:rsid w:val="00F47588"/>
    <w:rsid w:val="00F50F98"/>
    <w:rsid w:val="00F5409A"/>
    <w:rsid w:val="00F56693"/>
    <w:rsid w:val="00F6008B"/>
    <w:rsid w:val="00F611E7"/>
    <w:rsid w:val="00F63499"/>
    <w:rsid w:val="00F64CB9"/>
    <w:rsid w:val="00F7112F"/>
    <w:rsid w:val="00F727DF"/>
    <w:rsid w:val="00F72F16"/>
    <w:rsid w:val="00F74063"/>
    <w:rsid w:val="00F772BC"/>
    <w:rsid w:val="00F80C83"/>
    <w:rsid w:val="00F91A5B"/>
    <w:rsid w:val="00F95347"/>
    <w:rsid w:val="00FA1BB2"/>
    <w:rsid w:val="00FA76BF"/>
    <w:rsid w:val="00FA7F89"/>
    <w:rsid w:val="00FB1DDE"/>
    <w:rsid w:val="00FB2017"/>
    <w:rsid w:val="00FB3075"/>
    <w:rsid w:val="00FB78C8"/>
    <w:rsid w:val="00FC076B"/>
    <w:rsid w:val="00FC0B5B"/>
    <w:rsid w:val="00FC3836"/>
    <w:rsid w:val="00FC3D0A"/>
    <w:rsid w:val="00FC4501"/>
    <w:rsid w:val="00FC4730"/>
    <w:rsid w:val="00FC5D0E"/>
    <w:rsid w:val="00FC791F"/>
    <w:rsid w:val="00FD074B"/>
    <w:rsid w:val="00FD1666"/>
    <w:rsid w:val="00FD17EE"/>
    <w:rsid w:val="00FD1E3F"/>
    <w:rsid w:val="00FD214D"/>
    <w:rsid w:val="00FD23BD"/>
    <w:rsid w:val="00FD46C5"/>
    <w:rsid w:val="00FD748A"/>
    <w:rsid w:val="00FE17C1"/>
    <w:rsid w:val="00FE1838"/>
    <w:rsid w:val="00FE7D7E"/>
    <w:rsid w:val="00FF157E"/>
    <w:rsid w:val="00FF27B1"/>
    <w:rsid w:val="00FF2C4E"/>
    <w:rsid w:val="00FF73F3"/>
    <w:rsid w:val="00FF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14495061">
      <w:bodyDiv w:val="1"/>
      <w:marLeft w:val="0"/>
      <w:marRight w:val="0"/>
      <w:marTop w:val="0"/>
      <w:marBottom w:val="0"/>
      <w:divBdr>
        <w:top w:val="none" w:sz="0" w:space="0" w:color="auto"/>
        <w:left w:val="none" w:sz="0" w:space="0" w:color="auto"/>
        <w:bottom w:val="none" w:sz="0" w:space="0" w:color="auto"/>
        <w:right w:val="none" w:sz="0" w:space="0" w:color="auto"/>
      </w:divBdr>
    </w:div>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786122462">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huyen%20de%20chuyen%20mon\Chuy&#234;n%20&#273;&#7873;%20ph&#226;n%20r&#227;%20t&#259;ng%20tr&#432;&#7903;ng\g2015%20ng&#224;y%2005.1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IIP%20c&#244;ng%20nghi&#7879;p%20ch&#7871;%20bi&#7871;n%20ch&#7871;%20t&#7841;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t\Desktop\Consumer%20confidence%20index\VN%20Consumer%20confidence%20inde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FSC\Data%20t&#7893;ng%20h&#7907;p\T&#236;nh%20h&#236;nh%20ho&#7841;t%20&#273;&#7897;ng%20D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bc\Downloads\xuatnhapkhau%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Nh&#243;m%20ch&#7881;%20ti&#234;u%20CPI%20update%2008.14\T&#237;nh%20to&#225;n%20l&#7841;m%20ph&#225;t%20c&#417;%20b&#7843;n.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S&#7889;%20li&#7879;u%2015%20ng&#224;y\SOLIEU15.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7427089906444677E-2"/>
          <c:y val="3.645833333333335E-2"/>
          <c:w val="0.90602760020851081"/>
          <c:h val="0.57451115485564286"/>
        </c:manualLayout>
      </c:layout>
      <c:barChart>
        <c:barDir val="col"/>
        <c:grouping val="clustered"/>
        <c:ser>
          <c:idx val="0"/>
          <c:order val="0"/>
          <c:tx>
            <c:strRef>
              <c:f>Graph!$B$1</c:f>
              <c:strCache>
                <c:ptCount val="1"/>
                <c:pt idx="0">
                  <c:v>Tăng trưởng</c:v>
                </c:pt>
              </c:strCache>
            </c:strRef>
          </c:tx>
          <c:cat>
            <c:strRef>
              <c:f>Graph!$A$2:$A$21</c:f>
              <c:strCache>
                <c:ptCount val="20"/>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strCache>
            </c:strRef>
          </c:cat>
          <c:val>
            <c:numRef>
              <c:f>Graph!$B$2:$B$21</c:f>
              <c:numCache>
                <c:formatCode>0.00</c:formatCode>
                <c:ptCount val="20"/>
                <c:pt idx="0">
                  <c:v>5.9</c:v>
                </c:pt>
                <c:pt idx="1">
                  <c:v>5.9300000000000015</c:v>
                </c:pt>
                <c:pt idx="2">
                  <c:v>6.21</c:v>
                </c:pt>
                <c:pt idx="3">
                  <c:v>6.71</c:v>
                </c:pt>
                <c:pt idx="4">
                  <c:v>4.75</c:v>
                </c:pt>
                <c:pt idx="5">
                  <c:v>5.08</c:v>
                </c:pt>
                <c:pt idx="6">
                  <c:v>5.39</c:v>
                </c:pt>
                <c:pt idx="7">
                  <c:v>5.57</c:v>
                </c:pt>
                <c:pt idx="8">
                  <c:v>4.76</c:v>
                </c:pt>
                <c:pt idx="9">
                  <c:v>5</c:v>
                </c:pt>
                <c:pt idx="10">
                  <c:v>5.54</c:v>
                </c:pt>
                <c:pt idx="11">
                  <c:v>6.04</c:v>
                </c:pt>
                <c:pt idx="12">
                  <c:v>5.0599999999999996</c:v>
                </c:pt>
                <c:pt idx="13">
                  <c:v>5.34</c:v>
                </c:pt>
                <c:pt idx="14">
                  <c:v>6.07</c:v>
                </c:pt>
                <c:pt idx="15">
                  <c:v>6.96</c:v>
                </c:pt>
                <c:pt idx="16">
                  <c:v>6.08</c:v>
                </c:pt>
                <c:pt idx="17">
                  <c:v>6.44</c:v>
                </c:pt>
                <c:pt idx="18">
                  <c:v>6.81</c:v>
                </c:pt>
                <c:pt idx="19">
                  <c:v>7.01</c:v>
                </c:pt>
              </c:numCache>
            </c:numRef>
          </c:val>
        </c:ser>
        <c:axId val="44349696"/>
        <c:axId val="44355584"/>
      </c:barChart>
      <c:lineChart>
        <c:grouping val="standard"/>
        <c:ser>
          <c:idx val="1"/>
          <c:order val="1"/>
          <c:tx>
            <c:strRef>
              <c:f>Graph!$C$1</c:f>
              <c:strCache>
                <c:ptCount val="1"/>
                <c:pt idx="0">
                  <c:v>Tăng trưởng loại bỏ tính mùa vụ</c:v>
                </c:pt>
              </c:strCache>
            </c:strRef>
          </c:tx>
          <c:marker>
            <c:symbol val="circle"/>
            <c:size val="7"/>
            <c:spPr>
              <a:ln w="3175"/>
            </c:spPr>
          </c:marker>
          <c:cat>
            <c:strRef>
              <c:f>Graph!$A$2:$A$21</c:f>
              <c:strCache>
                <c:ptCount val="20"/>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strCache>
            </c:strRef>
          </c:cat>
          <c:val>
            <c:numRef>
              <c:f>Graph!$C$2:$C$21</c:f>
              <c:numCache>
                <c:formatCode>0.00</c:formatCode>
                <c:ptCount val="20"/>
                <c:pt idx="0">
                  <c:v>6.5823194967531116</c:v>
                </c:pt>
                <c:pt idx="1">
                  <c:v>6.2748717450408718</c:v>
                </c:pt>
                <c:pt idx="2">
                  <c:v>6.0535976516745498</c:v>
                </c:pt>
                <c:pt idx="3">
                  <c:v>5.9520055816410897</c:v>
                </c:pt>
                <c:pt idx="4">
                  <c:v>5.2704805575495381</c:v>
                </c:pt>
                <c:pt idx="5">
                  <c:v>5.3529012374861678</c:v>
                </c:pt>
                <c:pt idx="6">
                  <c:v>5.2626066731896204</c:v>
                </c:pt>
                <c:pt idx="7">
                  <c:v>4.9695248247201196</c:v>
                </c:pt>
                <c:pt idx="8">
                  <c:v>5.2507482326166599</c:v>
                </c:pt>
                <c:pt idx="9">
                  <c:v>5.267511243381608</c:v>
                </c:pt>
                <c:pt idx="10">
                  <c:v>5.3927492844263316</c:v>
                </c:pt>
                <c:pt idx="11">
                  <c:v>5.42882911984585</c:v>
                </c:pt>
                <c:pt idx="12">
                  <c:v>5.5527201992468003</c:v>
                </c:pt>
                <c:pt idx="13">
                  <c:v>5.6200763805502483</c:v>
                </c:pt>
                <c:pt idx="14">
                  <c:v>5.9139506658988497</c:v>
                </c:pt>
                <c:pt idx="15">
                  <c:v>6.2643319024707695</c:v>
                </c:pt>
                <c:pt idx="16">
                  <c:v>6.6634266081062963</c:v>
                </c:pt>
                <c:pt idx="17">
                  <c:v>6.7761251136533023</c:v>
                </c:pt>
                <c:pt idx="18">
                  <c:v>6.6360901960385315</c:v>
                </c:pt>
                <c:pt idx="19">
                  <c:v>6.769129957221681</c:v>
                </c:pt>
              </c:numCache>
            </c:numRef>
          </c:val>
        </c:ser>
        <c:marker val="1"/>
        <c:axId val="44349696"/>
        <c:axId val="44355584"/>
      </c:lineChart>
      <c:catAx>
        <c:axId val="44349696"/>
        <c:scaling>
          <c:orientation val="minMax"/>
        </c:scaling>
        <c:axPos val="b"/>
        <c:tickLblPos val="nextTo"/>
        <c:crossAx val="44355584"/>
        <c:crosses val="autoZero"/>
        <c:auto val="1"/>
        <c:lblAlgn val="ctr"/>
        <c:lblOffset val="100"/>
      </c:catAx>
      <c:valAx>
        <c:axId val="44355584"/>
        <c:scaling>
          <c:orientation val="minMax"/>
          <c:max val="8"/>
          <c:min val="4"/>
        </c:scaling>
        <c:axPos val="l"/>
        <c:majorGridlines>
          <c:spPr>
            <a:ln>
              <a:prstDash val="sysDot"/>
            </a:ln>
          </c:spPr>
        </c:majorGridlines>
        <c:numFmt formatCode="0" sourceLinked="0"/>
        <c:tickLblPos val="nextTo"/>
        <c:crossAx val="44349696"/>
        <c:crosses val="autoZero"/>
        <c:crossBetween val="between"/>
        <c:majorUnit val="2"/>
      </c:valAx>
    </c:plotArea>
    <c:legend>
      <c:legendPos val="b"/>
      <c:layout>
        <c:manualLayout>
          <c:xMode val="edge"/>
          <c:yMode val="edge"/>
          <c:x val="0"/>
          <c:y val="0.77073106447468154"/>
          <c:w val="0.99917179080530127"/>
          <c:h val="0.2292687167915144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9.0807163810406127E-2"/>
          <c:y val="7.2524407252440803E-2"/>
          <c:w val="0.86605558128763316"/>
          <c:h val="0.55917219771612292"/>
        </c:manualLayout>
      </c:layout>
      <c:lineChart>
        <c:grouping val="standard"/>
        <c:ser>
          <c:idx val="0"/>
          <c:order val="0"/>
          <c:tx>
            <c:v>toàn ngành</c:v>
          </c:tx>
          <c:spPr>
            <a:ln w="25400"/>
          </c:spPr>
          <c:marker>
            <c:symbol val="diamond"/>
            <c:size val="5"/>
          </c:marker>
          <c:cat>
            <c:strRef>
              <c:f>Sheet3!$A$28:$A$40</c:f>
              <c:strCache>
                <c:ptCount val="13"/>
                <c:pt idx="0">
                  <c:v>T12/14</c:v>
                </c:pt>
                <c:pt idx="1">
                  <c:v>T1/15</c:v>
                </c:pt>
                <c:pt idx="2">
                  <c:v>T2/15</c:v>
                </c:pt>
                <c:pt idx="3">
                  <c:v>T3/15</c:v>
                </c:pt>
                <c:pt idx="4">
                  <c:v>T4/15</c:v>
                </c:pt>
                <c:pt idx="5">
                  <c:v>T5/15</c:v>
                </c:pt>
                <c:pt idx="6">
                  <c:v>T6/15</c:v>
                </c:pt>
                <c:pt idx="7">
                  <c:v>T7/15</c:v>
                </c:pt>
                <c:pt idx="8">
                  <c:v>T8/15</c:v>
                </c:pt>
                <c:pt idx="9">
                  <c:v>T9/15</c:v>
                </c:pt>
                <c:pt idx="10">
                  <c:v>T10/15</c:v>
                </c:pt>
                <c:pt idx="11">
                  <c:v>T11/15</c:v>
                </c:pt>
                <c:pt idx="12">
                  <c:v>T12/15</c:v>
                </c:pt>
              </c:strCache>
            </c:strRef>
          </c:cat>
          <c:val>
            <c:numRef>
              <c:f>Sheet3!$B$28:$B$40</c:f>
              <c:numCache>
                <c:formatCode>General</c:formatCode>
                <c:ptCount val="13"/>
                <c:pt idx="0">
                  <c:v>7.6</c:v>
                </c:pt>
                <c:pt idx="1">
                  <c:v>17.5</c:v>
                </c:pt>
                <c:pt idx="2">
                  <c:v>12</c:v>
                </c:pt>
                <c:pt idx="3">
                  <c:v>9.1</c:v>
                </c:pt>
                <c:pt idx="4">
                  <c:v>9.4</c:v>
                </c:pt>
                <c:pt idx="5">
                  <c:v>9.2000000000000011</c:v>
                </c:pt>
                <c:pt idx="6">
                  <c:v>9.6</c:v>
                </c:pt>
                <c:pt idx="7">
                  <c:v>9.9</c:v>
                </c:pt>
                <c:pt idx="8">
                  <c:v>9.8000000000000007</c:v>
                </c:pt>
                <c:pt idx="9">
                  <c:v>9.8000000000000007</c:v>
                </c:pt>
                <c:pt idx="10">
                  <c:v>9.7000000000000011</c:v>
                </c:pt>
                <c:pt idx="11">
                  <c:v>9.7000000000000011</c:v>
                </c:pt>
                <c:pt idx="12">
                  <c:v>9.8000000000000007</c:v>
                </c:pt>
              </c:numCache>
            </c:numRef>
          </c:val>
        </c:ser>
        <c:ser>
          <c:idx val="1"/>
          <c:order val="1"/>
          <c:tx>
            <c:v>ngành công nghiệp chế biến, chế tạo</c:v>
          </c:tx>
          <c:spPr>
            <a:ln w="25400">
              <a:prstDash val="sysDot"/>
            </a:ln>
          </c:spPr>
          <c:marker>
            <c:symbol val="circle"/>
            <c:size val="5"/>
          </c:marker>
          <c:cat>
            <c:strRef>
              <c:f>Sheet3!$A$28:$A$40</c:f>
              <c:strCache>
                <c:ptCount val="13"/>
                <c:pt idx="0">
                  <c:v>T12/14</c:v>
                </c:pt>
                <c:pt idx="1">
                  <c:v>T1/15</c:v>
                </c:pt>
                <c:pt idx="2">
                  <c:v>T2/15</c:v>
                </c:pt>
                <c:pt idx="3">
                  <c:v>T3/15</c:v>
                </c:pt>
                <c:pt idx="4">
                  <c:v>T4/15</c:v>
                </c:pt>
                <c:pt idx="5">
                  <c:v>T5/15</c:v>
                </c:pt>
                <c:pt idx="6">
                  <c:v>T6/15</c:v>
                </c:pt>
                <c:pt idx="7">
                  <c:v>T7/15</c:v>
                </c:pt>
                <c:pt idx="8">
                  <c:v>T8/15</c:v>
                </c:pt>
                <c:pt idx="9">
                  <c:v>T9/15</c:v>
                </c:pt>
                <c:pt idx="10">
                  <c:v>T10/15</c:v>
                </c:pt>
                <c:pt idx="11">
                  <c:v>T11/15</c:v>
                </c:pt>
                <c:pt idx="12">
                  <c:v>T12/15</c:v>
                </c:pt>
              </c:strCache>
            </c:strRef>
          </c:cat>
          <c:val>
            <c:numRef>
              <c:f>Sheet3!$C$28:$C$40</c:f>
              <c:numCache>
                <c:formatCode>General</c:formatCode>
                <c:ptCount val="13"/>
                <c:pt idx="0">
                  <c:v>8.7000000000000011</c:v>
                </c:pt>
                <c:pt idx="1">
                  <c:v>19.399999999999999</c:v>
                </c:pt>
                <c:pt idx="2">
                  <c:v>12.9</c:v>
                </c:pt>
                <c:pt idx="3">
                  <c:v>9.6</c:v>
                </c:pt>
                <c:pt idx="4">
                  <c:v>10.1</c:v>
                </c:pt>
                <c:pt idx="5">
                  <c:v>9.9</c:v>
                </c:pt>
                <c:pt idx="6">
                  <c:v>10</c:v>
                </c:pt>
                <c:pt idx="7">
                  <c:v>10.1</c:v>
                </c:pt>
                <c:pt idx="8">
                  <c:v>10.200000000000001</c:v>
                </c:pt>
                <c:pt idx="9">
                  <c:v>10</c:v>
                </c:pt>
                <c:pt idx="10">
                  <c:v>10</c:v>
                </c:pt>
                <c:pt idx="11">
                  <c:v>10.1</c:v>
                </c:pt>
                <c:pt idx="12">
                  <c:v>10.6</c:v>
                </c:pt>
              </c:numCache>
            </c:numRef>
          </c:val>
        </c:ser>
        <c:marker val="1"/>
        <c:axId val="45572864"/>
        <c:axId val="45574400"/>
      </c:lineChart>
      <c:catAx>
        <c:axId val="45572864"/>
        <c:scaling>
          <c:orientation val="minMax"/>
        </c:scaling>
        <c:axPos val="b"/>
        <c:tickLblPos val="nextTo"/>
        <c:crossAx val="45574400"/>
        <c:crosses val="autoZero"/>
        <c:auto val="1"/>
        <c:lblAlgn val="ctr"/>
        <c:lblOffset val="100"/>
      </c:catAx>
      <c:valAx>
        <c:axId val="45574400"/>
        <c:scaling>
          <c:orientation val="minMax"/>
          <c:max val="20"/>
          <c:min val="5"/>
        </c:scaling>
        <c:axPos val="l"/>
        <c:majorGridlines>
          <c:spPr>
            <a:ln>
              <a:prstDash val="sysDot"/>
            </a:ln>
          </c:spPr>
        </c:majorGridlines>
        <c:numFmt formatCode="General" sourceLinked="1"/>
        <c:tickLblPos val="nextTo"/>
        <c:spPr>
          <a:ln>
            <a:noFill/>
          </a:ln>
        </c:spPr>
        <c:crossAx val="45572864"/>
        <c:crosses val="autoZero"/>
        <c:crossBetween val="between"/>
        <c:majorUnit val="5"/>
      </c:valAx>
    </c:plotArea>
    <c:legend>
      <c:legendPos val="b"/>
      <c:layout>
        <c:manualLayout>
          <c:xMode val="edge"/>
          <c:yMode val="edge"/>
          <c:x val="5.1784159333024549E-2"/>
          <c:y val="0.82466752325415393"/>
          <c:w val="0.88466666666666649"/>
          <c:h val="0.1418596733985657"/>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175357427531847"/>
          <c:y val="3.2228458506076148E-2"/>
          <c:w val="0.82926359745352562"/>
          <c:h val="0.65783276120239176"/>
        </c:manualLayout>
      </c:layout>
      <c:barChart>
        <c:barDir val="col"/>
        <c:grouping val="clustered"/>
        <c:ser>
          <c:idx val="0"/>
          <c:order val="0"/>
          <c:cat>
            <c:strRef>
              <c:f>Sheet1!$B$2:$Y$2</c:f>
              <c:strCache>
                <c:ptCount val="24"/>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pt idx="21">
                  <c:v>T10/15</c:v>
                </c:pt>
                <c:pt idx="22">
                  <c:v>T11/15</c:v>
                </c:pt>
                <c:pt idx="23">
                  <c:v>T12/15</c:v>
                </c:pt>
              </c:strCache>
            </c:strRef>
          </c:cat>
          <c:val>
            <c:numRef>
              <c:f>Sheet1!$B$3:$Y$3</c:f>
              <c:numCache>
                <c:formatCode>General</c:formatCode>
                <c:ptCount val="24"/>
                <c:pt idx="0">
                  <c:v>126.5</c:v>
                </c:pt>
                <c:pt idx="1">
                  <c:v>136.4</c:v>
                </c:pt>
                <c:pt idx="2">
                  <c:v>136.4</c:v>
                </c:pt>
                <c:pt idx="3">
                  <c:v>129.6</c:v>
                </c:pt>
                <c:pt idx="4">
                  <c:v>123.3</c:v>
                </c:pt>
                <c:pt idx="5">
                  <c:v>131</c:v>
                </c:pt>
                <c:pt idx="6">
                  <c:v>134.1</c:v>
                </c:pt>
                <c:pt idx="7">
                  <c:v>135.5</c:v>
                </c:pt>
                <c:pt idx="8">
                  <c:v>135</c:v>
                </c:pt>
                <c:pt idx="9">
                  <c:v>134.69999999999999</c:v>
                </c:pt>
                <c:pt idx="10">
                  <c:v>140.9</c:v>
                </c:pt>
                <c:pt idx="11">
                  <c:v>135.6</c:v>
                </c:pt>
                <c:pt idx="12">
                  <c:v>135.4</c:v>
                </c:pt>
                <c:pt idx="13">
                  <c:v>142.30000000000001</c:v>
                </c:pt>
                <c:pt idx="14">
                  <c:v>141.5</c:v>
                </c:pt>
                <c:pt idx="15">
                  <c:v>140.19999999999999</c:v>
                </c:pt>
                <c:pt idx="16">
                  <c:v>140.19999999999999</c:v>
                </c:pt>
                <c:pt idx="17">
                  <c:v>143.1</c:v>
                </c:pt>
                <c:pt idx="18">
                  <c:v>138.6</c:v>
                </c:pt>
                <c:pt idx="19">
                  <c:v>133.69999999999999</c:v>
                </c:pt>
                <c:pt idx="20">
                  <c:v>135.30000000000001</c:v>
                </c:pt>
                <c:pt idx="21">
                  <c:v>141.4</c:v>
                </c:pt>
                <c:pt idx="22">
                  <c:v>142.30000000000001</c:v>
                </c:pt>
                <c:pt idx="23">
                  <c:v>144.80000000000001</c:v>
                </c:pt>
              </c:numCache>
            </c:numRef>
          </c:val>
        </c:ser>
        <c:axId val="58054912"/>
        <c:axId val="58056704"/>
      </c:barChart>
      <c:catAx>
        <c:axId val="58054912"/>
        <c:scaling>
          <c:orientation val="minMax"/>
        </c:scaling>
        <c:axPos val="b"/>
        <c:tickLblPos val="nextTo"/>
        <c:crossAx val="58056704"/>
        <c:crosses val="autoZero"/>
        <c:auto val="1"/>
        <c:lblAlgn val="ctr"/>
        <c:lblOffset val="100"/>
      </c:catAx>
      <c:valAx>
        <c:axId val="58056704"/>
        <c:scaling>
          <c:orientation val="minMax"/>
        </c:scaling>
        <c:axPos val="l"/>
        <c:majorGridlines>
          <c:spPr>
            <a:ln w="3175">
              <a:prstDash val="sysDot"/>
            </a:ln>
          </c:spPr>
        </c:majorGridlines>
        <c:numFmt formatCode="General" sourceLinked="1"/>
        <c:tickLblPos val="nextTo"/>
        <c:crossAx val="58054912"/>
        <c:crosses val="autoZero"/>
        <c:crossBetween val="between"/>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dLbls>
            <c:showVal val="1"/>
          </c:dLbls>
          <c:cat>
            <c:strRef>
              <c:f>'Tong muc ban le'!$A$9:$A$13</c:f>
              <c:strCache>
                <c:ptCount val="5"/>
                <c:pt idx="0">
                  <c:v>2011</c:v>
                </c:pt>
                <c:pt idx="1">
                  <c:v>2012</c:v>
                </c:pt>
                <c:pt idx="2">
                  <c:v>2013</c:v>
                </c:pt>
                <c:pt idx="3">
                  <c:v>2014</c:v>
                </c:pt>
                <c:pt idx="4">
                  <c:v>2015</c:v>
                </c:pt>
              </c:strCache>
            </c:strRef>
          </c:cat>
          <c:val>
            <c:numRef>
              <c:f>'Tong muc ban le'!$M$9:$M$13</c:f>
              <c:numCache>
                <c:formatCode>General</c:formatCode>
                <c:ptCount val="5"/>
                <c:pt idx="0">
                  <c:v>4.7</c:v>
                </c:pt>
                <c:pt idx="1">
                  <c:v>6.2</c:v>
                </c:pt>
                <c:pt idx="2">
                  <c:v>5.5</c:v>
                </c:pt>
                <c:pt idx="3">
                  <c:v>8.1</c:v>
                </c:pt>
                <c:pt idx="4">
                  <c:v>8.4</c:v>
                </c:pt>
              </c:numCache>
            </c:numRef>
          </c:val>
        </c:ser>
        <c:axId val="58063488"/>
        <c:axId val="67506560"/>
      </c:barChart>
      <c:catAx>
        <c:axId val="58063488"/>
        <c:scaling>
          <c:orientation val="minMax"/>
        </c:scaling>
        <c:axPos val="b"/>
        <c:numFmt formatCode="General" sourceLinked="1"/>
        <c:tickLblPos val="nextTo"/>
        <c:crossAx val="67506560"/>
        <c:crosses val="autoZero"/>
        <c:auto val="1"/>
        <c:lblAlgn val="ctr"/>
        <c:lblOffset val="100"/>
        <c:tickLblSkip val="1"/>
        <c:tickMarkSkip val="1"/>
      </c:catAx>
      <c:valAx>
        <c:axId val="67506560"/>
        <c:scaling>
          <c:orientation val="minMax"/>
        </c:scaling>
        <c:delete val="1"/>
        <c:axPos val="l"/>
        <c:numFmt formatCode="General" sourceLinked="1"/>
        <c:tickLblPos val="none"/>
        <c:crossAx val="58063488"/>
        <c:crossesAt val="1"/>
        <c:crossBetween val="between"/>
        <c:majorUnit val="3"/>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Sheet1!$A$19</c:f>
              <c:strCache>
                <c:ptCount val="1"/>
                <c:pt idx="0">
                  <c:v>Số DN thành lập mới</c:v>
                </c:pt>
              </c:strCache>
            </c:strRef>
          </c:tx>
          <c:spPr>
            <a:pattFill prst="pct30">
              <a:fgClr>
                <a:srgbClr val="538ED5"/>
              </a:fgClr>
              <a:bgClr>
                <a:srgbClr val="17375D"/>
              </a:bgClr>
            </a:pattFill>
          </c:spPr>
          <c:cat>
            <c:numRef>
              <c:f>Sheet1!$B$18:$D$18</c:f>
              <c:numCache>
                <c:formatCode>General</c:formatCode>
                <c:ptCount val="3"/>
                <c:pt idx="0">
                  <c:v>2013</c:v>
                </c:pt>
                <c:pt idx="1">
                  <c:v>2014</c:v>
                </c:pt>
                <c:pt idx="2">
                  <c:v>2015</c:v>
                </c:pt>
              </c:numCache>
            </c:numRef>
          </c:cat>
          <c:val>
            <c:numRef>
              <c:f>Sheet1!$B$19:$D$19</c:f>
              <c:numCache>
                <c:formatCode>_-* #,##0.0\ _₫_-;\-* #,##0.0\ _₫_-;_-* "-"??\ _₫_-;_-@_-</c:formatCode>
                <c:ptCount val="3"/>
                <c:pt idx="0">
                  <c:v>76.953000000000003</c:v>
                </c:pt>
                <c:pt idx="1">
                  <c:v>74.842000000000013</c:v>
                </c:pt>
                <c:pt idx="2">
                  <c:v>94.754000000000005</c:v>
                </c:pt>
              </c:numCache>
            </c:numRef>
          </c:val>
        </c:ser>
        <c:ser>
          <c:idx val="1"/>
          <c:order val="1"/>
          <c:tx>
            <c:strRef>
              <c:f>Sheet1!$A$20</c:f>
              <c:strCache>
                <c:ptCount val="1"/>
                <c:pt idx="0">
                  <c:v>Vốn thành lập mới</c:v>
                </c:pt>
              </c:strCache>
            </c:strRef>
          </c:tx>
          <c:cat>
            <c:numRef>
              <c:f>Sheet1!$B$18:$D$18</c:f>
              <c:numCache>
                <c:formatCode>General</c:formatCode>
                <c:ptCount val="3"/>
                <c:pt idx="0">
                  <c:v>2013</c:v>
                </c:pt>
                <c:pt idx="1">
                  <c:v>2014</c:v>
                </c:pt>
                <c:pt idx="2">
                  <c:v>2015</c:v>
                </c:pt>
              </c:numCache>
            </c:numRef>
          </c:cat>
          <c:val>
            <c:numRef>
              <c:f>Sheet1!$B$20:$D$20</c:f>
            </c:numRef>
          </c:val>
        </c:ser>
        <c:gapWidth val="75"/>
        <c:overlap val="-25"/>
        <c:axId val="67546112"/>
        <c:axId val="67552000"/>
      </c:barChart>
      <c:lineChart>
        <c:grouping val="standard"/>
        <c:ser>
          <c:idx val="2"/>
          <c:order val="2"/>
          <c:tx>
            <c:strRef>
              <c:f>Sheet1!$A$21</c:f>
              <c:strCache>
                <c:ptCount val="1"/>
                <c:pt idx="0">
                  <c:v>Số DN giải thể, chấm dứt hoạt động</c:v>
                </c:pt>
              </c:strCache>
            </c:strRef>
          </c:tx>
          <c:spPr>
            <a:ln w="22225"/>
          </c:spPr>
          <c:marker>
            <c:symbol val="diamond"/>
            <c:size val="5"/>
          </c:marker>
          <c:cat>
            <c:numRef>
              <c:f>Sheet1!$B$18:$D$18</c:f>
              <c:numCache>
                <c:formatCode>General</c:formatCode>
                <c:ptCount val="3"/>
                <c:pt idx="0">
                  <c:v>2013</c:v>
                </c:pt>
                <c:pt idx="1">
                  <c:v>2014</c:v>
                </c:pt>
                <c:pt idx="2">
                  <c:v>2015</c:v>
                </c:pt>
              </c:numCache>
            </c:numRef>
          </c:cat>
          <c:val>
            <c:numRef>
              <c:f>Sheet1!$B$21:$D$21</c:f>
              <c:numCache>
                <c:formatCode>_(* #,##0.00_);_(* \(#,##0.00\);_(* "-"??_);_(@_)</c:formatCode>
                <c:ptCount val="3"/>
                <c:pt idx="0">
                  <c:v>9.8180000000000014</c:v>
                </c:pt>
                <c:pt idx="1">
                  <c:v>9.5530000000000008</c:v>
                </c:pt>
                <c:pt idx="2">
                  <c:v>9.4670000000000005</c:v>
                </c:pt>
              </c:numCache>
            </c:numRef>
          </c:val>
        </c:ser>
        <c:marker val="1"/>
        <c:axId val="67563520"/>
        <c:axId val="67553536"/>
      </c:lineChart>
      <c:catAx>
        <c:axId val="67546112"/>
        <c:scaling>
          <c:orientation val="minMax"/>
        </c:scaling>
        <c:axPos val="b"/>
        <c:numFmt formatCode="General" sourceLinked="1"/>
        <c:majorTickMark val="none"/>
        <c:tickLblPos val="nextTo"/>
        <c:crossAx val="67552000"/>
        <c:crosses val="autoZero"/>
        <c:auto val="1"/>
        <c:lblAlgn val="ctr"/>
        <c:lblOffset val="100"/>
      </c:catAx>
      <c:valAx>
        <c:axId val="67552000"/>
        <c:scaling>
          <c:orientation val="minMax"/>
          <c:max val="100"/>
          <c:min val="50"/>
        </c:scaling>
        <c:axPos val="l"/>
        <c:majorGridlines>
          <c:spPr>
            <a:ln>
              <a:prstDash val="sysDot"/>
            </a:ln>
          </c:spPr>
        </c:majorGridlines>
        <c:numFmt formatCode="#,##0" sourceLinked="0"/>
        <c:majorTickMark val="none"/>
        <c:tickLblPos val="nextTo"/>
        <c:spPr>
          <a:ln w="9525">
            <a:noFill/>
          </a:ln>
        </c:spPr>
        <c:crossAx val="67546112"/>
        <c:crosses val="autoZero"/>
        <c:crossBetween val="between"/>
        <c:minorUnit val="10"/>
      </c:valAx>
      <c:valAx>
        <c:axId val="67553536"/>
        <c:scaling>
          <c:orientation val="minMax"/>
        </c:scaling>
        <c:axPos val="r"/>
        <c:numFmt formatCode="_-* #,##0.0\ _₫_-;\-* #,##0.0\ _₫_-;_-* &quot;-&quot;?\ _₫_-;_-@_-" sourceLinked="0"/>
        <c:tickLblPos val="nextTo"/>
        <c:crossAx val="67563520"/>
        <c:crosses val="max"/>
        <c:crossBetween val="between"/>
      </c:valAx>
      <c:catAx>
        <c:axId val="67563520"/>
        <c:scaling>
          <c:orientation val="minMax"/>
        </c:scaling>
        <c:delete val="1"/>
        <c:axPos val="b"/>
        <c:numFmt formatCode="General" sourceLinked="1"/>
        <c:tickLblPos val="none"/>
        <c:crossAx val="67553536"/>
        <c:crosses val="autoZero"/>
        <c:auto val="1"/>
        <c:lblAlgn val="ctr"/>
        <c:lblOffset val="100"/>
      </c:catAx>
    </c:plotArea>
    <c:legend>
      <c:legendPos val="b"/>
    </c:legend>
    <c:plotVisOnly val="1"/>
    <c:dispBlanksAs val="gap"/>
  </c:chart>
  <c:spPr>
    <a:noFill/>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'[xuatnhapkhau (1).xlsx]Sheet1'!$A$12</c:f>
              <c:strCache>
                <c:ptCount val="1"/>
                <c:pt idx="0">
                  <c:v>Nk máy móc thiết bị</c:v>
                </c:pt>
              </c:strCache>
            </c:strRef>
          </c:tx>
          <c:cat>
            <c:numRef>
              <c:f>'[xuatnhapkhau (1).xlsx]Sheet1'!$B$11:$D$11</c:f>
              <c:numCache>
                <c:formatCode>General</c:formatCode>
                <c:ptCount val="3"/>
                <c:pt idx="0">
                  <c:v>2013</c:v>
                </c:pt>
                <c:pt idx="1">
                  <c:v>2014</c:v>
                </c:pt>
                <c:pt idx="2">
                  <c:v>2015</c:v>
                </c:pt>
              </c:numCache>
            </c:numRef>
          </c:cat>
          <c:val>
            <c:numRef>
              <c:f>'[xuatnhapkhau (1).xlsx]Sheet1'!$B$12:$D$12</c:f>
              <c:numCache>
                <c:formatCode>General</c:formatCode>
                <c:ptCount val="3"/>
                <c:pt idx="0">
                  <c:v>18600</c:v>
                </c:pt>
                <c:pt idx="1">
                  <c:v>22500</c:v>
                </c:pt>
                <c:pt idx="2">
                  <c:v>27606</c:v>
                </c:pt>
              </c:numCache>
            </c:numRef>
          </c:val>
        </c:ser>
        <c:axId val="67976576"/>
        <c:axId val="67986560"/>
      </c:barChart>
      <c:catAx>
        <c:axId val="67976576"/>
        <c:scaling>
          <c:orientation val="minMax"/>
        </c:scaling>
        <c:axPos val="b"/>
        <c:numFmt formatCode="General" sourceLinked="1"/>
        <c:tickLblPos val="nextTo"/>
        <c:crossAx val="67986560"/>
        <c:crosses val="autoZero"/>
        <c:auto val="1"/>
        <c:lblAlgn val="ctr"/>
        <c:lblOffset val="100"/>
      </c:catAx>
      <c:valAx>
        <c:axId val="67986560"/>
        <c:scaling>
          <c:orientation val="minMax"/>
          <c:min val="15000"/>
        </c:scaling>
        <c:axPos val="l"/>
        <c:majorGridlines>
          <c:spPr>
            <a:ln>
              <a:prstDash val="sysDot"/>
            </a:ln>
          </c:spPr>
        </c:majorGridlines>
        <c:numFmt formatCode="General" sourceLinked="1"/>
        <c:tickLblPos val="nextTo"/>
        <c:crossAx val="67976576"/>
        <c:crosses val="autoZero"/>
        <c:crossBetween val="between"/>
        <c:majorUnit val="4000"/>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7.5797209559331447E-2"/>
          <c:y val="7.3333333333333375E-2"/>
          <c:w val="0.92420279044066833"/>
          <c:h val="0.5586465205362845"/>
        </c:manualLayout>
      </c:layout>
      <c:lineChart>
        <c:grouping val="standard"/>
        <c:ser>
          <c:idx val="0"/>
          <c:order val="0"/>
          <c:tx>
            <c:strRef>
              <c:f>'Biểu đồ so cùng kỳ'!$A$5</c:f>
              <c:strCache>
                <c:ptCount val="1"/>
                <c:pt idx="0">
                  <c:v>Lạm phát tổng thể</c:v>
                </c:pt>
              </c:strCache>
            </c:strRef>
          </c:tx>
          <c:spPr>
            <a:ln w="22225"/>
          </c:spPr>
          <c:marker>
            <c:symbol val="diamond"/>
            <c:size val="5"/>
          </c:marker>
          <c:cat>
            <c:strRef>
              <c:f>'Biểu đồ so cùng kỳ'!$Z$4:$AL$4</c:f>
              <c:strCache>
                <c:ptCount val="13"/>
                <c:pt idx="0">
                  <c:v>T1/15</c:v>
                </c:pt>
                <c:pt idx="1">
                  <c:v>T2/15</c:v>
                </c:pt>
                <c:pt idx="2">
                  <c:v>T3/15</c:v>
                </c:pt>
                <c:pt idx="3">
                  <c:v>T4/15</c:v>
                </c:pt>
                <c:pt idx="4">
                  <c:v>T5/15</c:v>
                </c:pt>
                <c:pt idx="5">
                  <c:v>T6/15</c:v>
                </c:pt>
                <c:pt idx="6">
                  <c:v>T7/15</c:v>
                </c:pt>
                <c:pt idx="7">
                  <c:v>T8/15</c:v>
                </c:pt>
                <c:pt idx="8">
                  <c:v>T9/15</c:v>
                </c:pt>
                <c:pt idx="9">
                  <c:v>T10/15</c:v>
                </c:pt>
                <c:pt idx="10">
                  <c:v>T11/15</c:v>
                </c:pt>
                <c:pt idx="11">
                  <c:v>T12/15</c:v>
                </c:pt>
                <c:pt idx="12">
                  <c:v>T1/16</c:v>
                </c:pt>
              </c:strCache>
            </c:strRef>
          </c:cat>
          <c:val>
            <c:numRef>
              <c:f>'Biểu đồ so cùng kỳ'!$Z$5:$AL$5</c:f>
              <c:numCache>
                <c:formatCode>0.00</c:formatCode>
                <c:ptCount val="13"/>
                <c:pt idx="0">
                  <c:v>0.93999999999999773</c:v>
                </c:pt>
                <c:pt idx="1">
                  <c:v>0.34000000000000341</c:v>
                </c:pt>
                <c:pt idx="2">
                  <c:v>0.93000000000000682</c:v>
                </c:pt>
                <c:pt idx="3">
                  <c:v>0.98999999999999488</c:v>
                </c:pt>
                <c:pt idx="4">
                  <c:v>0.95000000000000295</c:v>
                </c:pt>
                <c:pt idx="5">
                  <c:v>1</c:v>
                </c:pt>
                <c:pt idx="6">
                  <c:v>0.90000000000000568</c:v>
                </c:pt>
                <c:pt idx="7">
                  <c:v>0.60999999999999965</c:v>
                </c:pt>
                <c:pt idx="8">
                  <c:v>0</c:v>
                </c:pt>
                <c:pt idx="9">
                  <c:v>0</c:v>
                </c:pt>
                <c:pt idx="10">
                  <c:v>0.34000000000000341</c:v>
                </c:pt>
                <c:pt idx="11">
                  <c:v>0.59709732992551756</c:v>
                </c:pt>
                <c:pt idx="12">
                  <c:v>0.79999999999999749</c:v>
                </c:pt>
              </c:numCache>
            </c:numRef>
          </c:val>
        </c:ser>
        <c:ser>
          <c:idx val="1"/>
          <c:order val="1"/>
          <c:tx>
            <c:strRef>
              <c:f>'Biểu đồ so cùng kỳ'!$A$6</c:f>
              <c:strCache>
                <c:ptCount val="1"/>
                <c:pt idx="0">
                  <c:v>CPI trừ LTTP</c:v>
                </c:pt>
              </c:strCache>
            </c:strRef>
          </c:tx>
          <c:cat>
            <c:strRef>
              <c:f>'Biểu đồ so cùng kỳ'!$Z$4:$AL$4</c:f>
              <c:strCache>
                <c:ptCount val="13"/>
                <c:pt idx="0">
                  <c:v>T1/15</c:v>
                </c:pt>
                <c:pt idx="1">
                  <c:v>T2/15</c:v>
                </c:pt>
                <c:pt idx="2">
                  <c:v>T3/15</c:v>
                </c:pt>
                <c:pt idx="3">
                  <c:v>T4/15</c:v>
                </c:pt>
                <c:pt idx="4">
                  <c:v>T5/15</c:v>
                </c:pt>
                <c:pt idx="5">
                  <c:v>T6/15</c:v>
                </c:pt>
                <c:pt idx="6">
                  <c:v>T7/15</c:v>
                </c:pt>
                <c:pt idx="7">
                  <c:v>T8/15</c:v>
                </c:pt>
                <c:pt idx="8">
                  <c:v>T9/15</c:v>
                </c:pt>
                <c:pt idx="9">
                  <c:v>T10/15</c:v>
                </c:pt>
                <c:pt idx="10">
                  <c:v>T11/15</c:v>
                </c:pt>
                <c:pt idx="11">
                  <c:v>T12/15</c:v>
                </c:pt>
                <c:pt idx="12">
                  <c:v>T1/16</c:v>
                </c:pt>
              </c:strCache>
            </c:strRef>
          </c:cat>
          <c:val>
            <c:numRef>
              <c:f>'Biểu đồ so cùng kỳ'!$Y$6:$AM$6</c:f>
            </c:numRef>
          </c:val>
        </c:ser>
        <c:ser>
          <c:idx val="2"/>
          <c:order val="2"/>
          <c:tx>
            <c:strRef>
              <c:f>'Biểu đồ so cùng kỳ'!$A$7</c:f>
              <c:strCache>
                <c:ptCount val="1"/>
                <c:pt idx="0">
                  <c:v>CPI trừ LTTP, xăng dầu</c:v>
                </c:pt>
              </c:strCache>
            </c:strRef>
          </c:tx>
          <c:cat>
            <c:strRef>
              <c:f>'Biểu đồ so cùng kỳ'!$Z$4:$AL$4</c:f>
              <c:strCache>
                <c:ptCount val="13"/>
                <c:pt idx="0">
                  <c:v>T1/15</c:v>
                </c:pt>
                <c:pt idx="1">
                  <c:v>T2/15</c:v>
                </c:pt>
                <c:pt idx="2">
                  <c:v>T3/15</c:v>
                </c:pt>
                <c:pt idx="3">
                  <c:v>T4/15</c:v>
                </c:pt>
                <c:pt idx="4">
                  <c:v>T5/15</c:v>
                </c:pt>
                <c:pt idx="5">
                  <c:v>T6/15</c:v>
                </c:pt>
                <c:pt idx="6">
                  <c:v>T7/15</c:v>
                </c:pt>
                <c:pt idx="7">
                  <c:v>T8/15</c:v>
                </c:pt>
                <c:pt idx="8">
                  <c:v>T9/15</c:v>
                </c:pt>
                <c:pt idx="9">
                  <c:v>T10/15</c:v>
                </c:pt>
                <c:pt idx="10">
                  <c:v>T11/15</c:v>
                </c:pt>
                <c:pt idx="11">
                  <c:v>T12/15</c:v>
                </c:pt>
                <c:pt idx="12">
                  <c:v>T1/16</c:v>
                </c:pt>
              </c:strCache>
            </c:strRef>
          </c:cat>
          <c:val>
            <c:numRef>
              <c:f>'Biểu đồ so cùng kỳ'!$Y$7:$AM$7</c:f>
            </c:numRef>
          </c:val>
        </c:ser>
        <c:ser>
          <c:idx val="3"/>
          <c:order val="3"/>
          <c:tx>
            <c:strRef>
              <c:f>'Biểu đồ so cùng kỳ'!$A$8</c:f>
              <c:strCache>
                <c:ptCount val="1"/>
                <c:pt idx="0">
                  <c:v>CPI loại trừ yếu tố mùa vụ</c:v>
                </c:pt>
              </c:strCache>
            </c:strRef>
          </c:tx>
          <c:cat>
            <c:strRef>
              <c:f>'Biểu đồ so cùng kỳ'!$Z$4:$AL$4</c:f>
              <c:strCache>
                <c:ptCount val="13"/>
                <c:pt idx="0">
                  <c:v>T1/15</c:v>
                </c:pt>
                <c:pt idx="1">
                  <c:v>T2/15</c:v>
                </c:pt>
                <c:pt idx="2">
                  <c:v>T3/15</c:v>
                </c:pt>
                <c:pt idx="3">
                  <c:v>T4/15</c:v>
                </c:pt>
                <c:pt idx="4">
                  <c:v>T5/15</c:v>
                </c:pt>
                <c:pt idx="5">
                  <c:v>T6/15</c:v>
                </c:pt>
                <c:pt idx="6">
                  <c:v>T7/15</c:v>
                </c:pt>
                <c:pt idx="7">
                  <c:v>T8/15</c:v>
                </c:pt>
                <c:pt idx="8">
                  <c:v>T9/15</c:v>
                </c:pt>
                <c:pt idx="9">
                  <c:v>T10/15</c:v>
                </c:pt>
                <c:pt idx="10">
                  <c:v>T11/15</c:v>
                </c:pt>
                <c:pt idx="11">
                  <c:v>T12/15</c:v>
                </c:pt>
                <c:pt idx="12">
                  <c:v>T1/16</c:v>
                </c:pt>
              </c:strCache>
            </c:strRef>
          </c:cat>
          <c:val>
            <c:numRef>
              <c:f>'Biểu đồ so cùng kỳ'!$Y$8:$AM$8</c:f>
            </c:numRef>
          </c:val>
        </c:ser>
        <c:ser>
          <c:idx val="4"/>
          <c:order val="4"/>
          <c:tx>
            <c:strRef>
              <c:f>'Biểu đồ so cùng kỳ'!$A$9</c:f>
              <c:strCache>
                <c:ptCount val="1"/>
                <c:pt idx="0">
                  <c:v>Lạm phát cơ bản</c:v>
                </c:pt>
              </c:strCache>
            </c:strRef>
          </c:tx>
          <c:spPr>
            <a:ln w="22225">
              <a:solidFill>
                <a:srgbClr val="C00000"/>
              </a:solidFill>
            </a:ln>
          </c:spPr>
          <c:marker>
            <c:symbol val="star"/>
            <c:size val="5"/>
            <c:spPr>
              <a:ln>
                <a:solidFill>
                  <a:srgbClr val="C00000"/>
                </a:solidFill>
              </a:ln>
            </c:spPr>
          </c:marker>
          <c:cat>
            <c:strRef>
              <c:f>'Biểu đồ so cùng kỳ'!$Z$4:$AL$4</c:f>
              <c:strCache>
                <c:ptCount val="13"/>
                <c:pt idx="0">
                  <c:v>T1/15</c:v>
                </c:pt>
                <c:pt idx="1">
                  <c:v>T2/15</c:v>
                </c:pt>
                <c:pt idx="2">
                  <c:v>T3/15</c:v>
                </c:pt>
                <c:pt idx="3">
                  <c:v>T4/15</c:v>
                </c:pt>
                <c:pt idx="4">
                  <c:v>T5/15</c:v>
                </c:pt>
                <c:pt idx="5">
                  <c:v>T6/15</c:v>
                </c:pt>
                <c:pt idx="6">
                  <c:v>T7/15</c:v>
                </c:pt>
                <c:pt idx="7">
                  <c:v>T8/15</c:v>
                </c:pt>
                <c:pt idx="8">
                  <c:v>T9/15</c:v>
                </c:pt>
                <c:pt idx="9">
                  <c:v>T10/15</c:v>
                </c:pt>
                <c:pt idx="10">
                  <c:v>T11/15</c:v>
                </c:pt>
                <c:pt idx="11">
                  <c:v>T12/15</c:v>
                </c:pt>
                <c:pt idx="12">
                  <c:v>T1/16</c:v>
                </c:pt>
              </c:strCache>
            </c:strRef>
          </c:cat>
          <c:val>
            <c:numRef>
              <c:f>'Biểu đồ so cùng kỳ'!$Z$9:$AL$9</c:f>
              <c:numCache>
                <c:formatCode>0.00</c:formatCode>
                <c:ptCount val="13"/>
                <c:pt idx="0">
                  <c:v>2.580129355860604</c:v>
                </c:pt>
                <c:pt idx="1">
                  <c:v>2.3081731784582962</c:v>
                </c:pt>
                <c:pt idx="2">
                  <c:v>2.482267687434021</c:v>
                </c:pt>
                <c:pt idx="3">
                  <c:v>2.4190469904962919</c:v>
                </c:pt>
                <c:pt idx="4">
                  <c:v>2.4063727560718142</c:v>
                </c:pt>
                <c:pt idx="5">
                  <c:v>2.3668136219640927</c:v>
                </c:pt>
                <c:pt idx="6">
                  <c:v>2.3617608236536607</c:v>
                </c:pt>
                <c:pt idx="7">
                  <c:v>2.3409609292502669</c:v>
                </c:pt>
                <c:pt idx="8">
                  <c:v>2.1839545934530102</c:v>
                </c:pt>
                <c:pt idx="9">
                  <c:v>2.1192291446673739</c:v>
                </c:pt>
                <c:pt idx="10">
                  <c:v>2.166797782470975</c:v>
                </c:pt>
                <c:pt idx="11">
                  <c:v>2.008658828859315</c:v>
                </c:pt>
                <c:pt idx="12">
                  <c:v>1.8060612460401217</c:v>
                </c:pt>
              </c:numCache>
            </c:numRef>
          </c:val>
        </c:ser>
        <c:marker val="1"/>
        <c:axId val="68429696"/>
        <c:axId val="68431232"/>
      </c:lineChart>
      <c:catAx>
        <c:axId val="68429696"/>
        <c:scaling>
          <c:orientation val="minMax"/>
        </c:scaling>
        <c:axPos val="b"/>
        <c:tickLblPos val="low"/>
        <c:crossAx val="68431232"/>
        <c:crosses val="autoZero"/>
        <c:auto val="1"/>
        <c:lblAlgn val="ctr"/>
        <c:lblOffset val="100"/>
      </c:catAx>
      <c:valAx>
        <c:axId val="68431232"/>
        <c:scaling>
          <c:orientation val="minMax"/>
          <c:max val="3"/>
          <c:min val="-1"/>
        </c:scaling>
        <c:axPos val="l"/>
        <c:majorGridlines>
          <c:spPr>
            <a:ln>
              <a:prstDash val="sysDot"/>
            </a:ln>
          </c:spPr>
        </c:majorGridlines>
        <c:numFmt formatCode="0" sourceLinked="0"/>
        <c:tickLblPos val="nextTo"/>
        <c:crossAx val="68429696"/>
        <c:crosses val="autoZero"/>
        <c:crossBetween val="between"/>
        <c:majorUnit val="1"/>
      </c:valAx>
    </c:plotArea>
    <c:legend>
      <c:legendPos val="b"/>
      <c:layout>
        <c:manualLayout>
          <c:xMode val="edge"/>
          <c:yMode val="edge"/>
          <c:x val="1.722037322654256E-2"/>
          <c:y val="0.8373339008299634"/>
          <c:w val="0.93654968386683624"/>
          <c:h val="0.13488827410087253"/>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Series 1</c:v>
                </c:pt>
              </c:strCache>
            </c:strRef>
          </c:tx>
          <c:spPr>
            <a:solidFill>
              <a:srgbClr val="0070C0"/>
            </a:solidFill>
            <a:ln>
              <a:solidFill>
                <a:srgbClr val="0070C0"/>
              </a:solidFill>
            </a:ln>
          </c:spPr>
          <c:dLbls>
            <c:dLbl>
              <c:idx val="8"/>
              <c:layout>
                <c:manualLayout>
                  <c:x val="4.0650406504065054E-3"/>
                  <c:y val="-7.3059360730593603E-2"/>
                </c:manualLayout>
              </c:layout>
              <c:showVal val="1"/>
              <c:extLst>
                <c:ext xmlns:c15="http://schemas.microsoft.com/office/drawing/2012/chart" uri="{CE6537A1-D6FC-4f65-9D91-7224C49458BB}"/>
              </c:extLst>
            </c:dLbl>
            <c:dLbl>
              <c:idx val="17"/>
              <c:layout>
                <c:manualLayout>
                  <c:x val="1.219512195121952E-2"/>
                  <c:y val="-1.8264840182648397E-2"/>
                </c:manualLayout>
              </c:layout>
              <c:showVal val="1"/>
              <c:extLst>
                <c:ext xmlns:c15="http://schemas.microsoft.com/office/drawing/2012/chart" uri="{CE6537A1-D6FC-4f65-9D91-7224C49458BB}"/>
              </c:extLst>
            </c:dLbl>
            <c:numFmt formatCode="#,##0_);[Red]\(#,##0\)" sourceLinked="0"/>
            <c:spPr>
              <a:noFill/>
              <a:ln>
                <a:noFill/>
              </a:ln>
              <a:effectLst/>
            </c:spPr>
            <c:txPr>
              <a:bodyPr/>
              <a:lstStyle/>
              <a:p>
                <a:pPr>
                  <a:defRPr sz="80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Sheet1!$A$2:$A$26</c:f>
              <c:strCache>
                <c:ptCount val="25"/>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pt idx="21">
                  <c:v>T10.15</c:v>
                </c:pt>
                <c:pt idx="22">
                  <c:v>T11.15</c:v>
                </c:pt>
                <c:pt idx="23">
                  <c:v>T12.15</c:v>
                </c:pt>
                <c:pt idx="24">
                  <c:v>T1.16 (tới 25/1)</c:v>
                </c:pt>
              </c:strCache>
            </c:strRef>
          </c:cat>
          <c:val>
            <c:numRef>
              <c:f>Sheet1!$B$2:$B$26</c:f>
              <c:numCache>
                <c:formatCode>General</c:formatCode>
                <c:ptCount val="25"/>
                <c:pt idx="0">
                  <c:v>1729.6083031000001</c:v>
                </c:pt>
                <c:pt idx="1">
                  <c:v>1207.6733591999998</c:v>
                </c:pt>
                <c:pt idx="2">
                  <c:v>-2136.2198143999999</c:v>
                </c:pt>
                <c:pt idx="3">
                  <c:v>1747.9157595000017</c:v>
                </c:pt>
                <c:pt idx="4">
                  <c:v>2582.6406432999997</c:v>
                </c:pt>
                <c:pt idx="5">
                  <c:v>1952.8508684000001</c:v>
                </c:pt>
                <c:pt idx="6">
                  <c:v>266.19191409999974</c:v>
                </c:pt>
                <c:pt idx="7">
                  <c:v>-322.08579250000003</c:v>
                </c:pt>
                <c:pt idx="8">
                  <c:v>-1129.9355867000015</c:v>
                </c:pt>
                <c:pt idx="9">
                  <c:v>-1168.0029936999999</c:v>
                </c:pt>
                <c:pt idx="10">
                  <c:v>-943.03500829999996</c:v>
                </c:pt>
                <c:pt idx="11">
                  <c:v>22.510803599999999</c:v>
                </c:pt>
                <c:pt idx="12">
                  <c:v>-180</c:v>
                </c:pt>
                <c:pt idx="13">
                  <c:v>1164</c:v>
                </c:pt>
                <c:pt idx="14">
                  <c:v>-939</c:v>
                </c:pt>
                <c:pt idx="15">
                  <c:v>1844</c:v>
                </c:pt>
                <c:pt idx="16">
                  <c:v>1394</c:v>
                </c:pt>
                <c:pt idx="17">
                  <c:v>1529</c:v>
                </c:pt>
                <c:pt idx="18">
                  <c:v>754</c:v>
                </c:pt>
                <c:pt idx="19">
                  <c:v>-435</c:v>
                </c:pt>
                <c:pt idx="20">
                  <c:v>-1021</c:v>
                </c:pt>
                <c:pt idx="21">
                  <c:v>1156</c:v>
                </c:pt>
                <c:pt idx="22">
                  <c:v>-381.42999999999967</c:v>
                </c:pt>
                <c:pt idx="23">
                  <c:v>-2126.2799999999997</c:v>
                </c:pt>
                <c:pt idx="24">
                  <c:v>-874</c:v>
                </c:pt>
              </c:numCache>
            </c:numRef>
          </c:val>
        </c:ser>
        <c:axId val="68446464"/>
        <c:axId val="68456448"/>
      </c:barChart>
      <c:catAx>
        <c:axId val="68446464"/>
        <c:scaling>
          <c:orientation val="minMax"/>
        </c:scaling>
        <c:axPos val="b"/>
        <c:numFmt formatCode="General" sourceLinked="0"/>
        <c:tickLblPos val="low"/>
        <c:txPr>
          <a:bodyPr rot="-5400000" vert="horz"/>
          <a:lstStyle/>
          <a:p>
            <a:pPr>
              <a:defRPr sz="800" b="0" i="1">
                <a:latin typeface="Times New Roman" pitchFamily="18" charset="0"/>
                <a:cs typeface="Times New Roman" pitchFamily="18" charset="0"/>
              </a:defRPr>
            </a:pPr>
            <a:endParaRPr lang="en-US"/>
          </a:p>
        </c:txPr>
        <c:crossAx val="68456448"/>
        <c:crosses val="autoZero"/>
        <c:auto val="1"/>
        <c:lblAlgn val="ctr"/>
        <c:lblOffset val="100"/>
      </c:catAx>
      <c:valAx>
        <c:axId val="68456448"/>
        <c:scaling>
          <c:orientation val="minMax"/>
        </c:scaling>
        <c:delete val="1"/>
        <c:axPos val="l"/>
        <c:numFmt formatCode="General" sourceLinked="1"/>
        <c:tickLblPos val="none"/>
        <c:crossAx val="68446464"/>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7.1155003929593549E-2"/>
          <c:y val="5.8201058201058163E-2"/>
          <c:w val="0.89620218376657701"/>
          <c:h val="0.6496786091498824"/>
        </c:manualLayout>
      </c:layout>
      <c:barChart>
        <c:barDir val="col"/>
        <c:grouping val="clustered"/>
        <c:ser>
          <c:idx val="0"/>
          <c:order val="0"/>
          <c:tx>
            <c:v>So với dự toán</c:v>
          </c:tx>
          <c:spPr>
            <a:solidFill>
              <a:schemeClr val="tx2">
                <a:lumMod val="40000"/>
                <a:lumOff val="60000"/>
              </a:schemeClr>
            </a:solidFill>
            <a:ln>
              <a:solidFill>
                <a:schemeClr val="tx2">
                  <a:lumMod val="75000"/>
                </a:schemeClr>
              </a:solidFill>
            </a:ln>
          </c:spPr>
          <c:dLbls>
            <c:numFmt formatCode="#,##0.0" sourceLinked="0"/>
            <c:showVal val="1"/>
          </c:dLbls>
          <c:cat>
            <c:strRef>
              <c:f>'Thu chi NSNN 15 ngày'!$HR$27:$HR$30</c:f>
              <c:strCache>
                <c:ptCount val="4"/>
                <c:pt idx="0">
                  <c:v>Tổng thu NSNN</c:v>
                </c:pt>
                <c:pt idx="1">
                  <c:v>Thu nội địa (77%)</c:v>
                </c:pt>
                <c:pt idx="2">
                  <c:v>Thu từ dầu thô (5.1%)</c:v>
                </c:pt>
                <c:pt idx="3">
                  <c:v>Thu từ XNK (17.8%)</c:v>
                </c:pt>
              </c:strCache>
            </c:strRef>
          </c:cat>
          <c:val>
            <c:numRef>
              <c:f>'Thu chi NSNN 15 ngày'!$HS$27:$HS$30</c:f>
              <c:numCache>
                <c:formatCode>General</c:formatCode>
                <c:ptCount val="4"/>
                <c:pt idx="0">
                  <c:v>3.5000000000000004</c:v>
                </c:pt>
                <c:pt idx="1">
                  <c:v>3.5000000000000004</c:v>
                </c:pt>
                <c:pt idx="2">
                  <c:v>3.3000000000000003</c:v>
                </c:pt>
                <c:pt idx="3">
                  <c:v>3.5000000000000004</c:v>
                </c:pt>
              </c:numCache>
            </c:numRef>
          </c:val>
        </c:ser>
        <c:ser>
          <c:idx val="1"/>
          <c:order val="1"/>
          <c:tx>
            <c:v>So với cùng kỳ 2015</c:v>
          </c:tx>
          <c:spPr>
            <a:solidFill>
              <a:schemeClr val="accent1">
                <a:lumMod val="75000"/>
              </a:schemeClr>
            </a:solidFill>
            <a:ln>
              <a:solidFill>
                <a:schemeClr val="tx2">
                  <a:lumMod val="75000"/>
                </a:schemeClr>
              </a:solidFill>
            </a:ln>
          </c:spPr>
          <c:dLbls>
            <c:dLbl>
              <c:idx val="2"/>
              <c:layout>
                <c:manualLayout>
                  <c:x val="5.021971123666041E-3"/>
                  <c:y val="1.5873015873015969E-2"/>
                </c:manualLayout>
              </c:layout>
              <c:showVal val="1"/>
            </c:dLbl>
            <c:dLbl>
              <c:idx val="3"/>
              <c:layout>
                <c:manualLayout>
                  <c:x val="6.589645726598696E-3"/>
                  <c:y val="0.11079005032627805"/>
                </c:manualLayout>
              </c:layout>
              <c:showVal val="1"/>
            </c:dLbl>
            <c:numFmt formatCode="#,##0.0" sourceLinked="0"/>
            <c:showVal val="1"/>
          </c:dLbls>
          <c:cat>
            <c:strRef>
              <c:f>'Thu chi NSNN 15 ngày'!$HR$27:$HR$30</c:f>
              <c:strCache>
                <c:ptCount val="4"/>
                <c:pt idx="0">
                  <c:v>Tổng thu NSNN</c:v>
                </c:pt>
                <c:pt idx="1">
                  <c:v>Thu nội địa (77%)</c:v>
                </c:pt>
                <c:pt idx="2">
                  <c:v>Thu từ dầu thô (5.1%)</c:v>
                </c:pt>
                <c:pt idx="3">
                  <c:v>Thu từ XNK (17.8%)</c:v>
                </c:pt>
              </c:strCache>
            </c:strRef>
          </c:cat>
          <c:val>
            <c:numRef>
              <c:f>'Thu chi NSNN 15 ngày'!$HT$27:$HT$30</c:f>
              <c:numCache>
                <c:formatCode>0.00</c:formatCode>
                <c:ptCount val="4"/>
                <c:pt idx="0">
                  <c:v>0.36806342015855037</c:v>
                </c:pt>
                <c:pt idx="1">
                  <c:v>7.0588235294117654</c:v>
                </c:pt>
                <c:pt idx="2">
                  <c:v>-48.571428571428548</c:v>
                </c:pt>
                <c:pt idx="3">
                  <c:v>1.6077170418006435</c:v>
                </c:pt>
              </c:numCache>
            </c:numRef>
          </c:val>
        </c:ser>
        <c:gapWidth val="75"/>
        <c:overlap val="-3"/>
        <c:axId val="76554624"/>
        <c:axId val="76556160"/>
      </c:barChart>
      <c:catAx>
        <c:axId val="76554624"/>
        <c:scaling>
          <c:orientation val="minMax"/>
        </c:scaling>
        <c:axPos val="b"/>
        <c:majorTickMark val="none"/>
        <c:tickLblPos val="low"/>
        <c:crossAx val="76556160"/>
        <c:crosses val="autoZero"/>
        <c:auto val="1"/>
        <c:lblAlgn val="ctr"/>
        <c:lblOffset val="100"/>
      </c:catAx>
      <c:valAx>
        <c:axId val="76556160"/>
        <c:scaling>
          <c:orientation val="minMax"/>
          <c:max val="10"/>
          <c:min val="-50"/>
        </c:scaling>
        <c:axPos val="l"/>
        <c:majorGridlines>
          <c:spPr>
            <a:ln>
              <a:prstDash val="sysDash"/>
            </a:ln>
          </c:spPr>
        </c:majorGridlines>
        <c:numFmt formatCode="General" sourceLinked="1"/>
        <c:majorTickMark val="none"/>
        <c:tickLblPos val="nextTo"/>
        <c:spPr>
          <a:noFill/>
          <a:ln>
            <a:noFill/>
            <a:prstDash val="sysDot"/>
          </a:ln>
        </c:spPr>
        <c:crossAx val="76554624"/>
        <c:crosses val="autoZero"/>
        <c:crossBetween val="between"/>
        <c:majorUnit val="20"/>
      </c:valAx>
    </c:plotArea>
    <c:legend>
      <c:legendPos val="b"/>
      <c:layout>
        <c:manualLayout>
          <c:xMode val="edge"/>
          <c:yMode val="edge"/>
          <c:x val="1.6836815918577223E-2"/>
          <c:y val="0.84029455124588692"/>
          <c:w val="0.90125462864353589"/>
          <c:h val="0.13666967615890119"/>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BF79-C5EA-4755-A2A3-967EB930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8</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HP5530MW7U</cp:lastModifiedBy>
  <cp:revision>3</cp:revision>
  <cp:lastPrinted>2016-01-27T08:45:00Z</cp:lastPrinted>
  <dcterms:created xsi:type="dcterms:W3CDTF">2016-02-14T09:43:00Z</dcterms:created>
  <dcterms:modified xsi:type="dcterms:W3CDTF">2016-02-14T09:43:00Z</dcterms:modified>
</cp:coreProperties>
</file>